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43824">
      <w:pPr>
        <w:pStyle w:val="18"/>
        <w:spacing w:line="360" w:lineRule="auto"/>
        <w:ind w:firstLine="0" w:firstLineChars="0"/>
        <w:rPr>
          <w:rFonts w:ascii="Times New Roman"/>
          <w:b/>
          <w:sz w:val="52"/>
          <w:szCs w:val="52"/>
        </w:rPr>
      </w:pPr>
    </w:p>
    <w:p w14:paraId="06021495">
      <w:pPr>
        <w:pStyle w:val="18"/>
        <w:spacing w:line="360" w:lineRule="auto"/>
        <w:ind w:firstLine="0" w:firstLineChars="0"/>
        <w:rPr>
          <w:rFonts w:ascii="Times New Roman"/>
          <w:b/>
          <w:sz w:val="52"/>
          <w:szCs w:val="52"/>
        </w:rPr>
      </w:pPr>
    </w:p>
    <w:p w14:paraId="5EA542FA">
      <w:pPr>
        <w:pStyle w:val="18"/>
        <w:spacing w:line="360" w:lineRule="auto"/>
        <w:ind w:firstLine="0" w:firstLineChars="0"/>
        <w:rPr>
          <w:rFonts w:ascii="Times New Roman"/>
          <w:b/>
          <w:sz w:val="52"/>
          <w:szCs w:val="52"/>
        </w:rPr>
      </w:pPr>
    </w:p>
    <w:p w14:paraId="5BDC2208">
      <w:pPr>
        <w:pStyle w:val="18"/>
        <w:spacing w:line="360" w:lineRule="auto"/>
        <w:ind w:firstLine="0" w:firstLineChars="0"/>
        <w:jc w:val="center"/>
        <w:rPr>
          <w:rFonts w:ascii="Times New Roman" w:eastAsia="黑体"/>
          <w:bCs/>
          <w:sz w:val="52"/>
          <w:szCs w:val="52"/>
        </w:rPr>
      </w:pPr>
      <w:r>
        <w:rPr>
          <w:rFonts w:ascii="Times New Roman" w:eastAsia="黑体"/>
          <w:bCs/>
          <w:sz w:val="52"/>
          <w:szCs w:val="52"/>
        </w:rPr>
        <w:t>海南</w:t>
      </w:r>
      <w:r>
        <w:rPr>
          <w:rFonts w:hint="eastAsia" w:ascii="Times New Roman" w:eastAsia="黑体"/>
          <w:bCs/>
          <w:sz w:val="52"/>
          <w:szCs w:val="52"/>
          <w:lang w:val="en-US" w:eastAsia="zh-CN"/>
        </w:rPr>
        <w:t>省</w:t>
      </w:r>
      <w:r>
        <w:rPr>
          <w:rFonts w:hint="eastAsia" w:ascii="Times New Roman" w:eastAsia="黑体"/>
          <w:bCs/>
          <w:sz w:val="52"/>
          <w:szCs w:val="52"/>
          <w:lang w:eastAsia="zh-CN"/>
        </w:rPr>
        <w:t>地方</w:t>
      </w:r>
      <w:r>
        <w:rPr>
          <w:rFonts w:ascii="Times New Roman" w:eastAsia="黑体"/>
          <w:bCs/>
          <w:sz w:val="52"/>
          <w:szCs w:val="52"/>
        </w:rPr>
        <w:t>标准</w:t>
      </w:r>
    </w:p>
    <w:p w14:paraId="3C5B065C">
      <w:pPr>
        <w:pStyle w:val="18"/>
        <w:spacing w:line="360" w:lineRule="auto"/>
        <w:ind w:firstLine="0" w:firstLineChars="0"/>
        <w:jc w:val="center"/>
        <w:rPr>
          <w:rFonts w:ascii="Times New Roman" w:eastAsia="黑体"/>
          <w:bCs/>
          <w:sz w:val="52"/>
          <w:szCs w:val="52"/>
        </w:rPr>
      </w:pPr>
      <w:r>
        <w:rPr>
          <w:rFonts w:ascii="Times New Roman" w:eastAsia="黑体"/>
          <w:bCs/>
          <w:sz w:val="52"/>
          <w:szCs w:val="52"/>
        </w:rPr>
        <w:t xml:space="preserve">《农产品全产业链生产规范 </w:t>
      </w:r>
      <w:r>
        <w:rPr>
          <w:rFonts w:hint="eastAsia" w:ascii="Times New Roman" w:eastAsia="黑体"/>
          <w:bCs/>
          <w:sz w:val="52"/>
          <w:szCs w:val="52"/>
          <w:lang w:eastAsia="zh-CN"/>
        </w:rPr>
        <w:t>龙眼</w:t>
      </w:r>
      <w:r>
        <w:rPr>
          <w:rFonts w:ascii="Times New Roman" w:eastAsia="黑体"/>
          <w:bCs/>
          <w:sz w:val="52"/>
          <w:szCs w:val="52"/>
        </w:rPr>
        <w:t>》</w:t>
      </w:r>
    </w:p>
    <w:p w14:paraId="2B4B28D5">
      <w:pPr>
        <w:pStyle w:val="18"/>
        <w:spacing w:line="360" w:lineRule="auto"/>
        <w:ind w:firstLine="0" w:firstLineChars="0"/>
        <w:jc w:val="center"/>
        <w:rPr>
          <w:rFonts w:ascii="Times New Roman" w:eastAsia="黑体"/>
          <w:bCs/>
          <w:sz w:val="52"/>
          <w:szCs w:val="52"/>
        </w:rPr>
      </w:pPr>
      <w:r>
        <w:rPr>
          <w:rFonts w:ascii="Times New Roman" w:eastAsia="黑体"/>
          <w:bCs/>
          <w:sz w:val="52"/>
          <w:szCs w:val="52"/>
        </w:rPr>
        <w:t>编制说明</w:t>
      </w:r>
    </w:p>
    <w:p w14:paraId="5F2912CF">
      <w:pPr>
        <w:pStyle w:val="18"/>
        <w:spacing w:line="360" w:lineRule="auto"/>
        <w:ind w:firstLine="0" w:firstLineChars="0"/>
        <w:jc w:val="center"/>
        <w:rPr>
          <w:rFonts w:ascii="Times New Roman" w:eastAsia="黑体"/>
          <w:bCs/>
          <w:sz w:val="52"/>
          <w:szCs w:val="52"/>
        </w:rPr>
      </w:pPr>
    </w:p>
    <w:p w14:paraId="4A51B816">
      <w:pPr>
        <w:pStyle w:val="18"/>
        <w:spacing w:line="360" w:lineRule="auto"/>
        <w:ind w:firstLine="0" w:firstLineChars="0"/>
        <w:jc w:val="center"/>
        <w:rPr>
          <w:rFonts w:hint="eastAsia" w:ascii="黑体" w:hAnsi="黑体" w:eastAsia="黑体" w:cs="黑体"/>
          <w:b/>
          <w:sz w:val="30"/>
          <w:szCs w:val="30"/>
        </w:rPr>
      </w:pPr>
      <w:r>
        <w:rPr>
          <w:rFonts w:hint="eastAsia" w:ascii="黑体" w:hAnsi="黑体" w:eastAsia="黑体" w:cs="黑体"/>
          <w:b/>
          <w:sz w:val="30"/>
          <w:szCs w:val="30"/>
        </w:rPr>
        <w:t>（</w:t>
      </w:r>
      <w:r>
        <w:rPr>
          <w:rFonts w:hint="eastAsia" w:ascii="黑体" w:hAnsi="黑体" w:eastAsia="黑体" w:cs="黑体"/>
          <w:b/>
          <w:sz w:val="30"/>
          <w:szCs w:val="30"/>
          <w:lang w:val="en-US" w:eastAsia="zh-CN"/>
        </w:rPr>
        <w:t>征求意见稿</w:t>
      </w:r>
      <w:r>
        <w:rPr>
          <w:rFonts w:hint="eastAsia" w:ascii="黑体" w:hAnsi="黑体" w:eastAsia="黑体" w:cs="黑体"/>
          <w:b/>
          <w:sz w:val="30"/>
          <w:szCs w:val="30"/>
        </w:rPr>
        <w:t>）</w:t>
      </w:r>
    </w:p>
    <w:p w14:paraId="4307A6DC">
      <w:pPr>
        <w:pStyle w:val="18"/>
        <w:spacing w:line="360" w:lineRule="auto"/>
        <w:ind w:firstLine="0" w:firstLineChars="0"/>
        <w:jc w:val="center"/>
        <w:rPr>
          <w:rFonts w:ascii="Times New Roman"/>
          <w:b/>
          <w:sz w:val="72"/>
          <w:szCs w:val="72"/>
        </w:rPr>
      </w:pPr>
    </w:p>
    <w:p w14:paraId="5576096A">
      <w:pPr>
        <w:pStyle w:val="18"/>
        <w:spacing w:line="360" w:lineRule="auto"/>
        <w:ind w:firstLine="0" w:firstLineChars="0"/>
        <w:jc w:val="center"/>
        <w:rPr>
          <w:rFonts w:ascii="Times New Roman"/>
          <w:b/>
          <w:sz w:val="72"/>
          <w:szCs w:val="72"/>
        </w:rPr>
      </w:pPr>
    </w:p>
    <w:p w14:paraId="610C0796">
      <w:pPr>
        <w:pStyle w:val="18"/>
        <w:spacing w:line="360" w:lineRule="auto"/>
        <w:ind w:firstLine="0" w:firstLineChars="0"/>
        <w:rPr>
          <w:rFonts w:ascii="Times New Roman"/>
          <w:b/>
          <w:sz w:val="72"/>
          <w:szCs w:val="72"/>
        </w:rPr>
      </w:pPr>
    </w:p>
    <w:p w14:paraId="0EB67C78">
      <w:pPr>
        <w:jc w:val="center"/>
        <w:rPr>
          <w:rFonts w:ascii="Times New Roman" w:hAnsi="Times New Roman" w:eastAsia="黑体" w:cs="Times New Roman"/>
          <w:bCs/>
          <w:sz w:val="28"/>
          <w:szCs w:val="28"/>
        </w:rPr>
      </w:pPr>
    </w:p>
    <w:p w14:paraId="067AAAF3">
      <w:pPr>
        <w:rPr>
          <w:rFonts w:ascii="Times New Roman" w:hAnsi="Times New Roman" w:eastAsia="黑体" w:cs="Times New Roman"/>
          <w:bCs/>
          <w:sz w:val="28"/>
          <w:szCs w:val="28"/>
        </w:rPr>
      </w:pPr>
    </w:p>
    <w:p w14:paraId="66FB9946">
      <w:pPr>
        <w:jc w:val="center"/>
        <w:rPr>
          <w:rFonts w:ascii="Times New Roman" w:hAnsi="Times New Roman" w:eastAsia="黑体" w:cs="Times New Roman"/>
          <w:bCs/>
          <w:sz w:val="28"/>
          <w:szCs w:val="28"/>
        </w:rPr>
      </w:pPr>
    </w:p>
    <w:p w14:paraId="5CC2C1B1">
      <w:pPr>
        <w:jc w:val="center"/>
        <w:rPr>
          <w:rFonts w:ascii="Times New Roman" w:hAnsi="Times New Roman" w:eastAsia="黑体" w:cs="Times New Roman"/>
          <w:bCs/>
          <w:sz w:val="28"/>
          <w:szCs w:val="28"/>
        </w:rPr>
      </w:pPr>
    </w:p>
    <w:p w14:paraId="3790BFDF">
      <w:pPr>
        <w:jc w:val="center"/>
        <w:rPr>
          <w:rFonts w:ascii="Times New Roman" w:hAnsi="Times New Roman" w:eastAsia="黑体" w:cs="Times New Roman"/>
          <w:bCs/>
          <w:sz w:val="28"/>
          <w:szCs w:val="28"/>
        </w:rPr>
      </w:pPr>
    </w:p>
    <w:p w14:paraId="7A9279EF">
      <w:pPr>
        <w:jc w:val="center"/>
        <w:rPr>
          <w:rFonts w:ascii="Times New Roman" w:hAnsi="Times New Roman" w:cs="Times New Roman"/>
          <w:b/>
          <w:sz w:val="32"/>
          <w:szCs w:val="32"/>
        </w:rPr>
        <w:sectPr>
          <w:pgSz w:w="11906" w:h="16838"/>
          <w:pgMar w:top="1440" w:right="1800" w:bottom="1440" w:left="1800" w:header="851" w:footer="992" w:gutter="0"/>
          <w:cols w:space="720" w:num="1"/>
          <w:docGrid w:type="lines" w:linePitch="312" w:charSpace="0"/>
        </w:sectPr>
      </w:pPr>
      <w:r>
        <w:rPr>
          <w:rFonts w:ascii="Times New Roman" w:hAnsi="Times New Roman" w:eastAsia="黑体" w:cs="Times New Roman"/>
          <w:bCs/>
          <w:sz w:val="28"/>
          <w:szCs w:val="28"/>
        </w:rPr>
        <w:t>海南省</w:t>
      </w:r>
      <w:r>
        <w:rPr>
          <w:rFonts w:hint="eastAsia" w:ascii="Times New Roman" w:hAnsi="Times New Roman" w:eastAsia="黑体" w:cs="Times New Roman"/>
          <w:bCs/>
          <w:sz w:val="28"/>
          <w:szCs w:val="28"/>
          <w:lang w:eastAsia="zh-CN"/>
        </w:rPr>
        <w:t>地方</w:t>
      </w:r>
      <w:r>
        <w:rPr>
          <w:rFonts w:ascii="Times New Roman" w:hAnsi="Times New Roman" w:eastAsia="黑体" w:cs="Times New Roman"/>
          <w:bCs/>
          <w:sz w:val="28"/>
          <w:szCs w:val="28"/>
        </w:rPr>
        <w:t xml:space="preserve">标准《农产品全产业链生产规范 </w:t>
      </w:r>
      <w:r>
        <w:rPr>
          <w:rFonts w:hint="eastAsia" w:ascii="Times New Roman" w:hAnsi="Times New Roman" w:eastAsia="黑体" w:cs="Times New Roman"/>
          <w:bCs/>
          <w:sz w:val="28"/>
          <w:szCs w:val="28"/>
          <w:lang w:eastAsia="zh-CN"/>
        </w:rPr>
        <w:t>龙眼</w:t>
      </w:r>
      <w:r>
        <w:rPr>
          <w:rFonts w:ascii="Times New Roman" w:hAnsi="Times New Roman" w:eastAsia="黑体" w:cs="Times New Roman"/>
          <w:bCs/>
          <w:sz w:val="28"/>
          <w:szCs w:val="28"/>
        </w:rPr>
        <w:t>》起草工作组</w:t>
      </w:r>
    </w:p>
    <w:p w14:paraId="4DBD9EBA">
      <w:pPr>
        <w:rPr>
          <w:rFonts w:ascii="Times New Roman" w:hAnsi="Times New Roman" w:cs="Times New Roman"/>
          <w:b/>
          <w:bCs/>
          <w:sz w:val="28"/>
          <w:szCs w:val="28"/>
        </w:rPr>
      </w:pPr>
      <w:r>
        <w:rPr>
          <w:rFonts w:ascii="Times New Roman" w:hAnsi="Times New Roman" w:cs="Times New Roman"/>
          <w:b/>
          <w:bCs/>
          <w:sz w:val="28"/>
          <w:szCs w:val="28"/>
        </w:rPr>
        <w:br w:type="page"/>
      </w:r>
    </w:p>
    <w:p w14:paraId="645E2898">
      <w:pPr>
        <w:spacing w:line="360" w:lineRule="auto"/>
        <w:rPr>
          <w:rFonts w:ascii="Times New Roman" w:hAnsi="Times New Roman" w:cs="Times New Roman"/>
          <w:b/>
          <w:bCs/>
          <w:sz w:val="28"/>
          <w:szCs w:val="28"/>
        </w:rPr>
      </w:pPr>
      <w:r>
        <w:rPr>
          <w:rFonts w:ascii="Times New Roman" w:hAnsi="Times New Roman" w:cs="Times New Roman"/>
          <w:b/>
          <w:bCs/>
          <w:sz w:val="28"/>
          <w:szCs w:val="28"/>
        </w:rPr>
        <w:t>一、工作简况</w:t>
      </w:r>
    </w:p>
    <w:p w14:paraId="0C5EF398">
      <w:pPr>
        <w:spacing w:line="360" w:lineRule="auto"/>
        <w:rPr>
          <w:rFonts w:ascii="Times New Roman" w:hAnsi="Times New Roman" w:cs="Times New Roman"/>
          <w:b/>
          <w:bCs/>
          <w:sz w:val="28"/>
          <w:szCs w:val="28"/>
        </w:rPr>
      </w:pPr>
      <w:r>
        <w:rPr>
          <w:rFonts w:ascii="Times New Roman" w:hAnsi="Times New Roman" w:cs="Times New Roman"/>
          <w:b/>
          <w:bCs/>
          <w:sz w:val="28"/>
          <w:szCs w:val="28"/>
        </w:rPr>
        <w:t>（一）标准名称</w:t>
      </w:r>
    </w:p>
    <w:p w14:paraId="1821A2CB">
      <w:pPr>
        <w:spacing w:line="360" w:lineRule="auto"/>
        <w:ind w:firstLine="560" w:firstLineChars="200"/>
        <w:rPr>
          <w:rFonts w:hint="eastAsia" w:ascii="Times New Roman" w:hAnsi="Times New Roman" w:cs="Times New Roman" w:eastAsiaTheme="minorEastAsia"/>
          <w:sz w:val="28"/>
          <w:szCs w:val="28"/>
          <w:lang w:eastAsia="zh-CN"/>
        </w:rPr>
      </w:pPr>
      <w:r>
        <w:rPr>
          <w:rFonts w:ascii="Times New Roman" w:hAnsi="Times New Roman" w:cs="Times New Roman"/>
          <w:sz w:val="28"/>
          <w:szCs w:val="28"/>
        </w:rPr>
        <w:t xml:space="preserve">农产品全产业链生产规范  </w:t>
      </w:r>
      <w:r>
        <w:rPr>
          <w:rFonts w:hint="eastAsia" w:ascii="Times New Roman" w:hAnsi="Times New Roman" w:cs="Times New Roman"/>
          <w:sz w:val="28"/>
          <w:szCs w:val="28"/>
          <w:lang w:eastAsia="zh-CN"/>
        </w:rPr>
        <w:t>龙眼</w:t>
      </w:r>
    </w:p>
    <w:p w14:paraId="75FC9B33">
      <w:pPr>
        <w:spacing w:line="360" w:lineRule="auto"/>
        <w:rPr>
          <w:rFonts w:ascii="Times New Roman" w:hAnsi="Times New Roman" w:cs="Times New Roman"/>
          <w:b/>
          <w:bCs/>
          <w:sz w:val="28"/>
          <w:szCs w:val="28"/>
        </w:rPr>
      </w:pPr>
      <w:r>
        <w:rPr>
          <w:rFonts w:ascii="Times New Roman" w:hAnsi="Times New Roman" w:cs="Times New Roman"/>
          <w:b/>
          <w:bCs/>
          <w:sz w:val="28"/>
          <w:szCs w:val="28"/>
        </w:rPr>
        <w:t>（二）任务来源</w:t>
      </w:r>
    </w:p>
    <w:p w14:paraId="17A58A83">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bCs/>
          <w:sz w:val="28"/>
          <w:szCs w:val="28"/>
        </w:rPr>
        <w:t>根据《中华人民共和国民法典》《农业农村部关于加快农业全产业链培育发展的指导意见》和海南省人民政府办公厅《关于贯彻落实&lt;国家标准化发展纲要&gt;的实施意见》（琼府办[2022]13号）文件精神，</w:t>
      </w:r>
      <w:r>
        <w:rPr>
          <w:rFonts w:ascii="Times New Roman" w:hAnsi="Times New Roman" w:cs="Times New Roman"/>
          <w:sz w:val="28"/>
          <w:szCs w:val="28"/>
        </w:rPr>
        <w:t>中国热带农业科学院热带作物品种资源研究所</w:t>
      </w:r>
      <w:r>
        <w:rPr>
          <w:rFonts w:hint="eastAsia" w:ascii="Times New Roman" w:hAnsi="Times New Roman" w:cs="Times New Roman"/>
          <w:bCs/>
          <w:sz w:val="28"/>
          <w:szCs w:val="28"/>
        </w:rPr>
        <w:t>承接海南省现代农业检验检测预警防控中心的项目委托，</w:t>
      </w:r>
      <w:r>
        <w:rPr>
          <w:rFonts w:ascii="Times New Roman" w:hAnsi="Times New Roman" w:cs="Times New Roman"/>
          <w:bCs/>
          <w:sz w:val="28"/>
          <w:szCs w:val="28"/>
        </w:rPr>
        <w:t xml:space="preserve">组织《农产品全产业链生产规范 </w:t>
      </w:r>
      <w:r>
        <w:rPr>
          <w:rFonts w:hint="eastAsia" w:ascii="Times New Roman" w:hAnsi="Times New Roman" w:cs="Times New Roman"/>
          <w:bCs/>
          <w:sz w:val="28"/>
          <w:szCs w:val="28"/>
          <w:lang w:eastAsia="zh-CN"/>
        </w:rPr>
        <w:t>龙眼</w:t>
      </w:r>
      <w:r>
        <w:rPr>
          <w:rFonts w:ascii="Times New Roman" w:hAnsi="Times New Roman" w:cs="Times New Roman"/>
          <w:bCs/>
          <w:sz w:val="28"/>
          <w:szCs w:val="28"/>
        </w:rPr>
        <w:t>》</w:t>
      </w:r>
      <w:r>
        <w:rPr>
          <w:rFonts w:hint="eastAsia" w:ascii="Times New Roman" w:hAnsi="Times New Roman" w:cs="Times New Roman"/>
          <w:bCs/>
          <w:sz w:val="28"/>
          <w:szCs w:val="28"/>
          <w:lang w:eastAsia="zh-CN"/>
        </w:rPr>
        <w:t>地方</w:t>
      </w:r>
      <w:r>
        <w:rPr>
          <w:rFonts w:hint="eastAsia" w:ascii="Times New Roman" w:hAnsi="Times New Roman" w:cs="Times New Roman"/>
          <w:bCs/>
          <w:sz w:val="28"/>
          <w:szCs w:val="28"/>
        </w:rPr>
        <w:t>标准</w:t>
      </w:r>
      <w:r>
        <w:rPr>
          <w:rFonts w:ascii="Times New Roman" w:hAnsi="Times New Roman" w:cs="Times New Roman"/>
          <w:bCs/>
          <w:sz w:val="28"/>
          <w:szCs w:val="28"/>
        </w:rPr>
        <w:t>的起草工作。</w:t>
      </w:r>
    </w:p>
    <w:p w14:paraId="5018DC95">
      <w:pPr>
        <w:spacing w:line="360" w:lineRule="auto"/>
        <w:rPr>
          <w:rFonts w:ascii="Times New Roman" w:hAnsi="Times New Roman" w:cs="Times New Roman"/>
          <w:b/>
          <w:bCs/>
          <w:sz w:val="28"/>
          <w:szCs w:val="28"/>
        </w:rPr>
      </w:pPr>
      <w:r>
        <w:rPr>
          <w:rFonts w:ascii="Times New Roman" w:hAnsi="Times New Roman" w:cs="Times New Roman"/>
          <w:b/>
          <w:bCs/>
          <w:sz w:val="28"/>
          <w:szCs w:val="28"/>
        </w:rPr>
        <w:t>（三）起草单位</w:t>
      </w:r>
    </w:p>
    <w:p w14:paraId="01CB6BAD">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中国热带农业科学院热带作物品种资源研究所</w:t>
      </w:r>
    </w:p>
    <w:p w14:paraId="09B93812">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（四）单位地址</w:t>
      </w:r>
    </w:p>
    <w:p w14:paraId="295AFBE4">
      <w:pPr>
        <w:spacing w:line="360" w:lineRule="auto"/>
        <w:ind w:firstLine="560" w:firstLineChars="200"/>
        <w:rPr>
          <w:rFonts w:ascii="Times New Roman" w:hAnsi="Times New Roman" w:cs="Times New Roman"/>
          <w:b/>
          <w:bCs/>
          <w:kern w:val="0"/>
          <w:sz w:val="28"/>
          <w:szCs w:val="28"/>
          <w:lang w:bidi="ar"/>
        </w:rPr>
      </w:pPr>
      <w:r>
        <w:rPr>
          <w:rFonts w:ascii="Times New Roman" w:hAnsi="Times New Roman" w:cs="Times New Roman"/>
          <w:sz w:val="28"/>
          <w:szCs w:val="28"/>
        </w:rPr>
        <w:t>海南省海口市龙华区学院路4号</w:t>
      </w:r>
    </w:p>
    <w:p w14:paraId="6696AB44">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（五）参与起草单位</w:t>
      </w:r>
    </w:p>
    <w:p w14:paraId="736A3DA9">
      <w:pPr>
        <w:spacing w:line="360" w:lineRule="auto"/>
        <w:ind w:firstLine="560" w:firstLineChars="200"/>
        <w:rPr>
          <w:rFonts w:ascii="Times New Roman" w:hAnsi="Times New Roman" w:cs="Times New Roman"/>
          <w:kern w:val="0"/>
          <w:sz w:val="28"/>
          <w:szCs w:val="28"/>
          <w:lang w:bidi="ar"/>
        </w:rPr>
      </w:pPr>
      <w:bookmarkStart w:id="0" w:name="_Hlk136682918"/>
      <w:r>
        <w:rPr>
          <w:rFonts w:hint="eastAsia" w:ascii="Times New Roman" w:hAnsi="Times New Roman" w:cs="Times New Roman"/>
          <w:kern w:val="0"/>
          <w:sz w:val="28"/>
          <w:szCs w:val="28"/>
          <w:lang w:eastAsia="zh-CN" w:bidi="ar"/>
        </w:rPr>
        <w:t>海南省标准化协会、</w:t>
      </w:r>
      <w:r>
        <w:rPr>
          <w:rFonts w:hint="eastAsia" w:ascii="Times New Roman" w:hAnsi="Times New Roman" w:cs="Times New Roman"/>
          <w:kern w:val="0"/>
          <w:sz w:val="28"/>
          <w:szCs w:val="28"/>
          <w:lang w:val="en-US" w:eastAsia="zh-CN" w:bidi="ar"/>
        </w:rPr>
        <w:t>海南省农业科学院热带果树研究所、</w:t>
      </w:r>
      <w:r>
        <w:rPr>
          <w:rFonts w:hint="eastAsia" w:ascii="Times New Roman" w:hAnsi="Times New Roman" w:cs="Times New Roman"/>
          <w:kern w:val="0"/>
          <w:sz w:val="28"/>
          <w:szCs w:val="28"/>
          <w:lang w:eastAsia="zh-CN" w:bidi="ar"/>
        </w:rPr>
        <w:t>中国热带农业科学院环境与植物保护研究所、海南东方宏田农业科技有限公司</w:t>
      </w:r>
      <w:r>
        <w:rPr>
          <w:rFonts w:hint="eastAsia" w:ascii="Times New Roman" w:hAnsi="Times New Roman" w:cs="Times New Roman"/>
          <w:kern w:val="0"/>
          <w:sz w:val="28"/>
          <w:szCs w:val="28"/>
          <w:lang w:bidi="ar"/>
        </w:rPr>
        <w:t>。</w:t>
      </w:r>
    </w:p>
    <w:bookmarkEnd w:id="0"/>
    <w:p w14:paraId="2343E7E3">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（六）标准起草人</w:t>
      </w:r>
    </w:p>
    <w:p w14:paraId="699E740E">
      <w:pPr>
        <w:widowControl/>
        <w:spacing w:line="360" w:lineRule="auto"/>
        <w:ind w:firstLine="560" w:firstLineChars="200"/>
        <w:jc w:val="left"/>
        <w:rPr>
          <w:rFonts w:ascii="Times New Roman" w:hAnsi="Times New Roman" w:cs="Times New Roman"/>
          <w:lang w:bidi="ar"/>
        </w:rPr>
      </w:pPr>
      <w:r>
        <w:rPr>
          <w:rFonts w:ascii="Times New Roman" w:hAnsi="Times New Roman" w:cs="Times New Roman"/>
          <w:bCs/>
          <w:sz w:val="28"/>
          <w:szCs w:val="28"/>
          <w:lang w:bidi="ar"/>
        </w:rPr>
        <w:t>标准起草人见表1。</w:t>
      </w:r>
    </w:p>
    <w:p w14:paraId="71C9AC70">
      <w:pPr>
        <w:widowControl/>
        <w:spacing w:line="360" w:lineRule="auto"/>
        <w:jc w:val="center"/>
        <w:rPr>
          <w:rFonts w:ascii="Times New Roman" w:hAnsi="Times New Roman" w:cs="Times New Roman"/>
          <w:b/>
          <w:bCs/>
          <w:sz w:val="24"/>
        </w:rPr>
      </w:pPr>
      <w:r>
        <w:rPr>
          <w:rFonts w:ascii="Times New Roman" w:hAnsi="Times New Roman" w:cs="Times New Roman"/>
          <w:b/>
          <w:bCs/>
          <w:kern w:val="0"/>
          <w:sz w:val="24"/>
          <w:lang w:bidi="ar"/>
        </w:rPr>
        <w:t>表 1 标准起草人</w:t>
      </w: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3402"/>
        <w:gridCol w:w="1276"/>
        <w:gridCol w:w="1985"/>
      </w:tblGrid>
      <w:tr w14:paraId="1E46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17" w:type="dxa"/>
            <w:vAlign w:val="center"/>
          </w:tcPr>
          <w:p w14:paraId="3614BCA2">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序号</w:t>
            </w:r>
          </w:p>
        </w:tc>
        <w:tc>
          <w:tcPr>
            <w:tcW w:w="992" w:type="dxa"/>
            <w:vAlign w:val="center"/>
          </w:tcPr>
          <w:p w14:paraId="3E025D44">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姓名</w:t>
            </w:r>
          </w:p>
        </w:tc>
        <w:tc>
          <w:tcPr>
            <w:tcW w:w="3402" w:type="dxa"/>
            <w:vAlign w:val="center"/>
          </w:tcPr>
          <w:p w14:paraId="4C4238AA">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单位</w:t>
            </w:r>
          </w:p>
        </w:tc>
        <w:tc>
          <w:tcPr>
            <w:tcW w:w="1276" w:type="dxa"/>
            <w:vAlign w:val="center"/>
          </w:tcPr>
          <w:p w14:paraId="37E8D326">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职称/职务</w:t>
            </w:r>
          </w:p>
        </w:tc>
        <w:tc>
          <w:tcPr>
            <w:tcW w:w="1985" w:type="dxa"/>
            <w:vAlign w:val="center"/>
          </w:tcPr>
          <w:p w14:paraId="26DCFAAC">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任务分工</w:t>
            </w:r>
          </w:p>
        </w:tc>
      </w:tr>
      <w:tr w14:paraId="737A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14:paraId="05730D0D">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1</w:t>
            </w:r>
          </w:p>
        </w:tc>
        <w:tc>
          <w:tcPr>
            <w:tcW w:w="992" w:type="dxa"/>
            <w:vAlign w:val="center"/>
          </w:tcPr>
          <w:p w14:paraId="4AF54144">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杨子琴</w:t>
            </w:r>
          </w:p>
        </w:tc>
        <w:tc>
          <w:tcPr>
            <w:tcW w:w="3402" w:type="dxa"/>
            <w:vAlign w:val="center"/>
          </w:tcPr>
          <w:p w14:paraId="34EFDB9E">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中国热带农业科学院热带作物品种资源研究所</w:t>
            </w:r>
          </w:p>
        </w:tc>
        <w:tc>
          <w:tcPr>
            <w:tcW w:w="1276" w:type="dxa"/>
            <w:vAlign w:val="center"/>
          </w:tcPr>
          <w:p w14:paraId="7F067D26">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副研究员</w:t>
            </w:r>
          </w:p>
        </w:tc>
        <w:tc>
          <w:tcPr>
            <w:tcW w:w="1985" w:type="dxa"/>
            <w:vAlign w:val="center"/>
          </w:tcPr>
          <w:p w14:paraId="40919F3D">
            <w:pPr>
              <w:jc w:val="center"/>
              <w:rPr>
                <w:rFonts w:ascii="宋体" w:hAnsi="宋体" w:eastAsia="宋体"/>
                <w:szCs w:val="21"/>
              </w:rPr>
            </w:pPr>
            <w:r>
              <w:rPr>
                <w:rFonts w:ascii="宋体" w:hAnsi="宋体" w:eastAsia="宋体"/>
                <w:szCs w:val="21"/>
              </w:rPr>
              <w:t>组织、协调、标准起草</w:t>
            </w:r>
          </w:p>
        </w:tc>
      </w:tr>
      <w:tr w14:paraId="0DB3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14:paraId="49D4980C">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2</w:t>
            </w:r>
          </w:p>
        </w:tc>
        <w:tc>
          <w:tcPr>
            <w:tcW w:w="992" w:type="dxa"/>
            <w:vAlign w:val="center"/>
          </w:tcPr>
          <w:p w14:paraId="5EC4CFF7">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高兆银</w:t>
            </w:r>
          </w:p>
        </w:tc>
        <w:tc>
          <w:tcPr>
            <w:tcW w:w="3402" w:type="dxa"/>
            <w:vAlign w:val="center"/>
          </w:tcPr>
          <w:p w14:paraId="644EEDD2">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中国热带农业科学院热带作物品种资源研究所</w:t>
            </w:r>
          </w:p>
        </w:tc>
        <w:tc>
          <w:tcPr>
            <w:tcW w:w="1276" w:type="dxa"/>
            <w:vAlign w:val="center"/>
          </w:tcPr>
          <w:p w14:paraId="4BEF3BBC">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副研究员</w:t>
            </w:r>
          </w:p>
        </w:tc>
        <w:tc>
          <w:tcPr>
            <w:tcW w:w="1985" w:type="dxa"/>
            <w:vAlign w:val="center"/>
          </w:tcPr>
          <w:p w14:paraId="3EC134CD">
            <w:pPr>
              <w:jc w:val="center"/>
            </w:pPr>
            <w:r>
              <w:rPr>
                <w:rFonts w:ascii="宋体" w:hAnsi="宋体"/>
              </w:rPr>
              <w:t>包装、标识、贮藏、运输</w:t>
            </w:r>
          </w:p>
        </w:tc>
      </w:tr>
      <w:tr w14:paraId="1A4B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14:paraId="362C34E6">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3</w:t>
            </w:r>
          </w:p>
        </w:tc>
        <w:tc>
          <w:tcPr>
            <w:tcW w:w="992" w:type="dxa"/>
            <w:vAlign w:val="center"/>
          </w:tcPr>
          <w:p w14:paraId="373F5577">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杜磊</w:t>
            </w:r>
          </w:p>
        </w:tc>
        <w:tc>
          <w:tcPr>
            <w:tcW w:w="3402" w:type="dxa"/>
            <w:vAlign w:val="center"/>
          </w:tcPr>
          <w:p w14:paraId="27FCC28E">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海南省标准化协会</w:t>
            </w:r>
          </w:p>
        </w:tc>
        <w:tc>
          <w:tcPr>
            <w:tcW w:w="1276" w:type="dxa"/>
            <w:vAlign w:val="center"/>
          </w:tcPr>
          <w:p w14:paraId="02CDAFB2">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秘书长</w:t>
            </w:r>
          </w:p>
        </w:tc>
        <w:tc>
          <w:tcPr>
            <w:tcW w:w="1985" w:type="dxa"/>
            <w:vAlign w:val="center"/>
          </w:tcPr>
          <w:p w14:paraId="1CE18DE6">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负责格式、文本的审核</w:t>
            </w:r>
          </w:p>
        </w:tc>
      </w:tr>
      <w:tr w14:paraId="28D1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14:paraId="550AA4B9">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4</w:t>
            </w:r>
          </w:p>
        </w:tc>
        <w:tc>
          <w:tcPr>
            <w:tcW w:w="992" w:type="dxa"/>
            <w:vAlign w:val="center"/>
          </w:tcPr>
          <w:p w14:paraId="47A9A237">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李松刚</w:t>
            </w:r>
          </w:p>
        </w:tc>
        <w:tc>
          <w:tcPr>
            <w:tcW w:w="3402" w:type="dxa"/>
            <w:vAlign w:val="center"/>
          </w:tcPr>
          <w:p w14:paraId="383F38E1">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中国热带农业科学院热带作物品种资源研究所</w:t>
            </w:r>
          </w:p>
        </w:tc>
        <w:tc>
          <w:tcPr>
            <w:tcW w:w="1276" w:type="dxa"/>
            <w:vAlign w:val="center"/>
          </w:tcPr>
          <w:p w14:paraId="5F3125E8">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副研究员</w:t>
            </w:r>
          </w:p>
        </w:tc>
        <w:tc>
          <w:tcPr>
            <w:tcW w:w="1985" w:type="dxa"/>
            <w:vAlign w:val="center"/>
          </w:tcPr>
          <w:p w14:paraId="6FC68F31">
            <w:pPr>
              <w:pStyle w:val="11"/>
              <w:widowControl/>
              <w:spacing w:line="360" w:lineRule="auto"/>
              <w:jc w:val="center"/>
              <w:rPr>
                <w:rFonts w:ascii="Times New Roman" w:hAnsi="Times New Roman"/>
                <w:sz w:val="21"/>
                <w:szCs w:val="21"/>
              </w:rPr>
            </w:pPr>
            <w:r>
              <w:rPr>
                <w:rFonts w:ascii="宋体" w:hAnsi="宋体"/>
                <w:bCs/>
                <w:kern w:val="2"/>
                <w:sz w:val="21"/>
                <w:szCs w:val="21"/>
              </w:rPr>
              <w:t>产地环境</w:t>
            </w:r>
          </w:p>
        </w:tc>
      </w:tr>
      <w:tr w14:paraId="1FA6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14:paraId="602AA3BD">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5</w:t>
            </w:r>
          </w:p>
        </w:tc>
        <w:tc>
          <w:tcPr>
            <w:tcW w:w="992" w:type="dxa"/>
            <w:vAlign w:val="center"/>
          </w:tcPr>
          <w:p w14:paraId="1EDD0A68">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张蕾</w:t>
            </w:r>
          </w:p>
        </w:tc>
        <w:tc>
          <w:tcPr>
            <w:tcW w:w="3402" w:type="dxa"/>
            <w:vAlign w:val="center"/>
          </w:tcPr>
          <w:p w14:paraId="1689F8E3">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中国热带农业科学院热带作物品种资源研究所</w:t>
            </w:r>
          </w:p>
        </w:tc>
        <w:tc>
          <w:tcPr>
            <w:tcW w:w="1276" w:type="dxa"/>
            <w:vAlign w:val="center"/>
          </w:tcPr>
          <w:p w14:paraId="244C8A9D">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副研究员</w:t>
            </w:r>
          </w:p>
        </w:tc>
        <w:tc>
          <w:tcPr>
            <w:tcW w:w="1985" w:type="dxa"/>
            <w:vAlign w:val="center"/>
          </w:tcPr>
          <w:p w14:paraId="3F38FAF4">
            <w:pPr>
              <w:pStyle w:val="11"/>
              <w:widowControl/>
              <w:spacing w:line="360" w:lineRule="auto"/>
              <w:jc w:val="center"/>
              <w:rPr>
                <w:rFonts w:ascii="Times New Roman" w:hAnsi="Times New Roman"/>
                <w:bCs/>
                <w:kern w:val="2"/>
                <w:sz w:val="21"/>
                <w:szCs w:val="21"/>
              </w:rPr>
            </w:pPr>
            <w:r>
              <w:rPr>
                <w:rFonts w:ascii="宋体" w:hAnsi="宋体"/>
                <w:sz w:val="21"/>
                <w:szCs w:val="21"/>
              </w:rPr>
              <w:t>投入品管控、生产档案管理</w:t>
            </w:r>
          </w:p>
        </w:tc>
      </w:tr>
      <w:tr w14:paraId="3B16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vAlign w:val="center"/>
          </w:tcPr>
          <w:p w14:paraId="15C2DB48">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6</w:t>
            </w:r>
          </w:p>
        </w:tc>
        <w:tc>
          <w:tcPr>
            <w:tcW w:w="992" w:type="dxa"/>
            <w:shd w:val="clear" w:color="auto" w:fill="auto"/>
            <w:vAlign w:val="center"/>
          </w:tcPr>
          <w:p w14:paraId="17BC9909">
            <w:pPr>
              <w:pStyle w:val="50"/>
              <w:jc w:val="center"/>
              <w:rPr>
                <w:rFonts w:hint="eastAsia" w:ascii="Times New Roman" w:hAnsi="Times New Roman" w:eastAsia="宋体" w:cs="Times New Roman"/>
                <w:kern w:val="2"/>
                <w:sz w:val="21"/>
                <w:szCs w:val="21"/>
                <w:lang w:val="en-US" w:eastAsia="zh-CN" w:bidi="ar-SA"/>
              </w:rPr>
            </w:pPr>
            <w:r>
              <w:rPr>
                <w:rFonts w:hint="eastAsia" w:ascii="宋体" w:hAnsi="宋体"/>
              </w:rPr>
              <w:t>胡福初</w:t>
            </w:r>
          </w:p>
        </w:tc>
        <w:tc>
          <w:tcPr>
            <w:tcW w:w="3402" w:type="dxa"/>
            <w:shd w:val="clear" w:color="auto" w:fill="auto"/>
            <w:vAlign w:val="center"/>
          </w:tcPr>
          <w:p w14:paraId="3A033D3A">
            <w:pPr>
              <w:pStyle w:val="50"/>
              <w:jc w:val="center"/>
              <w:rPr>
                <w:rFonts w:hint="eastAsia" w:ascii="Times New Roman" w:hAnsi="Times New Roman" w:eastAsia="宋体" w:cs="Times New Roman"/>
                <w:kern w:val="2"/>
                <w:sz w:val="21"/>
                <w:szCs w:val="21"/>
                <w:lang w:val="en-US" w:eastAsia="zh-CN" w:bidi="ar-SA"/>
              </w:rPr>
            </w:pPr>
            <w:r>
              <w:rPr>
                <w:rFonts w:hint="eastAsia" w:ascii="宋体" w:hAnsi="宋体"/>
              </w:rPr>
              <w:t>海南省农业科学院热带果树研究所</w:t>
            </w:r>
          </w:p>
        </w:tc>
        <w:tc>
          <w:tcPr>
            <w:tcW w:w="1276" w:type="dxa"/>
            <w:shd w:val="clear" w:color="auto" w:fill="auto"/>
            <w:vAlign w:val="center"/>
          </w:tcPr>
          <w:p w14:paraId="3D69789A">
            <w:pPr>
              <w:autoSpaceDE w:val="0"/>
              <w:adjustRightInd w:val="0"/>
              <w:snapToGrid w:val="0"/>
              <w:spacing w:before="312" w:beforeLines="100" w:after="20" w:line="360" w:lineRule="auto"/>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研究员</w:t>
            </w:r>
          </w:p>
        </w:tc>
        <w:tc>
          <w:tcPr>
            <w:tcW w:w="1985" w:type="dxa"/>
            <w:shd w:val="clear" w:color="auto" w:fill="auto"/>
            <w:vAlign w:val="center"/>
          </w:tcPr>
          <w:p w14:paraId="58536900">
            <w:pPr>
              <w:jc w:val="center"/>
              <w:rPr>
                <w:rFonts w:asciiTheme="minorHAnsi" w:hAnsiTheme="minorHAnsi" w:eastAsiaTheme="minorEastAsia" w:cstheme="minorBidi"/>
                <w:kern w:val="2"/>
                <w:sz w:val="21"/>
                <w:szCs w:val="24"/>
                <w:lang w:val="en-US" w:eastAsia="zh-CN" w:bidi="ar-SA"/>
              </w:rPr>
            </w:pPr>
            <w:r>
              <w:rPr>
                <w:rFonts w:hint="eastAsia" w:ascii="宋体" w:hAnsi="宋体"/>
              </w:rPr>
              <w:t>采收和商品化处理</w:t>
            </w:r>
          </w:p>
        </w:tc>
      </w:tr>
      <w:tr w14:paraId="35BD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vAlign w:val="center"/>
          </w:tcPr>
          <w:p w14:paraId="7545B192">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7</w:t>
            </w:r>
          </w:p>
        </w:tc>
        <w:tc>
          <w:tcPr>
            <w:tcW w:w="992" w:type="dxa"/>
            <w:shd w:val="clear" w:color="auto" w:fill="auto"/>
            <w:vAlign w:val="center"/>
          </w:tcPr>
          <w:p w14:paraId="79099E01">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洪继旺</w:t>
            </w:r>
          </w:p>
        </w:tc>
        <w:tc>
          <w:tcPr>
            <w:tcW w:w="3402" w:type="dxa"/>
            <w:shd w:val="clear" w:color="auto" w:fill="auto"/>
            <w:vAlign w:val="center"/>
          </w:tcPr>
          <w:p w14:paraId="123678D8">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中国热带农业科学院热带作物品种资源研究所</w:t>
            </w:r>
          </w:p>
        </w:tc>
        <w:tc>
          <w:tcPr>
            <w:tcW w:w="1276" w:type="dxa"/>
            <w:shd w:val="clear" w:color="auto" w:fill="auto"/>
            <w:vAlign w:val="center"/>
          </w:tcPr>
          <w:p w14:paraId="3DA208BF">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助理研究员</w:t>
            </w:r>
          </w:p>
        </w:tc>
        <w:tc>
          <w:tcPr>
            <w:tcW w:w="1985" w:type="dxa"/>
            <w:shd w:val="clear" w:color="auto" w:fill="auto"/>
            <w:vAlign w:val="center"/>
          </w:tcPr>
          <w:p w14:paraId="31E996F5">
            <w:pPr>
              <w:pStyle w:val="11"/>
              <w:widowControl/>
              <w:spacing w:line="360" w:lineRule="auto"/>
              <w:jc w:val="center"/>
              <w:rPr>
                <w:rFonts w:ascii="Times New Roman" w:hAnsi="Times New Roman" w:cs="Times New Roman" w:eastAsiaTheme="minorEastAsia"/>
                <w:kern w:val="2"/>
                <w:sz w:val="21"/>
                <w:szCs w:val="21"/>
                <w:lang w:val="en-US" w:eastAsia="zh-CN" w:bidi="ar-SA"/>
              </w:rPr>
            </w:pPr>
            <w:r>
              <w:rPr>
                <w:rFonts w:ascii="宋体" w:hAnsi="宋体"/>
                <w:sz w:val="21"/>
                <w:szCs w:val="21"/>
              </w:rPr>
              <w:t>果园建立</w:t>
            </w:r>
          </w:p>
        </w:tc>
      </w:tr>
      <w:tr w14:paraId="2A3D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vAlign w:val="center"/>
          </w:tcPr>
          <w:p w14:paraId="464383EC">
            <w:pPr>
              <w:pStyle w:val="11"/>
              <w:widowControl/>
              <w:spacing w:beforeAutospacing="0" w:afterAutospacing="0" w:line="360" w:lineRule="auto"/>
              <w:jc w:val="center"/>
              <w:rPr>
                <w:rFonts w:ascii="宋体" w:hAnsi="宋体" w:eastAsia="宋体"/>
                <w:b/>
                <w:bCs/>
                <w:kern w:val="2"/>
                <w:sz w:val="21"/>
                <w:szCs w:val="21"/>
              </w:rPr>
            </w:pPr>
            <w:r>
              <w:rPr>
                <w:rFonts w:ascii="宋体" w:hAnsi="宋体" w:eastAsia="宋体"/>
                <w:b/>
                <w:bCs/>
                <w:kern w:val="2"/>
                <w:sz w:val="21"/>
                <w:szCs w:val="21"/>
              </w:rPr>
              <w:t>8</w:t>
            </w:r>
          </w:p>
        </w:tc>
        <w:tc>
          <w:tcPr>
            <w:tcW w:w="992" w:type="dxa"/>
            <w:shd w:val="clear" w:color="auto" w:fill="auto"/>
            <w:vAlign w:val="center"/>
          </w:tcPr>
          <w:p w14:paraId="7987F2EA">
            <w:pPr>
              <w:pStyle w:val="50"/>
              <w:jc w:val="center"/>
              <w:rPr>
                <w:rFonts w:hint="eastAsia" w:ascii="Times New Roman" w:hAnsi="Times New Roman" w:eastAsia="宋体" w:cs="Times New Roman"/>
                <w:kern w:val="2"/>
                <w:sz w:val="21"/>
                <w:szCs w:val="21"/>
                <w:lang w:val="en-US" w:eastAsia="zh-CN" w:bidi="ar-SA"/>
              </w:rPr>
            </w:pPr>
            <w:r>
              <w:rPr>
                <w:rFonts w:hint="eastAsia" w:ascii="宋体" w:hAnsi="宋体"/>
              </w:rPr>
              <w:t>曹学仁</w:t>
            </w:r>
          </w:p>
        </w:tc>
        <w:tc>
          <w:tcPr>
            <w:tcW w:w="3402" w:type="dxa"/>
            <w:shd w:val="clear" w:color="auto" w:fill="auto"/>
            <w:vAlign w:val="center"/>
          </w:tcPr>
          <w:p w14:paraId="61E74108">
            <w:pPr>
              <w:pStyle w:val="50"/>
              <w:jc w:val="center"/>
              <w:rPr>
                <w:rFonts w:hint="eastAsia" w:ascii="Times New Roman" w:hAnsi="Times New Roman" w:eastAsia="宋体" w:cs="Times New Roman"/>
                <w:kern w:val="2"/>
                <w:sz w:val="21"/>
                <w:szCs w:val="21"/>
                <w:lang w:val="en-US" w:eastAsia="zh-CN" w:bidi="ar-SA"/>
              </w:rPr>
            </w:pPr>
            <w:r>
              <w:rPr>
                <w:rFonts w:hint="eastAsia" w:ascii="宋体" w:hAnsi="宋体"/>
              </w:rPr>
              <w:t>中国热带农业科学院环境与植物保护研究所</w:t>
            </w:r>
          </w:p>
        </w:tc>
        <w:tc>
          <w:tcPr>
            <w:tcW w:w="1276" w:type="dxa"/>
            <w:shd w:val="clear" w:color="auto" w:fill="auto"/>
            <w:vAlign w:val="center"/>
          </w:tcPr>
          <w:p w14:paraId="1033B522">
            <w:pPr>
              <w:autoSpaceDE w:val="0"/>
              <w:adjustRightInd w:val="0"/>
              <w:snapToGrid w:val="0"/>
              <w:spacing w:before="312" w:beforeLines="100" w:after="20" w:line="360" w:lineRule="auto"/>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副研究员</w:t>
            </w:r>
          </w:p>
        </w:tc>
        <w:tc>
          <w:tcPr>
            <w:tcW w:w="1985" w:type="dxa"/>
            <w:shd w:val="clear" w:color="auto" w:fill="auto"/>
            <w:vAlign w:val="center"/>
          </w:tcPr>
          <w:p w14:paraId="2A2106AC">
            <w:pPr>
              <w:jc w:val="center"/>
              <w:rPr>
                <w:rFonts w:asciiTheme="minorHAnsi" w:hAnsiTheme="minorHAnsi" w:eastAsiaTheme="minorEastAsia" w:cstheme="minorBidi"/>
                <w:kern w:val="2"/>
                <w:sz w:val="21"/>
                <w:szCs w:val="24"/>
                <w:lang w:val="en-US" w:eastAsia="zh-CN" w:bidi="ar-SA"/>
              </w:rPr>
            </w:pPr>
            <w:r>
              <w:t>病虫害绿色防控</w:t>
            </w:r>
          </w:p>
        </w:tc>
      </w:tr>
      <w:tr w14:paraId="6C3F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vAlign w:val="center"/>
          </w:tcPr>
          <w:p w14:paraId="255C546D">
            <w:pPr>
              <w:pStyle w:val="11"/>
              <w:widowControl/>
              <w:spacing w:beforeAutospacing="0" w:afterAutospacing="0" w:line="360" w:lineRule="auto"/>
              <w:jc w:val="center"/>
              <w:rPr>
                <w:rFonts w:ascii="宋体" w:hAnsi="宋体" w:eastAsia="宋体"/>
                <w:b/>
                <w:bCs/>
                <w:kern w:val="2"/>
                <w:sz w:val="21"/>
                <w:szCs w:val="21"/>
              </w:rPr>
            </w:pPr>
            <w:r>
              <w:rPr>
                <w:rFonts w:hint="eastAsia" w:ascii="宋体" w:hAnsi="宋体" w:eastAsia="宋体"/>
                <w:b/>
                <w:bCs/>
                <w:kern w:val="2"/>
                <w:sz w:val="21"/>
                <w:szCs w:val="21"/>
              </w:rPr>
              <w:t>9</w:t>
            </w:r>
          </w:p>
        </w:tc>
        <w:tc>
          <w:tcPr>
            <w:tcW w:w="992" w:type="dxa"/>
            <w:shd w:val="clear" w:color="auto" w:fill="auto"/>
            <w:vAlign w:val="center"/>
          </w:tcPr>
          <w:p w14:paraId="665FEB97">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何书强</w:t>
            </w:r>
          </w:p>
        </w:tc>
        <w:tc>
          <w:tcPr>
            <w:tcW w:w="3402" w:type="dxa"/>
            <w:shd w:val="clear" w:color="auto" w:fill="auto"/>
            <w:vAlign w:val="center"/>
          </w:tcPr>
          <w:p w14:paraId="4C9DB1E3">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中国热带农业科学院热带作物品种资源研究所</w:t>
            </w:r>
          </w:p>
        </w:tc>
        <w:tc>
          <w:tcPr>
            <w:tcW w:w="1276" w:type="dxa"/>
            <w:shd w:val="clear" w:color="auto" w:fill="auto"/>
            <w:vAlign w:val="center"/>
          </w:tcPr>
          <w:p w14:paraId="24D75339">
            <w:pPr>
              <w:autoSpaceDE w:val="0"/>
              <w:adjustRightInd w:val="0"/>
              <w:snapToGrid w:val="0"/>
              <w:spacing w:before="312" w:beforeLines="100" w:after="20" w:line="360" w:lineRule="auto"/>
              <w:jc w:val="center"/>
              <w:rPr>
                <w:rFonts w:hint="eastAsia" w:ascii="宋体" w:hAnsi="宋体" w:eastAsia="宋体" w:cs="Calibri"/>
                <w:color w:val="000000"/>
                <w:kern w:val="2"/>
                <w:sz w:val="21"/>
                <w:szCs w:val="21"/>
                <w:lang w:val="en-US" w:eastAsia="zh-CN" w:bidi="ar-SA"/>
              </w:rPr>
            </w:pPr>
            <w:r>
              <w:rPr>
                <w:rFonts w:hint="eastAsia" w:ascii="宋体" w:hAnsi="宋体" w:eastAsia="宋体"/>
                <w:szCs w:val="21"/>
              </w:rPr>
              <w:t>助理研究员</w:t>
            </w:r>
          </w:p>
        </w:tc>
        <w:tc>
          <w:tcPr>
            <w:tcW w:w="1985" w:type="dxa"/>
            <w:shd w:val="clear" w:color="auto" w:fill="auto"/>
            <w:vAlign w:val="center"/>
          </w:tcPr>
          <w:p w14:paraId="3FFAAB83">
            <w:pPr>
              <w:pStyle w:val="11"/>
              <w:widowControl/>
              <w:spacing w:line="360" w:lineRule="auto"/>
              <w:jc w:val="center"/>
              <w:rPr>
                <w:rFonts w:ascii="Times New Roman" w:hAnsi="Times New Roman" w:cs="Times New Roman" w:eastAsiaTheme="minorEastAsia"/>
                <w:kern w:val="0"/>
                <w:sz w:val="21"/>
                <w:szCs w:val="21"/>
                <w:lang w:val="en-US" w:eastAsia="zh-CN" w:bidi="ar-SA"/>
              </w:rPr>
            </w:pPr>
            <w:r>
              <w:rPr>
                <w:rFonts w:ascii="Times New Roman" w:hAnsi="Times New Roman"/>
                <w:sz w:val="21"/>
                <w:szCs w:val="21"/>
              </w:rPr>
              <w:t>田间管理</w:t>
            </w:r>
          </w:p>
        </w:tc>
      </w:tr>
      <w:tr w14:paraId="79CE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vAlign w:val="center"/>
          </w:tcPr>
          <w:p w14:paraId="23F212BA">
            <w:pPr>
              <w:pStyle w:val="11"/>
              <w:widowControl/>
              <w:spacing w:beforeAutospacing="0" w:afterAutospacing="0" w:line="360" w:lineRule="auto"/>
              <w:jc w:val="center"/>
              <w:rPr>
                <w:rFonts w:ascii="宋体" w:hAnsi="宋体" w:eastAsia="宋体"/>
                <w:b/>
                <w:bCs/>
                <w:kern w:val="2"/>
                <w:sz w:val="21"/>
                <w:szCs w:val="21"/>
              </w:rPr>
            </w:pPr>
            <w:r>
              <w:rPr>
                <w:rFonts w:hint="eastAsia" w:ascii="宋体" w:hAnsi="宋体" w:eastAsia="宋体"/>
                <w:b/>
                <w:bCs/>
                <w:kern w:val="2"/>
                <w:sz w:val="21"/>
                <w:szCs w:val="21"/>
              </w:rPr>
              <w:t>10</w:t>
            </w:r>
          </w:p>
        </w:tc>
        <w:tc>
          <w:tcPr>
            <w:tcW w:w="992" w:type="dxa"/>
            <w:vAlign w:val="center"/>
          </w:tcPr>
          <w:p w14:paraId="67ED7526">
            <w:pPr>
              <w:pStyle w:val="50"/>
              <w:jc w:val="center"/>
              <w:rPr>
                <w:rFonts w:hint="default" w:eastAsia="宋体"/>
                <w:lang w:val="en-US" w:eastAsia="zh-CN"/>
              </w:rPr>
            </w:pPr>
            <w:r>
              <w:rPr>
                <w:rFonts w:hint="eastAsia" w:ascii="宋体" w:hAnsi="宋体"/>
                <w:lang w:val="en-US" w:eastAsia="zh-CN"/>
              </w:rPr>
              <w:t>王军移</w:t>
            </w:r>
          </w:p>
        </w:tc>
        <w:tc>
          <w:tcPr>
            <w:tcW w:w="3402" w:type="dxa"/>
            <w:vAlign w:val="center"/>
          </w:tcPr>
          <w:p w14:paraId="0660A1CA">
            <w:pPr>
              <w:pStyle w:val="50"/>
              <w:jc w:val="center"/>
              <w:rPr>
                <w:rFonts w:hint="eastAsia"/>
              </w:rPr>
            </w:pPr>
            <w:r>
              <w:rPr>
                <w:rFonts w:hint="eastAsia" w:ascii="Times New Roman"/>
                <w:lang w:eastAsia="zh-CN"/>
              </w:rPr>
              <w:t>海南东方宏田农业科技有限公司</w:t>
            </w:r>
          </w:p>
        </w:tc>
        <w:tc>
          <w:tcPr>
            <w:tcW w:w="1276" w:type="dxa"/>
            <w:vAlign w:val="center"/>
          </w:tcPr>
          <w:p w14:paraId="14F96C57">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高级农艺师</w:t>
            </w:r>
          </w:p>
        </w:tc>
        <w:tc>
          <w:tcPr>
            <w:tcW w:w="1985" w:type="dxa"/>
            <w:vAlign w:val="center"/>
          </w:tcPr>
          <w:p w14:paraId="20E2ED35">
            <w:pPr>
              <w:jc w:val="center"/>
            </w:pPr>
            <w:r>
              <w:rPr>
                <w:rFonts w:hint="eastAsia" w:ascii="宋体" w:hAnsi="宋体" w:cs="黑体"/>
                <w:kern w:val="0"/>
              </w:rPr>
              <w:t>生产技术流程</w:t>
            </w:r>
          </w:p>
        </w:tc>
      </w:tr>
      <w:tr w14:paraId="26DB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shd w:val="clear"/>
            <w:vAlign w:val="center"/>
          </w:tcPr>
          <w:p w14:paraId="27888847">
            <w:pPr>
              <w:pStyle w:val="11"/>
              <w:widowControl/>
              <w:spacing w:beforeAutospacing="0" w:afterAutospacing="0" w:line="36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b/>
                <w:bCs/>
                <w:kern w:val="2"/>
                <w:sz w:val="21"/>
                <w:szCs w:val="21"/>
              </w:rPr>
              <w:t>11</w:t>
            </w:r>
          </w:p>
        </w:tc>
        <w:tc>
          <w:tcPr>
            <w:tcW w:w="992" w:type="dxa"/>
            <w:vAlign w:val="center"/>
          </w:tcPr>
          <w:p w14:paraId="66544CF2">
            <w:pPr>
              <w:pStyle w:val="50"/>
              <w:jc w:val="center"/>
              <w:rPr>
                <w:rFonts w:hint="eastAsia" w:ascii="宋体" w:hAnsi="宋体"/>
                <w:lang w:val="en-US" w:eastAsia="zh-CN"/>
              </w:rPr>
            </w:pPr>
            <w:r>
              <w:rPr>
                <w:rFonts w:hint="eastAsia" w:ascii="Times New Roman"/>
                <w:lang w:val="en-US" w:eastAsia="zh-CN"/>
              </w:rPr>
              <w:t>冯昭如</w:t>
            </w:r>
          </w:p>
        </w:tc>
        <w:tc>
          <w:tcPr>
            <w:tcW w:w="3402" w:type="dxa"/>
            <w:vAlign w:val="center"/>
          </w:tcPr>
          <w:p w14:paraId="5E8500E3">
            <w:pPr>
              <w:pStyle w:val="50"/>
              <w:jc w:val="center"/>
              <w:rPr>
                <w:rFonts w:hint="eastAsia" w:ascii="Times New Roman"/>
                <w:lang w:eastAsia="zh-CN"/>
              </w:rPr>
            </w:pPr>
            <w:r>
              <w:rPr>
                <w:rFonts w:hint="eastAsia" w:ascii="Times New Roman"/>
                <w:lang w:val="en-US" w:eastAsia="zh-CN"/>
              </w:rPr>
              <w:t>海南和穗农业有限公司</w:t>
            </w:r>
          </w:p>
        </w:tc>
        <w:tc>
          <w:tcPr>
            <w:tcW w:w="1276" w:type="dxa"/>
            <w:vAlign w:val="center"/>
          </w:tcPr>
          <w:p w14:paraId="11C568EB">
            <w:pPr>
              <w:autoSpaceDE w:val="0"/>
              <w:adjustRightInd w:val="0"/>
              <w:snapToGrid w:val="0"/>
              <w:spacing w:before="312" w:beforeLines="100" w:after="20"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技工</w:t>
            </w:r>
          </w:p>
        </w:tc>
        <w:tc>
          <w:tcPr>
            <w:tcW w:w="1985" w:type="dxa"/>
            <w:vAlign w:val="center"/>
          </w:tcPr>
          <w:p w14:paraId="04AE925E">
            <w:pPr>
              <w:jc w:val="center"/>
              <w:rPr>
                <w:rFonts w:hint="eastAsia" w:ascii="宋体" w:hAnsi="宋体" w:cs="黑体"/>
                <w:kern w:val="0"/>
              </w:rPr>
            </w:pPr>
            <w:r>
              <w:rPr>
                <w:rFonts w:ascii="Times New Roman" w:hAnsi="Times New Roman"/>
                <w:sz w:val="21"/>
                <w:szCs w:val="21"/>
              </w:rPr>
              <w:t>田间管理</w:t>
            </w:r>
          </w:p>
        </w:tc>
      </w:tr>
      <w:tr w14:paraId="5AA5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shd w:val="clear"/>
            <w:vAlign w:val="center"/>
          </w:tcPr>
          <w:p w14:paraId="58479C98">
            <w:pPr>
              <w:pStyle w:val="11"/>
              <w:widowControl/>
              <w:spacing w:beforeAutospacing="0" w:afterAutospacing="0" w:line="360" w:lineRule="auto"/>
              <w:jc w:val="center"/>
              <w:rPr>
                <w:rFonts w:ascii="宋体" w:hAnsi="宋体" w:eastAsia="宋体" w:cs="Times New Roman"/>
                <w:b/>
                <w:bCs/>
                <w:kern w:val="2"/>
                <w:sz w:val="21"/>
                <w:szCs w:val="21"/>
                <w:lang w:val="en-US" w:eastAsia="zh-CN" w:bidi="ar-SA"/>
              </w:rPr>
            </w:pPr>
            <w:r>
              <w:rPr>
                <w:rFonts w:hint="eastAsia" w:ascii="宋体" w:hAnsi="宋体" w:eastAsia="宋体"/>
                <w:b/>
                <w:bCs/>
                <w:kern w:val="2"/>
                <w:sz w:val="21"/>
                <w:szCs w:val="21"/>
              </w:rPr>
              <w:t>12</w:t>
            </w:r>
          </w:p>
        </w:tc>
        <w:tc>
          <w:tcPr>
            <w:tcW w:w="992" w:type="dxa"/>
            <w:vAlign w:val="center"/>
          </w:tcPr>
          <w:p w14:paraId="0583DE16">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王鹏飞</w:t>
            </w:r>
          </w:p>
        </w:tc>
        <w:tc>
          <w:tcPr>
            <w:tcW w:w="3402" w:type="dxa"/>
            <w:vAlign w:val="center"/>
          </w:tcPr>
          <w:p w14:paraId="670854D7">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中国热带农业科学院热带作物品种资源研究所</w:t>
            </w:r>
          </w:p>
        </w:tc>
        <w:tc>
          <w:tcPr>
            <w:tcW w:w="1276" w:type="dxa"/>
            <w:vAlign w:val="center"/>
          </w:tcPr>
          <w:p w14:paraId="3CDA60AE">
            <w:pPr>
              <w:autoSpaceDE w:val="0"/>
              <w:adjustRightInd w:val="0"/>
              <w:snapToGrid w:val="0"/>
              <w:spacing w:before="312" w:beforeLines="100" w:after="20" w:line="360" w:lineRule="auto"/>
              <w:jc w:val="center"/>
              <w:rPr>
                <w:rFonts w:ascii="宋体" w:hAnsi="宋体" w:eastAsia="宋体" w:cs="Calibri"/>
                <w:color w:val="000000"/>
                <w:szCs w:val="21"/>
              </w:rPr>
            </w:pPr>
            <w:r>
              <w:rPr>
                <w:rFonts w:hint="eastAsia" w:ascii="宋体" w:hAnsi="宋体" w:eastAsia="宋体"/>
                <w:szCs w:val="21"/>
              </w:rPr>
              <w:t>副研究员</w:t>
            </w:r>
          </w:p>
        </w:tc>
        <w:tc>
          <w:tcPr>
            <w:tcW w:w="1985" w:type="dxa"/>
            <w:vAlign w:val="center"/>
          </w:tcPr>
          <w:p w14:paraId="608B74DF">
            <w:pPr>
              <w:jc w:val="center"/>
            </w:pPr>
            <w:r>
              <w:rPr>
                <w:rFonts w:hint="eastAsia" w:ascii="宋体" w:hAnsi="宋体"/>
              </w:rPr>
              <w:t>溯源管理</w:t>
            </w:r>
            <w:r>
              <w:t>、</w:t>
            </w:r>
            <w:r>
              <w:rPr>
                <w:rFonts w:hint="eastAsia" w:ascii="宋体" w:hAnsi="宋体" w:cs="黑体"/>
                <w:kern w:val="0"/>
              </w:rPr>
              <w:t>农业</w:t>
            </w:r>
            <w:r>
              <w:t>社会化服务、品牌建设</w:t>
            </w:r>
          </w:p>
        </w:tc>
      </w:tr>
      <w:tr w14:paraId="6D90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shd w:val="clear"/>
            <w:vAlign w:val="center"/>
          </w:tcPr>
          <w:p w14:paraId="19F248B3">
            <w:pPr>
              <w:pStyle w:val="11"/>
              <w:widowControl/>
              <w:spacing w:beforeAutospacing="0" w:afterAutospacing="0" w:line="360" w:lineRule="auto"/>
              <w:jc w:val="center"/>
              <w:rPr>
                <w:rFonts w:ascii="宋体" w:hAnsi="宋体" w:eastAsia="宋体" w:cs="Times New Roman"/>
                <w:b/>
                <w:bCs/>
                <w:kern w:val="2"/>
                <w:sz w:val="21"/>
                <w:szCs w:val="21"/>
                <w:lang w:val="en-US" w:eastAsia="zh-CN" w:bidi="ar-SA"/>
              </w:rPr>
            </w:pPr>
            <w:r>
              <w:rPr>
                <w:rFonts w:hint="eastAsia" w:ascii="宋体" w:hAnsi="宋体" w:eastAsia="宋体"/>
                <w:b/>
                <w:bCs/>
                <w:kern w:val="2"/>
                <w:sz w:val="21"/>
                <w:szCs w:val="21"/>
              </w:rPr>
              <w:t>13</w:t>
            </w:r>
          </w:p>
        </w:tc>
        <w:tc>
          <w:tcPr>
            <w:tcW w:w="992" w:type="dxa"/>
            <w:vAlign w:val="center"/>
          </w:tcPr>
          <w:p w14:paraId="165C4793">
            <w:pPr>
              <w:pStyle w:val="50"/>
              <w:jc w:val="center"/>
              <w:rPr>
                <w:rFonts w:hint="eastAsia"/>
              </w:rPr>
            </w:pPr>
            <w:r>
              <w:rPr>
                <w:rFonts w:hint="eastAsia" w:ascii="宋体" w:hAnsi="宋体"/>
              </w:rPr>
              <w:t>石胜友</w:t>
            </w:r>
          </w:p>
        </w:tc>
        <w:tc>
          <w:tcPr>
            <w:tcW w:w="3402" w:type="dxa"/>
            <w:vAlign w:val="center"/>
          </w:tcPr>
          <w:p w14:paraId="6F59A2C0">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中国热带农业科学院热带作物品种资源研究所</w:t>
            </w:r>
          </w:p>
        </w:tc>
        <w:tc>
          <w:tcPr>
            <w:tcW w:w="1276" w:type="dxa"/>
            <w:vAlign w:val="center"/>
          </w:tcPr>
          <w:p w14:paraId="0010E9CD">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研究员</w:t>
            </w:r>
          </w:p>
        </w:tc>
        <w:tc>
          <w:tcPr>
            <w:tcW w:w="1985" w:type="dxa"/>
            <w:vAlign w:val="center"/>
          </w:tcPr>
          <w:p w14:paraId="3A29F835">
            <w:pPr>
              <w:jc w:val="center"/>
              <w:rPr>
                <w:rFonts w:ascii="宋体" w:hAnsi="宋体"/>
              </w:rPr>
            </w:pPr>
            <w:r>
              <w:rPr>
                <w:rFonts w:ascii="宋体" w:hAnsi="宋体"/>
                <w:szCs w:val="21"/>
              </w:rPr>
              <w:t>品种选择和种苗</w:t>
            </w:r>
          </w:p>
        </w:tc>
      </w:tr>
      <w:tr w14:paraId="549A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7" w:type="dxa"/>
            <w:shd w:val="clear"/>
            <w:vAlign w:val="center"/>
          </w:tcPr>
          <w:p w14:paraId="494A87AF">
            <w:pPr>
              <w:pStyle w:val="11"/>
              <w:widowControl/>
              <w:spacing w:beforeAutospacing="0" w:afterAutospacing="0" w:line="360" w:lineRule="auto"/>
              <w:jc w:val="center"/>
              <w:rPr>
                <w:rFonts w:ascii="宋体" w:hAnsi="宋体" w:eastAsia="宋体" w:cs="Times New Roman"/>
                <w:b/>
                <w:bCs/>
                <w:kern w:val="2"/>
                <w:sz w:val="21"/>
                <w:szCs w:val="21"/>
                <w:lang w:val="en-US" w:eastAsia="zh-CN" w:bidi="ar-SA"/>
              </w:rPr>
            </w:pPr>
            <w:r>
              <w:rPr>
                <w:rFonts w:hint="eastAsia" w:ascii="宋体" w:hAnsi="宋体" w:eastAsia="宋体"/>
                <w:b/>
                <w:bCs/>
                <w:kern w:val="2"/>
                <w:sz w:val="21"/>
                <w:szCs w:val="21"/>
              </w:rPr>
              <w:t>14</w:t>
            </w:r>
          </w:p>
        </w:tc>
        <w:tc>
          <w:tcPr>
            <w:tcW w:w="992" w:type="dxa"/>
            <w:vAlign w:val="center"/>
          </w:tcPr>
          <w:p w14:paraId="0A005E12">
            <w:pPr>
              <w:pStyle w:val="50"/>
              <w:jc w:val="center"/>
              <w:rPr>
                <w:rFonts w:hint="eastAsia"/>
              </w:rPr>
            </w:pPr>
            <w:r>
              <w:rPr>
                <w:rFonts w:hint="eastAsia" w:ascii="宋体" w:hAnsi="宋体"/>
              </w:rPr>
              <w:t>黄丽洁</w:t>
            </w:r>
          </w:p>
        </w:tc>
        <w:tc>
          <w:tcPr>
            <w:tcW w:w="3402" w:type="dxa"/>
            <w:vAlign w:val="center"/>
          </w:tcPr>
          <w:p w14:paraId="02115EB3">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中国热带农业科学院热带作物品种资源研究所</w:t>
            </w:r>
          </w:p>
        </w:tc>
        <w:tc>
          <w:tcPr>
            <w:tcW w:w="1276" w:type="dxa"/>
            <w:vAlign w:val="center"/>
          </w:tcPr>
          <w:p w14:paraId="4810E72C">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研究实习员</w:t>
            </w:r>
          </w:p>
        </w:tc>
        <w:tc>
          <w:tcPr>
            <w:tcW w:w="1985" w:type="dxa"/>
            <w:vAlign w:val="center"/>
          </w:tcPr>
          <w:p w14:paraId="4B06D6B5">
            <w:pPr>
              <w:jc w:val="center"/>
            </w:pPr>
            <w:r>
              <w:rPr>
                <w:rFonts w:hint="eastAsia" w:ascii="宋体" w:hAnsi="宋体"/>
              </w:rPr>
              <w:t>果品质量</w:t>
            </w:r>
          </w:p>
        </w:tc>
      </w:tr>
      <w:tr w14:paraId="2785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17" w:type="dxa"/>
            <w:vAlign w:val="center"/>
          </w:tcPr>
          <w:p w14:paraId="0866CF63">
            <w:pPr>
              <w:pStyle w:val="11"/>
              <w:widowControl/>
              <w:spacing w:beforeAutospacing="0" w:afterAutospacing="0" w:line="360" w:lineRule="auto"/>
              <w:jc w:val="center"/>
              <w:rPr>
                <w:rFonts w:hint="default" w:ascii="宋体" w:hAnsi="宋体" w:eastAsia="宋体"/>
                <w:b/>
                <w:bCs/>
                <w:kern w:val="2"/>
                <w:sz w:val="21"/>
                <w:szCs w:val="21"/>
                <w:lang w:val="en-US" w:eastAsia="zh-CN"/>
              </w:rPr>
            </w:pPr>
            <w:r>
              <w:rPr>
                <w:rFonts w:hint="eastAsia" w:ascii="宋体" w:hAnsi="宋体" w:eastAsia="宋体"/>
                <w:b/>
                <w:bCs/>
                <w:kern w:val="2"/>
                <w:sz w:val="21"/>
                <w:szCs w:val="21"/>
                <w:lang w:val="en-US" w:eastAsia="zh-CN"/>
              </w:rPr>
              <w:t>15</w:t>
            </w:r>
          </w:p>
        </w:tc>
        <w:tc>
          <w:tcPr>
            <w:tcW w:w="992" w:type="dxa"/>
            <w:vAlign w:val="center"/>
          </w:tcPr>
          <w:p w14:paraId="627C0ED0">
            <w:pPr>
              <w:pStyle w:val="50"/>
              <w:jc w:val="center"/>
              <w:rPr>
                <w:rFonts w:hint="eastAsia"/>
              </w:rPr>
            </w:pPr>
            <w:r>
              <w:rPr>
                <w:rFonts w:hint="eastAsia" w:ascii="宋体" w:hAnsi="宋体"/>
              </w:rPr>
              <w:t>陈弟</w:t>
            </w:r>
          </w:p>
        </w:tc>
        <w:tc>
          <w:tcPr>
            <w:tcW w:w="3402" w:type="dxa"/>
            <w:vAlign w:val="center"/>
          </w:tcPr>
          <w:p w14:paraId="5AE983CB">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中国热带农业科学院热带作物品种资源研究所</w:t>
            </w:r>
          </w:p>
        </w:tc>
        <w:tc>
          <w:tcPr>
            <w:tcW w:w="1276" w:type="dxa"/>
            <w:vAlign w:val="center"/>
          </w:tcPr>
          <w:p w14:paraId="3E0E2039">
            <w:pPr>
              <w:autoSpaceDE w:val="0"/>
              <w:adjustRightInd w:val="0"/>
              <w:snapToGrid w:val="0"/>
              <w:spacing w:before="312" w:beforeLines="100" w:after="20" w:line="360" w:lineRule="auto"/>
              <w:jc w:val="center"/>
              <w:rPr>
                <w:rFonts w:hint="eastAsia" w:ascii="宋体" w:hAnsi="宋体" w:eastAsia="宋体"/>
                <w:szCs w:val="21"/>
              </w:rPr>
            </w:pPr>
            <w:r>
              <w:rPr>
                <w:rFonts w:hint="eastAsia" w:ascii="宋体" w:hAnsi="宋体" w:eastAsia="宋体"/>
                <w:szCs w:val="21"/>
              </w:rPr>
              <w:t>副研究员</w:t>
            </w:r>
          </w:p>
        </w:tc>
        <w:tc>
          <w:tcPr>
            <w:tcW w:w="1985" w:type="dxa"/>
            <w:vAlign w:val="center"/>
          </w:tcPr>
          <w:p w14:paraId="4E741DFB">
            <w:pPr>
              <w:jc w:val="center"/>
            </w:pPr>
            <w:r>
              <w:rPr>
                <w:rFonts w:hint="eastAsia" w:ascii="宋体" w:hAnsi="宋体"/>
              </w:rPr>
              <w:t>生产档案管理、产品检测与准出管理</w:t>
            </w:r>
          </w:p>
        </w:tc>
      </w:tr>
    </w:tbl>
    <w:p w14:paraId="37671A90">
      <w:pPr>
        <w:pStyle w:val="11"/>
        <w:widowControl/>
        <w:spacing w:beforeAutospacing="0" w:afterAutospacing="0" w:line="360" w:lineRule="auto"/>
        <w:jc w:val="both"/>
        <w:rPr>
          <w:rFonts w:ascii="Times New Roman" w:hAnsi="Times New Roman"/>
          <w:b/>
          <w:bCs/>
          <w:kern w:val="2"/>
          <w:sz w:val="28"/>
          <w:szCs w:val="28"/>
        </w:rPr>
      </w:pPr>
    </w:p>
    <w:p w14:paraId="48FD4623">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二、编制情况</w:t>
      </w:r>
    </w:p>
    <w:p w14:paraId="7EE440CA">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（一）编制标准的必要性和意义及背景</w:t>
      </w:r>
    </w:p>
    <w:p w14:paraId="22013345">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lang w:eastAsia="zh-CN"/>
        </w:rPr>
        <w:t>龙眼</w:t>
      </w:r>
      <w:r>
        <w:rPr>
          <w:rFonts w:hint="eastAsia" w:ascii="Times New Roman" w:hAnsi="Times New Roman" w:cs="Times New Roman"/>
          <w:sz w:val="28"/>
          <w:szCs w:val="28"/>
        </w:rPr>
        <w:t>是重要的经济水果</w:t>
      </w:r>
      <w:r>
        <w:rPr>
          <w:rFonts w:ascii="Times New Roman" w:hAnsi="Times New Roman" w:cs="Times New Roman"/>
          <w:sz w:val="28"/>
          <w:szCs w:val="28"/>
        </w:rPr>
        <w:t>，是海南热带特色高效农业的优势产业</w:t>
      </w:r>
      <w:r>
        <w:rPr>
          <w:rFonts w:hint="eastAsia" w:ascii="Times New Roman" w:hAnsi="Times New Roman" w:cs="Times New Roman"/>
          <w:sz w:val="28"/>
          <w:szCs w:val="28"/>
          <w:lang w:val="en-US" w:eastAsia="zh-CN"/>
        </w:rPr>
        <w:t>之一</w:t>
      </w:r>
      <w:r>
        <w:rPr>
          <w:rFonts w:ascii="Times New Roman" w:hAnsi="Times New Roman" w:cs="Times New Roman"/>
          <w:sz w:val="28"/>
          <w:szCs w:val="28"/>
        </w:rPr>
        <w:t>。</w:t>
      </w:r>
      <w:r>
        <w:rPr>
          <w:rFonts w:hint="eastAsia" w:ascii="Times New Roman" w:hAnsi="Times New Roman" w:cs="Times New Roman"/>
          <w:sz w:val="28"/>
          <w:szCs w:val="28"/>
        </w:rPr>
        <w:t>目前</w:t>
      </w:r>
      <w:r>
        <w:rPr>
          <w:rFonts w:ascii="Times New Roman" w:hAnsi="Times New Roman" w:cs="Times New Roman"/>
          <w:sz w:val="28"/>
          <w:szCs w:val="28"/>
        </w:rPr>
        <w:t>海南省</w:t>
      </w:r>
      <w:r>
        <w:rPr>
          <w:rFonts w:hint="eastAsia" w:ascii="Times New Roman" w:hAnsi="Times New Roman" w:cs="Times New Roman"/>
          <w:sz w:val="28"/>
          <w:szCs w:val="28"/>
          <w:lang w:eastAsia="zh-CN"/>
        </w:rPr>
        <w:t>龙眼</w:t>
      </w:r>
      <w:r>
        <w:rPr>
          <w:rFonts w:ascii="Times New Roman" w:hAnsi="Times New Roman" w:cs="Times New Roman"/>
          <w:sz w:val="28"/>
          <w:szCs w:val="28"/>
        </w:rPr>
        <w:t>种植面积</w:t>
      </w:r>
      <w:r>
        <w:rPr>
          <w:rFonts w:hint="eastAsia" w:ascii="Times New Roman" w:hAnsi="Times New Roman" w:cs="Times New Roman"/>
          <w:sz w:val="28"/>
          <w:szCs w:val="28"/>
        </w:rPr>
        <w:t>约</w:t>
      </w:r>
      <w:r>
        <w:rPr>
          <w:rFonts w:hint="eastAsia" w:ascii="Times New Roman" w:hAnsi="Times New Roman" w:cs="Times New Roman"/>
          <w:sz w:val="28"/>
          <w:szCs w:val="28"/>
          <w:lang w:val="en-US" w:eastAsia="zh-CN"/>
        </w:rPr>
        <w:t>14.87</w:t>
      </w:r>
      <w:r>
        <w:rPr>
          <w:rFonts w:ascii="Times New Roman" w:hAnsi="Times New Roman" w:cs="Times New Roman"/>
          <w:sz w:val="28"/>
          <w:szCs w:val="28"/>
        </w:rPr>
        <w:t>万亩，</w:t>
      </w:r>
      <w:r>
        <w:rPr>
          <w:rFonts w:hint="eastAsia" w:ascii="Times New Roman" w:hAnsi="Times New Roman" w:cs="Times New Roman"/>
          <w:sz w:val="28"/>
          <w:szCs w:val="28"/>
          <w:lang w:val="en-US" w:eastAsia="zh-CN"/>
        </w:rPr>
        <w:t>其中70%以上为反季节龙眼生产模式，具有周年生产、优质、价格好等优势</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已</w:t>
      </w:r>
      <w:r>
        <w:rPr>
          <w:rFonts w:ascii="Times New Roman" w:hAnsi="Times New Roman" w:cs="Times New Roman"/>
          <w:sz w:val="28"/>
          <w:szCs w:val="28"/>
        </w:rPr>
        <w:t>成为促进海南农民增收的优势产业，也是乡村振兴的重要产业。</w:t>
      </w:r>
    </w:p>
    <w:p w14:paraId="6A0F3C2C">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产业迅速形成，但相应的技术措施配套较缓慢，尤其表现为</w:t>
      </w:r>
      <w:r>
        <w:rPr>
          <w:rFonts w:hint="eastAsia" w:ascii="Times New Roman" w:hAnsi="Times New Roman" w:cs="Times New Roman"/>
          <w:sz w:val="28"/>
          <w:szCs w:val="28"/>
          <w:lang w:val="en-US" w:eastAsia="zh-CN"/>
        </w:rPr>
        <w:t>稳定成花技术不佳</w:t>
      </w:r>
      <w:r>
        <w:rPr>
          <w:rFonts w:ascii="Times New Roman" w:hAnsi="Times New Roman" w:cs="Times New Roman"/>
          <w:sz w:val="28"/>
          <w:szCs w:val="28"/>
        </w:rPr>
        <w:t>、</w:t>
      </w:r>
      <w:r>
        <w:rPr>
          <w:rFonts w:hint="eastAsia" w:ascii="Times New Roman" w:hAnsi="Times New Roman" w:cs="Times New Roman"/>
          <w:sz w:val="28"/>
          <w:szCs w:val="28"/>
          <w:lang w:val="en-US" w:eastAsia="zh-CN"/>
        </w:rPr>
        <w:t>果实发育调控欠缺</w:t>
      </w:r>
      <w:r>
        <w:rPr>
          <w:rFonts w:ascii="Times New Roman" w:hAnsi="Times New Roman" w:cs="Times New Roman"/>
          <w:sz w:val="28"/>
          <w:szCs w:val="28"/>
        </w:rPr>
        <w:t>、检疫检验、病虫防治、果品质量标准和采后保鲜运输等方面技术配套措施缺乏，与之适应的标准相对较少，并未全部覆盖整个产业链，导致田间管理水平参差不齐、</w:t>
      </w:r>
      <w:r>
        <w:rPr>
          <w:rFonts w:hint="eastAsia" w:ascii="Times New Roman" w:hAnsi="Times New Roman" w:cs="Times New Roman"/>
          <w:sz w:val="28"/>
          <w:szCs w:val="28"/>
          <w:lang w:val="en-US" w:eastAsia="zh-CN"/>
        </w:rPr>
        <w:t>商品果</w:t>
      </w:r>
      <w:r>
        <w:rPr>
          <w:rFonts w:ascii="Times New Roman" w:hAnsi="Times New Roman" w:cs="Times New Roman"/>
          <w:sz w:val="28"/>
          <w:szCs w:val="28"/>
        </w:rPr>
        <w:t>率低、采后保鲜、分级和运输技术水平不高、品牌价值体现不足等问题，与之适应的标准并未全部覆盖整个</w:t>
      </w:r>
      <w:r>
        <w:rPr>
          <w:rFonts w:hint="eastAsia" w:ascii="Times New Roman" w:hAnsi="Times New Roman" w:cs="Times New Roman"/>
          <w:sz w:val="28"/>
          <w:szCs w:val="28"/>
          <w:highlight w:val="none"/>
          <w:lang w:val="en-US" w:eastAsia="zh-CN"/>
        </w:rPr>
        <w:t>龙眼</w:t>
      </w:r>
      <w:r>
        <w:rPr>
          <w:rFonts w:ascii="Times New Roman" w:hAnsi="Times New Roman" w:cs="Times New Roman"/>
          <w:sz w:val="28"/>
          <w:szCs w:val="28"/>
        </w:rPr>
        <w:t>产业链，对未来</w:t>
      </w:r>
      <w:r>
        <w:rPr>
          <w:rFonts w:hint="eastAsia" w:ascii="Times New Roman" w:hAnsi="Times New Roman" w:cs="Times New Roman"/>
          <w:sz w:val="28"/>
          <w:szCs w:val="28"/>
          <w:lang w:eastAsia="zh-CN"/>
        </w:rPr>
        <w:t>龙眼</w:t>
      </w:r>
      <w:r>
        <w:rPr>
          <w:rFonts w:ascii="Times New Roman" w:hAnsi="Times New Roman" w:cs="Times New Roman"/>
          <w:sz w:val="28"/>
          <w:szCs w:val="28"/>
        </w:rPr>
        <w:t>产业朝高质量方向发展带来隐患。</w:t>
      </w:r>
    </w:p>
    <w:p w14:paraId="2C5A2C2B">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本文件致力于在国家相关法律法规及标准体系框架下，立足海南优质农产品资源</w:t>
      </w:r>
      <w:r>
        <w:rPr>
          <w:rFonts w:hint="eastAsia" w:ascii="Times New Roman" w:hAnsi="Times New Roman" w:cs="Times New Roman"/>
          <w:sz w:val="28"/>
          <w:szCs w:val="28"/>
          <w:lang w:val="en-US" w:eastAsia="zh-CN"/>
        </w:rPr>
        <w:t>与环境</w:t>
      </w:r>
      <w:r>
        <w:rPr>
          <w:rFonts w:ascii="Times New Roman" w:hAnsi="Times New Roman" w:cs="Times New Roman"/>
          <w:sz w:val="28"/>
          <w:szCs w:val="28"/>
        </w:rPr>
        <w:t>优势，以市场为导向，以本文件为引领和支撑，保证产品品质，提升产品价值，打造海南优质</w:t>
      </w:r>
      <w:r>
        <w:rPr>
          <w:rFonts w:hint="eastAsia" w:ascii="Times New Roman" w:hAnsi="Times New Roman" w:cs="Times New Roman"/>
          <w:sz w:val="28"/>
          <w:szCs w:val="28"/>
          <w:lang w:eastAsia="zh-CN"/>
        </w:rPr>
        <w:t>龙眼</w:t>
      </w:r>
      <w:r>
        <w:rPr>
          <w:rFonts w:ascii="Times New Roman" w:hAnsi="Times New Roman" w:cs="Times New Roman"/>
          <w:sz w:val="28"/>
          <w:szCs w:val="28"/>
        </w:rPr>
        <w:t>产品。对进一步增强海南</w:t>
      </w:r>
      <w:r>
        <w:rPr>
          <w:rFonts w:hint="eastAsia" w:ascii="Times New Roman" w:hAnsi="Times New Roman" w:cs="Times New Roman"/>
          <w:sz w:val="28"/>
          <w:szCs w:val="28"/>
          <w:lang w:eastAsia="zh-CN"/>
        </w:rPr>
        <w:t>龙眼</w:t>
      </w:r>
      <w:r>
        <w:rPr>
          <w:rFonts w:ascii="Times New Roman" w:hAnsi="Times New Roman" w:cs="Times New Roman"/>
          <w:sz w:val="28"/>
          <w:szCs w:val="28"/>
        </w:rPr>
        <w:t>产业市场竞争力，促进海南</w:t>
      </w:r>
      <w:r>
        <w:rPr>
          <w:rFonts w:hint="eastAsia" w:ascii="Times New Roman" w:hAnsi="Times New Roman" w:cs="Times New Roman"/>
          <w:sz w:val="28"/>
          <w:szCs w:val="28"/>
          <w:lang w:eastAsia="zh-CN"/>
        </w:rPr>
        <w:t>龙眼</w:t>
      </w:r>
      <w:r>
        <w:rPr>
          <w:rFonts w:ascii="Times New Roman" w:hAnsi="Times New Roman" w:cs="Times New Roman"/>
          <w:sz w:val="28"/>
          <w:szCs w:val="28"/>
        </w:rPr>
        <w:t>产业发展，推动我国</w:t>
      </w:r>
      <w:r>
        <w:rPr>
          <w:rFonts w:hint="eastAsia" w:ascii="Times New Roman" w:hAnsi="Times New Roman" w:cs="Times New Roman"/>
          <w:sz w:val="28"/>
          <w:szCs w:val="28"/>
          <w:lang w:eastAsia="zh-CN"/>
        </w:rPr>
        <w:t>龙眼</w:t>
      </w:r>
      <w:r>
        <w:rPr>
          <w:rFonts w:ascii="Times New Roman" w:hAnsi="Times New Roman" w:cs="Times New Roman"/>
          <w:sz w:val="28"/>
          <w:szCs w:val="28"/>
        </w:rPr>
        <w:t>产业持续健康发展，具有非常重要而深远的意义。</w:t>
      </w:r>
    </w:p>
    <w:p w14:paraId="575B91E2">
      <w:pPr>
        <w:spacing w:line="360" w:lineRule="auto"/>
        <w:rPr>
          <w:rFonts w:ascii="Times New Roman" w:hAnsi="Times New Roman" w:cs="Times New Roman"/>
          <w:b/>
          <w:bCs/>
          <w:sz w:val="28"/>
          <w:szCs w:val="28"/>
        </w:rPr>
      </w:pPr>
      <w:r>
        <w:rPr>
          <w:rFonts w:ascii="Times New Roman" w:hAnsi="Times New Roman" w:cs="Times New Roman"/>
          <w:b/>
          <w:bCs/>
          <w:sz w:val="28"/>
          <w:szCs w:val="28"/>
        </w:rPr>
        <w:t>（二）编制过程简介</w:t>
      </w:r>
    </w:p>
    <w:p w14:paraId="76697DEC">
      <w:pPr>
        <w:pStyle w:val="11"/>
        <w:widowControl/>
        <w:spacing w:beforeAutospacing="0" w:afterAutospacing="0" w:line="360" w:lineRule="auto"/>
        <w:ind w:firstLine="562" w:firstLineChars="200"/>
        <w:jc w:val="both"/>
        <w:rPr>
          <w:rFonts w:ascii="Times New Roman" w:hAnsi="Times New Roman"/>
          <w:b/>
          <w:bCs/>
          <w:sz w:val="28"/>
          <w:szCs w:val="28"/>
        </w:rPr>
      </w:pPr>
      <w:r>
        <w:rPr>
          <w:rFonts w:ascii="Times New Roman" w:hAnsi="Times New Roman"/>
          <w:b/>
          <w:bCs/>
          <w:sz w:val="28"/>
          <w:szCs w:val="28"/>
        </w:rPr>
        <w:t>1、标准起草过程</w:t>
      </w:r>
    </w:p>
    <w:p w14:paraId="2DCEF0FD">
      <w:pPr>
        <w:pStyle w:val="11"/>
        <w:widowControl/>
        <w:spacing w:beforeAutospacing="0" w:afterAutospacing="0" w:line="360" w:lineRule="auto"/>
        <w:ind w:firstLine="560" w:firstLineChars="200"/>
        <w:jc w:val="both"/>
        <w:rPr>
          <w:rFonts w:ascii="Times New Roman" w:hAnsi="Times New Roman"/>
          <w:bCs/>
          <w:color w:val="000000"/>
          <w:sz w:val="28"/>
          <w:szCs w:val="28"/>
        </w:rPr>
      </w:pPr>
      <w:r>
        <w:rPr>
          <w:rFonts w:ascii="Times New Roman" w:hAnsi="Times New Roman"/>
          <w:bCs/>
          <w:color w:val="000000"/>
          <w:sz w:val="28"/>
          <w:szCs w:val="28"/>
        </w:rPr>
        <w:t>202</w:t>
      </w:r>
      <w:r>
        <w:rPr>
          <w:rFonts w:hint="eastAsia" w:ascii="Times New Roman" w:hAnsi="Times New Roman"/>
          <w:bCs/>
          <w:color w:val="000000"/>
          <w:sz w:val="28"/>
          <w:szCs w:val="28"/>
          <w:lang w:val="en-US" w:eastAsia="zh-CN"/>
        </w:rPr>
        <w:t>4</w:t>
      </w:r>
      <w:r>
        <w:rPr>
          <w:rFonts w:ascii="Times New Roman" w:hAnsi="Times New Roman"/>
          <w:bCs/>
          <w:color w:val="000000"/>
          <w:sz w:val="28"/>
          <w:szCs w:val="28"/>
        </w:rPr>
        <w:t>年</w:t>
      </w:r>
      <w:r>
        <w:rPr>
          <w:rFonts w:hint="eastAsia" w:ascii="Times New Roman" w:hAnsi="Times New Roman"/>
          <w:bCs/>
          <w:color w:val="000000"/>
          <w:sz w:val="28"/>
          <w:szCs w:val="28"/>
          <w:lang w:val="en-US" w:eastAsia="zh-CN"/>
        </w:rPr>
        <w:t>8</w:t>
      </w:r>
      <w:r>
        <w:rPr>
          <w:rFonts w:ascii="Times New Roman" w:hAnsi="Times New Roman"/>
          <w:bCs/>
          <w:color w:val="000000"/>
          <w:sz w:val="28"/>
          <w:szCs w:val="28"/>
        </w:rPr>
        <w:t>月，</w:t>
      </w:r>
      <w:r>
        <w:rPr>
          <w:rFonts w:ascii="Times New Roman" w:hAnsi="Times New Roman"/>
          <w:sz w:val="28"/>
          <w:szCs w:val="28"/>
        </w:rPr>
        <w:t>中国热带农业科学院热带作物品种资源研究所</w:t>
      </w:r>
      <w:r>
        <w:rPr>
          <w:rFonts w:hint="eastAsia" w:ascii="Times New Roman" w:hAnsi="Times New Roman"/>
          <w:sz w:val="28"/>
          <w:szCs w:val="28"/>
          <w:lang w:val="en-US" w:eastAsia="zh-CN"/>
        </w:rPr>
        <w:t>向</w:t>
      </w:r>
      <w:r>
        <w:rPr>
          <w:rFonts w:hint="eastAsia" w:ascii="Times New Roman" w:hAnsi="Times New Roman"/>
          <w:bCs/>
          <w:color w:val="000000"/>
          <w:sz w:val="28"/>
          <w:szCs w:val="28"/>
        </w:rPr>
        <w:t>海南省现代农业检验检测预警防控中心</w:t>
      </w:r>
      <w:r>
        <w:rPr>
          <w:rFonts w:ascii="Times New Roman" w:hAnsi="Times New Roman"/>
          <w:bCs/>
          <w:color w:val="000000"/>
          <w:sz w:val="28"/>
          <w:szCs w:val="28"/>
        </w:rPr>
        <w:t xml:space="preserve">提出《农产品全产业链生产规范 </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w:t>
      </w:r>
      <w:r>
        <w:rPr>
          <w:rFonts w:hint="eastAsia" w:ascii="Times New Roman" w:hAnsi="Times New Roman"/>
          <w:bCs/>
          <w:color w:val="000000"/>
          <w:sz w:val="28"/>
          <w:szCs w:val="28"/>
          <w:lang w:val="en-US" w:eastAsia="zh-CN"/>
        </w:rPr>
        <w:t>地方</w:t>
      </w:r>
      <w:r>
        <w:rPr>
          <w:rFonts w:hint="eastAsia" w:ascii="Times New Roman" w:hAnsi="Times New Roman"/>
          <w:bCs/>
          <w:color w:val="000000"/>
          <w:sz w:val="28"/>
          <w:szCs w:val="28"/>
        </w:rPr>
        <w:t>标准</w:t>
      </w:r>
      <w:r>
        <w:rPr>
          <w:rFonts w:ascii="Times New Roman" w:hAnsi="Times New Roman"/>
          <w:bCs/>
          <w:color w:val="000000"/>
          <w:sz w:val="28"/>
          <w:szCs w:val="28"/>
        </w:rPr>
        <w:t>的申请，202</w:t>
      </w:r>
      <w:r>
        <w:rPr>
          <w:rFonts w:hint="eastAsia" w:ascii="Times New Roman" w:hAnsi="Times New Roman"/>
          <w:bCs/>
          <w:color w:val="000000"/>
          <w:sz w:val="28"/>
          <w:szCs w:val="28"/>
          <w:lang w:val="en-US" w:eastAsia="zh-CN"/>
        </w:rPr>
        <w:t>4</w:t>
      </w:r>
      <w:r>
        <w:rPr>
          <w:rFonts w:ascii="Times New Roman" w:hAnsi="Times New Roman"/>
          <w:bCs/>
          <w:color w:val="000000"/>
          <w:sz w:val="28"/>
          <w:szCs w:val="28"/>
        </w:rPr>
        <w:t>年</w:t>
      </w:r>
      <w:r>
        <w:rPr>
          <w:rFonts w:hint="eastAsia" w:ascii="Times New Roman" w:hAnsi="Times New Roman"/>
          <w:bCs/>
          <w:color w:val="000000"/>
          <w:sz w:val="28"/>
          <w:szCs w:val="28"/>
          <w:lang w:val="en-US" w:eastAsia="zh-CN"/>
        </w:rPr>
        <w:t>9月</w:t>
      </w:r>
      <w:r>
        <w:rPr>
          <w:rFonts w:hint="eastAsia" w:ascii="Times New Roman" w:hAnsi="Times New Roman"/>
          <w:bCs/>
          <w:color w:val="000000"/>
          <w:sz w:val="28"/>
          <w:szCs w:val="28"/>
        </w:rPr>
        <w:t>1</w:t>
      </w:r>
      <w:r>
        <w:rPr>
          <w:rFonts w:hint="eastAsia" w:ascii="Times New Roman" w:hAnsi="Times New Roman"/>
          <w:bCs/>
          <w:color w:val="000000"/>
          <w:sz w:val="28"/>
          <w:szCs w:val="28"/>
          <w:lang w:val="en-US" w:eastAsia="zh-CN"/>
        </w:rPr>
        <w:t>9</w:t>
      </w:r>
      <w:r>
        <w:rPr>
          <w:rFonts w:ascii="Times New Roman" w:hAnsi="Times New Roman"/>
          <w:bCs/>
          <w:color w:val="000000"/>
          <w:sz w:val="28"/>
          <w:szCs w:val="28"/>
        </w:rPr>
        <w:t>日</w:t>
      </w:r>
      <w:r>
        <w:rPr>
          <w:rFonts w:hint="eastAsia" w:ascii="Times New Roman" w:hAnsi="Times New Roman"/>
          <w:bCs/>
          <w:color w:val="000000"/>
          <w:sz w:val="28"/>
          <w:szCs w:val="28"/>
        </w:rPr>
        <w:t>海南省现代农业检验检测预警防控中心</w:t>
      </w:r>
      <w:r>
        <w:rPr>
          <w:rFonts w:hint="eastAsia" w:ascii="Times New Roman" w:hAnsi="Times New Roman"/>
          <w:bCs/>
          <w:color w:val="000000"/>
          <w:sz w:val="28"/>
          <w:szCs w:val="28"/>
          <w:lang w:val="en-US" w:eastAsia="zh-CN"/>
        </w:rPr>
        <w:t>组织了立项申请答辩会</w:t>
      </w:r>
      <w:r>
        <w:rPr>
          <w:rFonts w:ascii="Times New Roman" w:hAnsi="Times New Roman"/>
          <w:bCs/>
          <w:color w:val="000000"/>
          <w:sz w:val="28"/>
          <w:szCs w:val="28"/>
        </w:rPr>
        <w:t>。标准立项后，</w:t>
      </w:r>
      <w:r>
        <w:rPr>
          <w:rFonts w:ascii="Times New Roman" w:hAnsi="Times New Roman"/>
          <w:sz w:val="28"/>
          <w:szCs w:val="28"/>
          <w:highlight w:val="none"/>
        </w:rPr>
        <w:t>中国热带农业科学院热带作物品种资源研究所</w:t>
      </w:r>
      <w:r>
        <w:rPr>
          <w:rFonts w:ascii="Times New Roman" w:hAnsi="Times New Roman"/>
          <w:bCs/>
          <w:color w:val="000000"/>
          <w:sz w:val="28"/>
          <w:szCs w:val="28"/>
          <w:highlight w:val="none"/>
        </w:rPr>
        <w:t>联合海南省</w:t>
      </w:r>
      <w:r>
        <w:rPr>
          <w:rFonts w:hint="eastAsia" w:ascii="Times New Roman" w:hAnsi="Times New Roman"/>
          <w:bCs/>
          <w:color w:val="000000"/>
          <w:sz w:val="28"/>
          <w:szCs w:val="28"/>
          <w:highlight w:val="none"/>
          <w:lang w:val="en-US" w:eastAsia="zh-CN"/>
        </w:rPr>
        <w:t>龙眼</w:t>
      </w:r>
      <w:r>
        <w:rPr>
          <w:rFonts w:ascii="Times New Roman" w:hAnsi="Times New Roman"/>
          <w:bCs/>
          <w:color w:val="000000"/>
          <w:sz w:val="28"/>
          <w:szCs w:val="28"/>
          <w:highlight w:val="none"/>
        </w:rPr>
        <w:t>行业专业人员成立标准编制小组，</w:t>
      </w:r>
      <w:r>
        <w:rPr>
          <w:rFonts w:ascii="Times New Roman" w:hAnsi="Times New Roman"/>
          <w:bCs/>
          <w:color w:val="000000"/>
          <w:sz w:val="28"/>
          <w:szCs w:val="28"/>
        </w:rPr>
        <w:t>制定了海南省</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全产业链</w:t>
      </w:r>
      <w:r>
        <w:rPr>
          <w:rFonts w:hint="eastAsia" w:ascii="Times New Roman" w:hAnsi="Times New Roman"/>
          <w:bCs/>
          <w:color w:val="000000"/>
          <w:sz w:val="28"/>
          <w:szCs w:val="28"/>
          <w:lang w:eastAsia="zh-CN"/>
        </w:rPr>
        <w:t>地方</w:t>
      </w:r>
      <w:r>
        <w:rPr>
          <w:rFonts w:hint="eastAsia" w:ascii="Times New Roman" w:hAnsi="Times New Roman"/>
          <w:bCs/>
          <w:color w:val="000000"/>
          <w:sz w:val="28"/>
          <w:szCs w:val="28"/>
        </w:rPr>
        <w:t>标准</w:t>
      </w:r>
      <w:r>
        <w:rPr>
          <w:rFonts w:ascii="Times New Roman" w:hAnsi="Times New Roman"/>
          <w:bCs/>
          <w:color w:val="000000"/>
          <w:sz w:val="28"/>
          <w:szCs w:val="28"/>
        </w:rPr>
        <w:t>制订实施方案。根据国家相关标准，通过收集参考文献和资料，进一步开展海南</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全产业链的生产情况调研，查阅和收集一些相关标准，以及中华人民共和国国家标准和行业标准目录及农业部的一些相关行业标准等资料。</w:t>
      </w:r>
      <w:r>
        <w:rPr>
          <w:rFonts w:ascii="Times New Roman" w:hAnsi="Times New Roman"/>
          <w:bCs/>
          <w:color w:val="000000"/>
          <w:sz w:val="28"/>
          <w:szCs w:val="28"/>
          <w:highlight w:val="none"/>
        </w:rPr>
        <w:t>202</w:t>
      </w:r>
      <w:r>
        <w:rPr>
          <w:rFonts w:hint="eastAsia" w:ascii="Times New Roman" w:hAnsi="Times New Roman"/>
          <w:bCs/>
          <w:color w:val="000000"/>
          <w:sz w:val="28"/>
          <w:szCs w:val="28"/>
          <w:highlight w:val="none"/>
          <w:lang w:val="en-US" w:eastAsia="zh-CN"/>
        </w:rPr>
        <w:t>4</w:t>
      </w:r>
      <w:r>
        <w:rPr>
          <w:rFonts w:ascii="Times New Roman" w:hAnsi="Times New Roman"/>
          <w:bCs/>
          <w:color w:val="000000"/>
          <w:sz w:val="28"/>
          <w:szCs w:val="28"/>
          <w:highlight w:val="none"/>
        </w:rPr>
        <w:t>年1</w:t>
      </w:r>
      <w:r>
        <w:rPr>
          <w:rFonts w:hint="eastAsia" w:ascii="Times New Roman" w:hAnsi="Times New Roman"/>
          <w:bCs/>
          <w:color w:val="000000"/>
          <w:sz w:val="28"/>
          <w:szCs w:val="28"/>
          <w:highlight w:val="none"/>
          <w:lang w:val="en-US" w:eastAsia="zh-CN"/>
        </w:rPr>
        <w:t>1</w:t>
      </w:r>
      <w:r>
        <w:rPr>
          <w:rFonts w:ascii="Times New Roman" w:hAnsi="Times New Roman"/>
          <w:bCs/>
          <w:color w:val="000000"/>
          <w:sz w:val="28"/>
          <w:szCs w:val="28"/>
          <w:highlight w:val="none"/>
        </w:rPr>
        <w:t xml:space="preserve">月20日，召开了《农产品全产业链生产规范 </w:t>
      </w:r>
      <w:r>
        <w:rPr>
          <w:rFonts w:hint="eastAsia" w:ascii="Times New Roman" w:hAnsi="Times New Roman"/>
          <w:bCs/>
          <w:color w:val="000000"/>
          <w:sz w:val="28"/>
          <w:szCs w:val="28"/>
          <w:highlight w:val="none"/>
          <w:lang w:eastAsia="zh-CN"/>
        </w:rPr>
        <w:t>龙眼</w:t>
      </w:r>
      <w:r>
        <w:rPr>
          <w:rFonts w:ascii="Times New Roman" w:hAnsi="Times New Roman"/>
          <w:bCs/>
          <w:color w:val="000000"/>
          <w:sz w:val="28"/>
          <w:szCs w:val="28"/>
          <w:highlight w:val="none"/>
        </w:rPr>
        <w:t>》标准编制启动会，会议采用线上线下结合的方式，科研院所</w:t>
      </w:r>
      <w:r>
        <w:rPr>
          <w:rFonts w:hint="eastAsia" w:ascii="Times New Roman" w:hAnsi="Times New Roman"/>
          <w:bCs/>
          <w:color w:val="000000"/>
          <w:sz w:val="28"/>
          <w:szCs w:val="28"/>
          <w:highlight w:val="none"/>
          <w:lang w:val="en-US" w:eastAsia="zh-CN"/>
        </w:rPr>
        <w:t>龙眼</w:t>
      </w:r>
      <w:r>
        <w:rPr>
          <w:rFonts w:ascii="Times New Roman" w:hAnsi="Times New Roman"/>
          <w:bCs/>
          <w:color w:val="000000"/>
          <w:sz w:val="28"/>
          <w:szCs w:val="28"/>
          <w:highlight w:val="none"/>
        </w:rPr>
        <w:t>专家</w:t>
      </w:r>
      <w:r>
        <w:rPr>
          <w:rFonts w:hint="eastAsia" w:ascii="Times New Roman" w:hAnsi="Times New Roman"/>
          <w:bCs/>
          <w:color w:val="000000"/>
          <w:sz w:val="28"/>
          <w:szCs w:val="28"/>
          <w:highlight w:val="none"/>
          <w:lang w:val="en-US" w:eastAsia="zh-CN"/>
        </w:rPr>
        <w:t>及标准制定专家</w:t>
      </w:r>
      <w:r>
        <w:rPr>
          <w:rFonts w:ascii="Times New Roman" w:hAnsi="Times New Roman"/>
          <w:bCs/>
          <w:color w:val="000000"/>
          <w:sz w:val="28"/>
          <w:szCs w:val="28"/>
          <w:highlight w:val="none"/>
        </w:rPr>
        <w:t>、</w:t>
      </w:r>
      <w:r>
        <w:rPr>
          <w:rFonts w:hint="eastAsia" w:ascii="Times New Roman" w:hAnsi="Times New Roman"/>
          <w:bCs/>
          <w:color w:val="000000"/>
          <w:sz w:val="28"/>
          <w:szCs w:val="28"/>
          <w:highlight w:val="none"/>
          <w:lang w:val="en-US" w:eastAsia="zh-CN"/>
        </w:rPr>
        <w:t>技术推广人员</w:t>
      </w:r>
      <w:r>
        <w:rPr>
          <w:rFonts w:ascii="Times New Roman" w:hAnsi="Times New Roman"/>
          <w:bCs/>
          <w:color w:val="000000"/>
          <w:sz w:val="28"/>
          <w:szCs w:val="28"/>
          <w:highlight w:val="none"/>
        </w:rPr>
        <w:t>、企业</w:t>
      </w:r>
      <w:r>
        <w:rPr>
          <w:rFonts w:hint="eastAsia" w:ascii="Times New Roman" w:hAnsi="Times New Roman"/>
          <w:bCs/>
          <w:color w:val="000000"/>
          <w:sz w:val="28"/>
          <w:szCs w:val="28"/>
          <w:highlight w:val="none"/>
          <w:lang w:val="en-US" w:eastAsia="zh-CN"/>
        </w:rPr>
        <w:t>代表</w:t>
      </w:r>
      <w:r>
        <w:rPr>
          <w:rFonts w:ascii="Times New Roman" w:hAnsi="Times New Roman"/>
          <w:bCs/>
          <w:color w:val="000000"/>
          <w:sz w:val="28"/>
          <w:szCs w:val="28"/>
          <w:highlight w:val="none"/>
        </w:rPr>
        <w:t>参加了会议，研讨确定标准的整体框架及主体内容，并对标准的关键性或存在争议性的内容进行了初步探讨。</w:t>
      </w:r>
      <w:r>
        <w:rPr>
          <w:rFonts w:ascii="Times New Roman" w:hAnsi="Times New Roman"/>
          <w:bCs/>
          <w:color w:val="000000"/>
          <w:sz w:val="28"/>
          <w:szCs w:val="28"/>
        </w:rPr>
        <w:t>会议落实了工作小组成员任务和分工。</w:t>
      </w:r>
    </w:p>
    <w:p w14:paraId="401EF26A">
      <w:pPr>
        <w:pStyle w:val="11"/>
        <w:widowControl/>
        <w:spacing w:beforeAutospacing="0" w:afterAutospacing="0" w:line="360" w:lineRule="auto"/>
        <w:ind w:firstLine="562" w:firstLineChars="200"/>
        <w:jc w:val="both"/>
        <w:rPr>
          <w:rFonts w:ascii="Times New Roman" w:hAnsi="Times New Roman"/>
          <w:sz w:val="28"/>
          <w:szCs w:val="28"/>
        </w:rPr>
      </w:pPr>
      <w:r>
        <w:rPr>
          <w:rFonts w:ascii="Times New Roman" w:hAnsi="Times New Roman"/>
          <w:b/>
          <w:bCs/>
          <w:sz w:val="28"/>
          <w:szCs w:val="28"/>
        </w:rPr>
        <w:t>（1）资料收集。</w:t>
      </w:r>
      <w:r>
        <w:rPr>
          <w:rFonts w:ascii="Times New Roman" w:hAnsi="Times New Roman"/>
          <w:bCs/>
          <w:color w:val="000000"/>
          <w:sz w:val="28"/>
          <w:szCs w:val="28"/>
        </w:rPr>
        <w:t>深入学习《农业农村部关于加快农业全产业链培育发展的指导意见》（农产发〔2021〕2号）、《农业农村部关于开展现代农业全产业链标准化试点工作的通知》（农质发〔2021〕4号）以及《地方标准制修订工作规范》（DB46/T 74-2021）等法律法规及有关文件，工作组通过各种途径收集国内外</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全产业链领域发展状况，及相关方针政策、法律法规、标准、相关实践经验、存在问题与解决办法、最新科研成果和专利等资料，并进行分析。研究</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 xml:space="preserve">全产业链标准的总体布局，体现标准体系层级、分类及其之间的支撑配套关系，编制《农产品全产业链生产技术规程 </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》初稿。</w:t>
      </w:r>
    </w:p>
    <w:p w14:paraId="5E03CBEE">
      <w:pPr>
        <w:pStyle w:val="11"/>
        <w:widowControl/>
        <w:spacing w:beforeAutospacing="0" w:afterAutospacing="0" w:line="360" w:lineRule="auto"/>
        <w:ind w:firstLine="562" w:firstLineChars="200"/>
        <w:jc w:val="both"/>
        <w:rPr>
          <w:rFonts w:ascii="Times New Roman" w:hAnsi="Times New Roman"/>
          <w:sz w:val="28"/>
          <w:szCs w:val="28"/>
        </w:rPr>
      </w:pPr>
      <w:r>
        <w:rPr>
          <w:rFonts w:ascii="Times New Roman" w:hAnsi="Times New Roman"/>
          <w:b/>
          <w:bCs/>
          <w:sz w:val="28"/>
          <w:szCs w:val="28"/>
        </w:rPr>
        <w:t>（2）实地调研。</w:t>
      </w:r>
      <w:r>
        <w:rPr>
          <w:rFonts w:ascii="Times New Roman" w:hAnsi="Times New Roman"/>
          <w:sz w:val="28"/>
          <w:szCs w:val="28"/>
        </w:rPr>
        <w:t>按照任务分工，工作组赴</w:t>
      </w:r>
      <w:r>
        <w:rPr>
          <w:rFonts w:hint="eastAsia" w:ascii="Times New Roman" w:hAnsi="Times New Roman"/>
          <w:sz w:val="28"/>
          <w:szCs w:val="28"/>
          <w:lang w:val="en-US" w:eastAsia="zh-CN"/>
        </w:rPr>
        <w:t>乐东</w:t>
      </w:r>
      <w:r>
        <w:rPr>
          <w:rFonts w:ascii="Times New Roman" w:hAnsi="Times New Roman"/>
          <w:sz w:val="28"/>
          <w:szCs w:val="28"/>
        </w:rPr>
        <w:t>、</w:t>
      </w:r>
      <w:r>
        <w:rPr>
          <w:rFonts w:hint="eastAsia" w:ascii="Times New Roman" w:hAnsi="Times New Roman"/>
          <w:sz w:val="28"/>
          <w:szCs w:val="28"/>
          <w:lang w:val="en-US" w:eastAsia="zh-CN"/>
        </w:rPr>
        <w:t>东方</w:t>
      </w:r>
      <w:r>
        <w:rPr>
          <w:rFonts w:ascii="Times New Roman" w:hAnsi="Times New Roman"/>
          <w:sz w:val="28"/>
          <w:szCs w:val="28"/>
        </w:rPr>
        <w:t>、</w:t>
      </w:r>
      <w:r>
        <w:rPr>
          <w:rFonts w:hint="eastAsia" w:ascii="Times New Roman" w:hAnsi="Times New Roman"/>
          <w:sz w:val="28"/>
          <w:szCs w:val="28"/>
          <w:lang w:val="en-US" w:eastAsia="zh-CN"/>
        </w:rPr>
        <w:t>保亭、海口</w:t>
      </w:r>
      <w:r>
        <w:rPr>
          <w:rFonts w:ascii="Times New Roman" w:hAnsi="Times New Roman"/>
          <w:sz w:val="28"/>
          <w:szCs w:val="28"/>
        </w:rPr>
        <w:t>等地的</w:t>
      </w:r>
      <w:r>
        <w:rPr>
          <w:rFonts w:hint="eastAsia" w:ascii="Times New Roman" w:hAnsi="Times New Roman"/>
          <w:sz w:val="28"/>
          <w:szCs w:val="28"/>
          <w:lang w:eastAsia="zh-CN"/>
        </w:rPr>
        <w:t>龙眼</w:t>
      </w:r>
      <w:r>
        <w:rPr>
          <w:rFonts w:ascii="Times New Roman" w:hAnsi="Times New Roman"/>
          <w:sz w:val="28"/>
          <w:szCs w:val="28"/>
        </w:rPr>
        <w:t>生产主产区进行实地调研、座谈，</w:t>
      </w:r>
      <w:r>
        <w:rPr>
          <w:rFonts w:ascii="Times New Roman" w:hAnsi="Times New Roman"/>
          <w:bCs/>
          <w:color w:val="000000"/>
          <w:sz w:val="28"/>
          <w:szCs w:val="28"/>
        </w:rPr>
        <w:t>与当地政府、农技推广部门及企业管理和技术人员、种植户等重点围绕</w:t>
      </w:r>
      <w:r>
        <w:rPr>
          <w:rFonts w:hint="eastAsia" w:ascii="Times New Roman" w:hAnsi="Times New Roman"/>
          <w:bCs/>
          <w:color w:val="000000"/>
          <w:sz w:val="28"/>
          <w:szCs w:val="28"/>
          <w:lang w:eastAsia="zh-CN"/>
        </w:rPr>
        <w:t>龙眼</w:t>
      </w:r>
      <w:r>
        <w:rPr>
          <w:rFonts w:ascii="Times New Roman" w:hAnsi="Times New Roman"/>
          <w:bCs/>
          <w:color w:val="000000"/>
          <w:sz w:val="28"/>
          <w:szCs w:val="28"/>
        </w:rPr>
        <w:t>全产业链存在的问题、如何进一步完善标准框架进行讨论</w:t>
      </w:r>
      <w:r>
        <w:rPr>
          <w:rFonts w:ascii="Times New Roman" w:hAnsi="Times New Roman"/>
          <w:sz w:val="28"/>
          <w:szCs w:val="28"/>
        </w:rPr>
        <w:t>。</w:t>
      </w:r>
    </w:p>
    <w:p w14:paraId="391D16DA">
      <w:pPr>
        <w:pStyle w:val="11"/>
        <w:widowControl/>
        <w:spacing w:beforeAutospacing="0" w:afterAutospacing="0" w:line="360" w:lineRule="auto"/>
        <w:jc w:val="both"/>
        <w:rPr>
          <w:rFonts w:hint="eastAsia" w:ascii="Times New Roman" w:hAnsi="Times New Roman" w:eastAsiaTheme="minorEastAsia"/>
          <w:bCs/>
          <w:color w:val="000000"/>
          <w:sz w:val="28"/>
          <w:szCs w:val="28"/>
          <w:lang w:eastAsia="zh-CN"/>
        </w:rPr>
      </w:pPr>
      <w:r>
        <w:rPr>
          <w:rFonts w:hint="eastAsia" w:ascii="Times New Roman" w:hAnsi="Times New Roman" w:eastAsiaTheme="minorEastAsia"/>
          <w:bCs/>
          <w:color w:val="000000"/>
          <w:sz w:val="28"/>
          <w:szCs w:val="28"/>
          <w:lang w:eastAsia="zh-CN"/>
        </w:rPr>
        <w:drawing>
          <wp:inline distT="0" distB="0" distL="114300" distR="114300">
            <wp:extent cx="2628265" cy="1972310"/>
            <wp:effectExtent l="0" t="0" r="635" b="8890"/>
            <wp:docPr id="2" name="图片 2" descr="IMG_20250213_1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13_163236"/>
                    <pic:cNvPicPr>
                      <a:picLocks noChangeAspect="1"/>
                    </pic:cNvPicPr>
                  </pic:nvPicPr>
                  <pic:blipFill>
                    <a:blip r:embed="rId5"/>
                    <a:stretch>
                      <a:fillRect/>
                    </a:stretch>
                  </pic:blipFill>
                  <pic:spPr>
                    <a:xfrm>
                      <a:off x="0" y="0"/>
                      <a:ext cx="2628265" cy="1972310"/>
                    </a:xfrm>
                    <a:prstGeom prst="rect">
                      <a:avLst/>
                    </a:prstGeom>
                  </pic:spPr>
                </pic:pic>
              </a:graphicData>
            </a:graphic>
          </wp:inline>
        </w:drawing>
      </w:r>
      <w:r>
        <w:rPr>
          <w:rFonts w:hint="eastAsia" w:ascii="Times New Roman" w:hAnsi="Times New Roman" w:eastAsiaTheme="minorEastAsia"/>
          <w:bCs/>
          <w:color w:val="000000"/>
          <w:sz w:val="28"/>
          <w:szCs w:val="28"/>
          <w:lang w:eastAsia="zh-CN"/>
        </w:rPr>
        <w:drawing>
          <wp:inline distT="0" distB="0" distL="114300" distR="114300">
            <wp:extent cx="2628265" cy="1971040"/>
            <wp:effectExtent l="0" t="0" r="635" b="10160"/>
            <wp:docPr id="3" name="图片 3" descr="a8cf262ece09e390a0b9c323e613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cf262ece09e390a0b9c323e6130f6"/>
                    <pic:cNvPicPr>
                      <a:picLocks noChangeAspect="1"/>
                    </pic:cNvPicPr>
                  </pic:nvPicPr>
                  <pic:blipFill>
                    <a:blip r:embed="rId6"/>
                    <a:stretch>
                      <a:fillRect/>
                    </a:stretch>
                  </pic:blipFill>
                  <pic:spPr>
                    <a:xfrm>
                      <a:off x="0" y="0"/>
                      <a:ext cx="2628265" cy="1971040"/>
                    </a:xfrm>
                    <a:prstGeom prst="rect">
                      <a:avLst/>
                    </a:prstGeom>
                  </pic:spPr>
                </pic:pic>
              </a:graphicData>
            </a:graphic>
          </wp:inline>
        </w:drawing>
      </w:r>
      <w:r>
        <w:rPr>
          <w:rFonts w:hint="eastAsia" w:ascii="Times New Roman" w:hAnsi="Times New Roman" w:eastAsiaTheme="minorEastAsia"/>
          <w:bCs/>
          <w:color w:val="000000"/>
          <w:sz w:val="28"/>
          <w:szCs w:val="28"/>
          <w:lang w:eastAsia="zh-CN"/>
        </w:rPr>
        <w:drawing>
          <wp:inline distT="0" distB="0" distL="114300" distR="114300">
            <wp:extent cx="2628265" cy="1971040"/>
            <wp:effectExtent l="0" t="0" r="635" b="10160"/>
            <wp:docPr id="4" name="图片 4" descr="62d2f606081dbdf0757d6744e30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d2f606081dbdf0757d6744e308ee0"/>
                    <pic:cNvPicPr>
                      <a:picLocks noChangeAspect="1"/>
                    </pic:cNvPicPr>
                  </pic:nvPicPr>
                  <pic:blipFill>
                    <a:blip r:embed="rId7"/>
                    <a:stretch>
                      <a:fillRect/>
                    </a:stretch>
                  </pic:blipFill>
                  <pic:spPr>
                    <a:xfrm>
                      <a:off x="0" y="0"/>
                      <a:ext cx="2628265" cy="1971040"/>
                    </a:xfrm>
                    <a:prstGeom prst="rect">
                      <a:avLst/>
                    </a:prstGeom>
                  </pic:spPr>
                </pic:pic>
              </a:graphicData>
            </a:graphic>
          </wp:inline>
        </w:drawing>
      </w:r>
      <w:r>
        <w:rPr>
          <w:rFonts w:hint="eastAsia" w:ascii="Times New Roman" w:hAnsi="Times New Roman" w:eastAsiaTheme="minorEastAsia"/>
          <w:bCs/>
          <w:color w:val="000000"/>
          <w:sz w:val="28"/>
          <w:szCs w:val="28"/>
          <w:lang w:eastAsia="zh-CN"/>
        </w:rPr>
        <w:drawing>
          <wp:inline distT="0" distB="0" distL="114300" distR="114300">
            <wp:extent cx="2628265" cy="1971040"/>
            <wp:effectExtent l="0" t="0" r="635" b="10160"/>
            <wp:docPr id="5" name="图片 5" descr="7d3076fac3ee8f4afc4ee8592c16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3076fac3ee8f4afc4ee8592c160ae"/>
                    <pic:cNvPicPr>
                      <a:picLocks noChangeAspect="1"/>
                    </pic:cNvPicPr>
                  </pic:nvPicPr>
                  <pic:blipFill>
                    <a:blip r:embed="rId8"/>
                    <a:stretch>
                      <a:fillRect/>
                    </a:stretch>
                  </pic:blipFill>
                  <pic:spPr>
                    <a:xfrm>
                      <a:off x="0" y="0"/>
                      <a:ext cx="2628265" cy="1971040"/>
                    </a:xfrm>
                    <a:prstGeom prst="rect">
                      <a:avLst/>
                    </a:prstGeom>
                  </pic:spPr>
                </pic:pic>
              </a:graphicData>
            </a:graphic>
          </wp:inline>
        </w:drawing>
      </w:r>
      <w:r>
        <w:rPr>
          <w:rFonts w:hint="eastAsia" w:ascii="Times New Roman" w:hAnsi="Times New Roman" w:eastAsiaTheme="minorEastAsia"/>
          <w:bCs/>
          <w:color w:val="000000"/>
          <w:sz w:val="28"/>
          <w:szCs w:val="28"/>
          <w:lang w:eastAsia="zh-CN"/>
        </w:rPr>
        <w:drawing>
          <wp:inline distT="0" distB="0" distL="114300" distR="114300">
            <wp:extent cx="2628265" cy="1971040"/>
            <wp:effectExtent l="0" t="0" r="635" b="10160"/>
            <wp:docPr id="6" name="图片 6" descr="8c0169c05245d20918b0fb86172d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c0169c05245d20918b0fb86172d975"/>
                    <pic:cNvPicPr>
                      <a:picLocks noChangeAspect="1"/>
                    </pic:cNvPicPr>
                  </pic:nvPicPr>
                  <pic:blipFill>
                    <a:blip r:embed="rId9"/>
                    <a:stretch>
                      <a:fillRect/>
                    </a:stretch>
                  </pic:blipFill>
                  <pic:spPr>
                    <a:xfrm>
                      <a:off x="0" y="0"/>
                      <a:ext cx="2628265" cy="1971040"/>
                    </a:xfrm>
                    <a:prstGeom prst="rect">
                      <a:avLst/>
                    </a:prstGeom>
                  </pic:spPr>
                </pic:pic>
              </a:graphicData>
            </a:graphic>
          </wp:inline>
        </w:drawing>
      </w:r>
      <w:r>
        <w:rPr>
          <w:rFonts w:hint="eastAsia" w:ascii="Times New Roman" w:hAnsi="Times New Roman" w:eastAsiaTheme="minorEastAsia"/>
          <w:bCs/>
          <w:color w:val="000000"/>
          <w:sz w:val="28"/>
          <w:szCs w:val="28"/>
          <w:lang w:eastAsia="zh-CN"/>
        </w:rPr>
        <w:drawing>
          <wp:inline distT="0" distB="0" distL="114300" distR="114300">
            <wp:extent cx="2628265" cy="1971040"/>
            <wp:effectExtent l="0" t="0" r="635" b="10160"/>
            <wp:docPr id="14" name="图片 14" descr="622af3d30e5565b8c69209fd87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22af3d30e5565b8c69209fd8733845"/>
                    <pic:cNvPicPr>
                      <a:picLocks noChangeAspect="1"/>
                    </pic:cNvPicPr>
                  </pic:nvPicPr>
                  <pic:blipFill>
                    <a:blip r:embed="rId10"/>
                    <a:stretch>
                      <a:fillRect/>
                    </a:stretch>
                  </pic:blipFill>
                  <pic:spPr>
                    <a:xfrm>
                      <a:off x="0" y="0"/>
                      <a:ext cx="2628265" cy="1971040"/>
                    </a:xfrm>
                    <a:prstGeom prst="rect">
                      <a:avLst/>
                    </a:prstGeom>
                  </pic:spPr>
                </pic:pic>
              </a:graphicData>
            </a:graphic>
          </wp:inline>
        </w:drawing>
      </w:r>
    </w:p>
    <w:p w14:paraId="240F9FB6">
      <w:pPr>
        <w:pStyle w:val="11"/>
        <w:widowControl/>
        <w:spacing w:beforeAutospacing="0" w:afterAutospacing="0" w:line="360" w:lineRule="auto"/>
        <w:jc w:val="center"/>
        <w:rPr>
          <w:rFonts w:ascii="Times New Roman" w:hAnsi="Times New Roman"/>
          <w:b/>
          <w:bCs/>
          <w:sz w:val="28"/>
          <w:szCs w:val="28"/>
        </w:rPr>
      </w:pPr>
      <w:r>
        <w:rPr>
          <w:rFonts w:ascii="Times New Roman" w:hAnsi="Times New Roman"/>
          <w:b/>
          <w:bCs/>
          <w:color w:val="000000"/>
          <w:sz w:val="28"/>
          <w:szCs w:val="28"/>
        </w:rPr>
        <w:t>图</w:t>
      </w:r>
      <w:r>
        <w:rPr>
          <w:rFonts w:hint="eastAsia" w:ascii="Times New Roman" w:hAnsi="Times New Roman"/>
          <w:b/>
          <w:bCs/>
          <w:color w:val="000000"/>
          <w:sz w:val="28"/>
          <w:szCs w:val="28"/>
          <w:lang w:val="en-US" w:eastAsia="zh-CN"/>
        </w:rPr>
        <w:t>1</w:t>
      </w:r>
      <w:r>
        <w:rPr>
          <w:rFonts w:ascii="Times New Roman" w:hAnsi="Times New Roman"/>
          <w:b/>
          <w:bCs/>
          <w:color w:val="000000"/>
          <w:sz w:val="28"/>
          <w:szCs w:val="28"/>
        </w:rPr>
        <w:t xml:space="preserve"> 实地调研</w:t>
      </w:r>
    </w:p>
    <w:p w14:paraId="0C3D7EF4">
      <w:pPr>
        <w:widowControl/>
        <w:spacing w:line="360" w:lineRule="auto"/>
        <w:ind w:firstLine="562" w:firstLineChars="200"/>
        <w:jc w:val="left"/>
        <w:rPr>
          <w:rFonts w:ascii="Times New Roman" w:hAnsi="Times New Roman" w:cs="Times New Roman"/>
          <w:b/>
          <w:bCs/>
          <w:sz w:val="28"/>
          <w:szCs w:val="28"/>
        </w:rPr>
      </w:pPr>
    </w:p>
    <w:p w14:paraId="51FD639D">
      <w:pPr>
        <w:widowControl/>
        <w:spacing w:line="360" w:lineRule="auto"/>
        <w:ind w:firstLine="562" w:firstLineChars="200"/>
        <w:jc w:val="left"/>
        <w:rPr>
          <w:rFonts w:ascii="Times New Roman" w:hAnsi="Times New Roman" w:cs="Times New Roman"/>
          <w:sz w:val="28"/>
          <w:szCs w:val="28"/>
        </w:rPr>
      </w:pPr>
      <w:r>
        <w:rPr>
          <w:rFonts w:ascii="Times New Roman" w:hAnsi="Times New Roman" w:cs="Times New Roman"/>
          <w:b/>
          <w:bCs/>
          <w:sz w:val="28"/>
          <w:szCs w:val="28"/>
        </w:rPr>
        <w:t>（3）起</w:t>
      </w:r>
      <w:r>
        <w:rPr>
          <w:rFonts w:ascii="Times New Roman" w:hAnsi="Times New Roman" w:cs="Times New Roman"/>
          <w:b/>
          <w:bCs/>
          <w:sz w:val="28"/>
          <w:szCs w:val="28"/>
          <w:highlight w:val="none"/>
        </w:rPr>
        <w:t>草。</w:t>
      </w:r>
      <w:r>
        <w:rPr>
          <w:rFonts w:ascii="Times New Roman" w:hAnsi="Times New Roman" w:cs="Times New Roman"/>
          <w:sz w:val="28"/>
          <w:szCs w:val="28"/>
          <w:highlight w:val="none"/>
        </w:rPr>
        <w:t>202</w:t>
      </w:r>
      <w:r>
        <w:rPr>
          <w:rFonts w:hint="eastAsia" w:ascii="Times New Roman" w:hAnsi="Times New Roman" w:cs="Times New Roman"/>
          <w:sz w:val="28"/>
          <w:szCs w:val="28"/>
          <w:highlight w:val="none"/>
          <w:lang w:val="en-US" w:eastAsia="zh-CN"/>
        </w:rPr>
        <w:t>4</w:t>
      </w:r>
      <w:r>
        <w:rPr>
          <w:rFonts w:ascii="Times New Roman" w:hAnsi="Times New Roman" w:cs="Times New Roman"/>
          <w:sz w:val="28"/>
          <w:szCs w:val="28"/>
          <w:highlight w:val="none"/>
        </w:rPr>
        <w:t>年1</w:t>
      </w:r>
      <w:r>
        <w:rPr>
          <w:rFonts w:hint="eastAsia" w:ascii="Times New Roman" w:hAnsi="Times New Roman" w:cs="Times New Roman"/>
          <w:sz w:val="28"/>
          <w:szCs w:val="28"/>
          <w:highlight w:val="none"/>
          <w:lang w:val="en-US" w:eastAsia="zh-CN"/>
        </w:rPr>
        <w:t>1</w:t>
      </w:r>
      <w:r>
        <w:rPr>
          <w:rFonts w:ascii="Times New Roman" w:hAnsi="Times New Roman" w:cs="Times New Roman"/>
          <w:sz w:val="28"/>
          <w:szCs w:val="28"/>
          <w:highlight w:val="none"/>
        </w:rPr>
        <w:t>月至202</w:t>
      </w:r>
      <w:r>
        <w:rPr>
          <w:rFonts w:hint="eastAsia" w:ascii="Times New Roman" w:hAnsi="Times New Roman" w:cs="Times New Roman"/>
          <w:sz w:val="28"/>
          <w:szCs w:val="28"/>
          <w:highlight w:val="none"/>
          <w:lang w:val="en-US" w:eastAsia="zh-CN"/>
        </w:rPr>
        <w:t>5</w:t>
      </w:r>
      <w:r>
        <w:rPr>
          <w:rFonts w:ascii="Times New Roman" w:hAnsi="Times New Roman" w:cs="Times New Roman"/>
          <w:sz w:val="28"/>
          <w:szCs w:val="28"/>
          <w:highlight w:val="none"/>
        </w:rPr>
        <w:t>年</w:t>
      </w:r>
      <w:r>
        <w:rPr>
          <w:rFonts w:hint="eastAsia" w:ascii="Times New Roman" w:hAnsi="Times New Roman" w:cs="Times New Roman"/>
          <w:sz w:val="28"/>
          <w:szCs w:val="28"/>
          <w:highlight w:val="none"/>
          <w:lang w:val="en-US" w:eastAsia="zh-CN"/>
        </w:rPr>
        <w:t>1</w:t>
      </w:r>
      <w:r>
        <w:rPr>
          <w:rFonts w:ascii="Times New Roman" w:hAnsi="Times New Roman" w:cs="Times New Roman"/>
          <w:sz w:val="28"/>
          <w:szCs w:val="28"/>
          <w:highlight w:val="none"/>
        </w:rPr>
        <w:t>月，</w:t>
      </w:r>
      <w:r>
        <w:rPr>
          <w:rFonts w:ascii="Times New Roman" w:hAnsi="Times New Roman" w:cs="Times New Roman"/>
          <w:sz w:val="28"/>
          <w:szCs w:val="28"/>
        </w:rPr>
        <w:t>深入学习《农业农村部关于加快农业全产业链培育发展的指导意见》（农产发〔2021〕2号）、《农业农村部关于开展现代农业全产业链标准化试点工作的通知》（农质发〔2021〕4号）以及《地方标准制修订工作规范》（DB46/T 74-2021）等法律法规及有关文件，广泛查阅、收集国内外相关文献资料外，项目组成立专家及技术人员调研小组在全省</w:t>
      </w:r>
      <w:r>
        <w:rPr>
          <w:rFonts w:hint="eastAsia" w:ascii="Times New Roman" w:hAnsi="Times New Roman" w:cs="Times New Roman"/>
          <w:sz w:val="28"/>
          <w:szCs w:val="28"/>
          <w:lang w:eastAsia="zh-CN"/>
        </w:rPr>
        <w:t>龙眼</w:t>
      </w:r>
      <w:r>
        <w:rPr>
          <w:rFonts w:ascii="Times New Roman" w:hAnsi="Times New Roman" w:cs="Times New Roman"/>
          <w:sz w:val="28"/>
          <w:szCs w:val="28"/>
        </w:rPr>
        <w:t>主产区就</w:t>
      </w:r>
      <w:r>
        <w:rPr>
          <w:rFonts w:hint="eastAsia" w:ascii="Times New Roman" w:hAnsi="Times New Roman" w:cs="Times New Roman"/>
          <w:sz w:val="28"/>
          <w:szCs w:val="28"/>
          <w:lang w:eastAsia="zh-CN"/>
        </w:rPr>
        <w:t>龙眼</w:t>
      </w:r>
      <w:r>
        <w:rPr>
          <w:rFonts w:ascii="Times New Roman" w:hAnsi="Times New Roman" w:cs="Times New Roman"/>
          <w:sz w:val="28"/>
          <w:szCs w:val="28"/>
        </w:rPr>
        <w:t xml:space="preserve">生产过程中的关键技术问题开展调研，及时梳理总结调研情况，标准起草组在调研基础上编制形成了《农产品全产业链生产规范 </w:t>
      </w:r>
      <w:r>
        <w:rPr>
          <w:rFonts w:hint="eastAsia" w:ascii="Times New Roman" w:hAnsi="Times New Roman" w:cs="Times New Roman"/>
          <w:sz w:val="28"/>
          <w:szCs w:val="28"/>
          <w:lang w:eastAsia="zh-CN"/>
        </w:rPr>
        <w:t>龙眼</w:t>
      </w:r>
      <w:r>
        <w:rPr>
          <w:rFonts w:ascii="Times New Roman" w:hAnsi="Times New Roman" w:cs="Times New Roman"/>
          <w:sz w:val="28"/>
          <w:szCs w:val="28"/>
        </w:rPr>
        <w:t>》（工作组讨论稿）。而后起草组成员多次修改和完善标准</w:t>
      </w:r>
      <w:r>
        <w:rPr>
          <w:rFonts w:hint="eastAsia" w:ascii="Times New Roman" w:hAnsi="Times New Roman" w:cs="Times New Roman"/>
          <w:sz w:val="28"/>
          <w:szCs w:val="28"/>
          <w:lang w:val="en-US" w:eastAsia="zh-CN"/>
        </w:rPr>
        <w:t>草案</w:t>
      </w:r>
      <w:r>
        <w:rPr>
          <w:rFonts w:ascii="Times New Roman" w:hAnsi="Times New Roman" w:cs="Times New Roman"/>
          <w:sz w:val="28"/>
          <w:szCs w:val="28"/>
        </w:rPr>
        <w:t xml:space="preserve">，形成《农产品全产业链生产规范 </w:t>
      </w:r>
      <w:r>
        <w:rPr>
          <w:rFonts w:hint="eastAsia" w:ascii="Times New Roman" w:hAnsi="Times New Roman" w:cs="Times New Roman"/>
          <w:sz w:val="28"/>
          <w:szCs w:val="28"/>
          <w:lang w:eastAsia="zh-CN"/>
        </w:rPr>
        <w:t>龙眼</w:t>
      </w:r>
      <w:r>
        <w:rPr>
          <w:rFonts w:ascii="Times New Roman" w:hAnsi="Times New Roman" w:cs="Times New Roman"/>
          <w:sz w:val="28"/>
          <w:szCs w:val="28"/>
        </w:rPr>
        <w:t>》（讨论稿）。</w:t>
      </w:r>
    </w:p>
    <w:p w14:paraId="43E5AED8">
      <w:pPr>
        <w:widowControl/>
        <w:spacing w:line="360" w:lineRule="auto"/>
        <w:ind w:firstLine="562" w:firstLineChars="200"/>
        <w:jc w:val="left"/>
        <w:rPr>
          <w:rFonts w:ascii="Times New Roman" w:hAnsi="Times New Roman" w:cs="Times New Roman"/>
          <w:b/>
          <w:bCs/>
          <w:sz w:val="28"/>
          <w:szCs w:val="28"/>
        </w:rPr>
      </w:pPr>
      <w:r>
        <w:rPr>
          <w:rFonts w:ascii="Times New Roman" w:hAnsi="Times New Roman" w:cs="Times New Roman"/>
          <w:b/>
          <w:bCs/>
          <w:sz w:val="28"/>
          <w:szCs w:val="28"/>
        </w:rPr>
        <w:t>2、征求意见</w:t>
      </w:r>
    </w:p>
    <w:p w14:paraId="741ED942">
      <w:pPr>
        <w:widowControl/>
        <w:spacing w:line="360" w:lineRule="auto"/>
        <w:ind w:firstLine="560" w:firstLineChars="200"/>
        <w:jc w:val="left"/>
        <w:rPr>
          <w:rFonts w:ascii="Times New Roman" w:hAnsi="Times New Roman" w:cs="Times New Roman"/>
          <w:kern w:val="0"/>
          <w:sz w:val="28"/>
          <w:szCs w:val="28"/>
          <w:highlight w:val="none"/>
        </w:rPr>
      </w:pPr>
      <w:r>
        <w:rPr>
          <w:rFonts w:ascii="Times New Roman" w:hAnsi="Times New Roman" w:cs="Times New Roman"/>
          <w:kern w:val="0"/>
          <w:sz w:val="28"/>
          <w:szCs w:val="28"/>
          <w:highlight w:val="none"/>
        </w:rPr>
        <w:t>202</w:t>
      </w:r>
      <w:r>
        <w:rPr>
          <w:rFonts w:hint="eastAsia" w:ascii="Times New Roman" w:hAnsi="Times New Roman" w:cs="Times New Roman"/>
          <w:kern w:val="0"/>
          <w:sz w:val="28"/>
          <w:szCs w:val="28"/>
          <w:highlight w:val="none"/>
          <w:lang w:val="en-US" w:eastAsia="zh-CN"/>
        </w:rPr>
        <w:t>5</w:t>
      </w:r>
      <w:r>
        <w:rPr>
          <w:rFonts w:ascii="Times New Roman" w:hAnsi="Times New Roman" w:cs="Times New Roman"/>
          <w:kern w:val="0"/>
          <w:sz w:val="28"/>
          <w:szCs w:val="28"/>
          <w:highlight w:val="none"/>
        </w:rPr>
        <w:t>年</w:t>
      </w:r>
      <w:r>
        <w:rPr>
          <w:rFonts w:hint="eastAsia" w:ascii="Times New Roman" w:hAnsi="Times New Roman" w:cs="Times New Roman"/>
          <w:kern w:val="0"/>
          <w:sz w:val="28"/>
          <w:szCs w:val="28"/>
          <w:highlight w:val="none"/>
          <w:lang w:val="en-US" w:eastAsia="zh-CN"/>
        </w:rPr>
        <w:t>2</w:t>
      </w:r>
      <w:r>
        <w:rPr>
          <w:rFonts w:ascii="Times New Roman" w:hAnsi="Times New Roman" w:cs="Times New Roman"/>
          <w:kern w:val="0"/>
          <w:sz w:val="28"/>
          <w:szCs w:val="28"/>
          <w:highlight w:val="none"/>
        </w:rPr>
        <w:t>月</w:t>
      </w:r>
      <w:r>
        <w:rPr>
          <w:rFonts w:hint="eastAsia" w:ascii="Times New Roman" w:hAnsi="Times New Roman" w:cs="Times New Roman"/>
          <w:kern w:val="0"/>
          <w:sz w:val="28"/>
          <w:szCs w:val="28"/>
          <w:highlight w:val="none"/>
          <w:lang w:val="en-US" w:eastAsia="zh-CN"/>
        </w:rPr>
        <w:t>20</w:t>
      </w:r>
      <w:r>
        <w:rPr>
          <w:rFonts w:ascii="Times New Roman" w:hAnsi="Times New Roman" w:cs="Times New Roman"/>
          <w:kern w:val="0"/>
          <w:sz w:val="28"/>
          <w:szCs w:val="28"/>
          <w:highlight w:val="none"/>
        </w:rPr>
        <w:t>日，起草单位组织专家在海口</w:t>
      </w:r>
      <w:r>
        <w:rPr>
          <w:rFonts w:hint="eastAsia" w:ascii="Times New Roman" w:hAnsi="Times New Roman" w:cs="Times New Roman"/>
          <w:kern w:val="0"/>
          <w:sz w:val="28"/>
          <w:szCs w:val="28"/>
          <w:highlight w:val="none"/>
          <w:lang w:val="en-US" w:eastAsia="zh-CN"/>
        </w:rPr>
        <w:t>对</w:t>
      </w:r>
      <w:r>
        <w:rPr>
          <w:rFonts w:hint="eastAsia" w:ascii="Times New Roman" w:hAnsi="Times New Roman" w:cs="Times New Roman"/>
          <w:kern w:val="0"/>
          <w:sz w:val="28"/>
          <w:szCs w:val="28"/>
          <w:highlight w:val="none"/>
        </w:rPr>
        <w:t>讨论稿修改完善后形成标准征求意见稿</w:t>
      </w:r>
      <w:r>
        <w:rPr>
          <w:rFonts w:hint="eastAsia" w:ascii="Times New Roman" w:hAnsi="Times New Roman" w:cs="Times New Roman"/>
          <w:kern w:val="0"/>
          <w:sz w:val="28"/>
          <w:szCs w:val="28"/>
          <w:highlight w:val="none"/>
          <w:lang w:val="en-US" w:eastAsia="zh-CN"/>
        </w:rPr>
        <w:t>初稿</w:t>
      </w:r>
      <w:r>
        <w:rPr>
          <w:rFonts w:hint="eastAsia" w:ascii="Times New Roman" w:hAnsi="Times New Roman" w:cs="Times New Roman"/>
          <w:kern w:val="0"/>
          <w:sz w:val="28"/>
          <w:szCs w:val="28"/>
          <w:highlight w:val="none"/>
          <w:lang w:eastAsia="zh-CN"/>
        </w:rPr>
        <w:t>。</w:t>
      </w:r>
      <w:r>
        <w:rPr>
          <w:rFonts w:ascii="Times New Roman" w:hAnsi="Times New Roman" w:cs="Times New Roman"/>
          <w:sz w:val="28"/>
          <w:szCs w:val="28"/>
          <w:highlight w:val="none"/>
        </w:rPr>
        <w:t>202</w:t>
      </w:r>
      <w:r>
        <w:rPr>
          <w:rFonts w:hint="eastAsia" w:ascii="Times New Roman" w:hAnsi="Times New Roman" w:cs="Times New Roman"/>
          <w:sz w:val="28"/>
          <w:szCs w:val="28"/>
          <w:highlight w:val="none"/>
          <w:lang w:val="en-US" w:eastAsia="zh-CN"/>
        </w:rPr>
        <w:t>5</w:t>
      </w:r>
      <w:r>
        <w:rPr>
          <w:rFonts w:ascii="Times New Roman" w:hAnsi="Times New Roman" w:cs="Times New Roman"/>
          <w:sz w:val="28"/>
          <w:szCs w:val="28"/>
          <w:highlight w:val="none"/>
        </w:rPr>
        <w:t>年</w:t>
      </w:r>
      <w:r>
        <w:rPr>
          <w:rFonts w:hint="eastAsia" w:ascii="Times New Roman" w:hAnsi="Times New Roman" w:cs="Times New Roman"/>
          <w:sz w:val="28"/>
          <w:szCs w:val="28"/>
          <w:highlight w:val="none"/>
          <w:lang w:val="en-US" w:eastAsia="zh-CN"/>
        </w:rPr>
        <w:t>2</w:t>
      </w:r>
      <w:r>
        <w:rPr>
          <w:rFonts w:ascii="Times New Roman" w:hAnsi="Times New Roman" w:cs="Times New Roman"/>
          <w:sz w:val="28"/>
          <w:szCs w:val="28"/>
          <w:highlight w:val="none"/>
        </w:rPr>
        <w:t>月至202</w:t>
      </w:r>
      <w:r>
        <w:rPr>
          <w:rFonts w:hint="eastAsia" w:ascii="Times New Roman" w:hAnsi="Times New Roman" w:cs="Times New Roman"/>
          <w:sz w:val="28"/>
          <w:szCs w:val="28"/>
          <w:highlight w:val="none"/>
          <w:lang w:val="en-US" w:eastAsia="zh-CN"/>
        </w:rPr>
        <w:t>5</w:t>
      </w:r>
      <w:r>
        <w:rPr>
          <w:rFonts w:ascii="Times New Roman" w:hAnsi="Times New Roman" w:cs="Times New Roman"/>
          <w:sz w:val="28"/>
          <w:szCs w:val="28"/>
          <w:highlight w:val="none"/>
        </w:rPr>
        <w:t>年</w:t>
      </w:r>
      <w:r>
        <w:rPr>
          <w:rFonts w:hint="eastAsia" w:ascii="Times New Roman" w:hAnsi="Times New Roman" w:cs="Times New Roman"/>
          <w:sz w:val="28"/>
          <w:szCs w:val="28"/>
          <w:highlight w:val="none"/>
          <w:lang w:val="en-US" w:eastAsia="zh-CN"/>
        </w:rPr>
        <w:t>4</w:t>
      </w:r>
      <w:r>
        <w:rPr>
          <w:rFonts w:ascii="Times New Roman" w:hAnsi="Times New Roman" w:cs="Times New Roman"/>
          <w:sz w:val="28"/>
          <w:szCs w:val="28"/>
          <w:highlight w:val="none"/>
        </w:rPr>
        <w:t>月</w:t>
      </w:r>
      <w:r>
        <w:rPr>
          <w:rFonts w:ascii="Times New Roman" w:hAnsi="Times New Roman" w:cs="Times New Roman"/>
          <w:sz w:val="28"/>
          <w:szCs w:val="28"/>
        </w:rPr>
        <w:t>，标准起草小组以</w:t>
      </w:r>
      <w:r>
        <w:rPr>
          <w:rFonts w:hint="eastAsia" w:ascii="Times New Roman" w:hAnsi="Times New Roman" w:cs="Times New Roman"/>
          <w:sz w:val="28"/>
          <w:szCs w:val="28"/>
          <w:lang w:val="en-US" w:eastAsia="zh-CN"/>
        </w:rPr>
        <w:t>定向</w:t>
      </w:r>
      <w:r>
        <w:rPr>
          <w:rFonts w:ascii="Times New Roman" w:hAnsi="Times New Roman" w:cs="Times New Roman"/>
          <w:sz w:val="28"/>
          <w:szCs w:val="28"/>
        </w:rPr>
        <w:t>征求意见、召开征求意见会等形式广泛征求行业专业技术人员、各</w:t>
      </w:r>
      <w:r>
        <w:rPr>
          <w:rFonts w:hint="eastAsia" w:ascii="Times New Roman" w:hAnsi="Times New Roman" w:cs="Times New Roman"/>
          <w:sz w:val="28"/>
          <w:szCs w:val="28"/>
          <w:lang w:eastAsia="zh-CN"/>
        </w:rPr>
        <w:t>龙眼</w:t>
      </w:r>
      <w:r>
        <w:rPr>
          <w:rFonts w:ascii="Times New Roman" w:hAnsi="Times New Roman" w:cs="Times New Roman"/>
          <w:sz w:val="28"/>
          <w:szCs w:val="28"/>
        </w:rPr>
        <w:t xml:space="preserve">产区的种植户以及农资企业的意见和建议，根据反馈意见，标准编制工作组多次召开会议分析论证，针对意见进行归纳、整理，逐条由起草人提出处理意见修改和完善《农产品全产业链生产规范 </w:t>
      </w:r>
      <w:r>
        <w:rPr>
          <w:rFonts w:hint="eastAsia" w:ascii="Times New Roman" w:hAnsi="Times New Roman" w:cs="Times New Roman"/>
          <w:sz w:val="28"/>
          <w:szCs w:val="28"/>
          <w:lang w:eastAsia="zh-CN"/>
        </w:rPr>
        <w:t>龙眼</w:t>
      </w:r>
      <w:r>
        <w:rPr>
          <w:rFonts w:ascii="Times New Roman" w:hAnsi="Times New Roman" w:cs="Times New Roman"/>
          <w:sz w:val="28"/>
          <w:szCs w:val="28"/>
        </w:rPr>
        <w:t>》，形成标准</w:t>
      </w:r>
      <w:r>
        <w:rPr>
          <w:rFonts w:hint="eastAsia" w:ascii="Times New Roman" w:hAnsi="Times New Roman" w:cs="Times New Roman"/>
          <w:sz w:val="28"/>
          <w:szCs w:val="28"/>
          <w:lang w:val="en-US" w:eastAsia="zh-CN"/>
        </w:rPr>
        <w:t>征求意见稿</w:t>
      </w:r>
      <w:r>
        <w:rPr>
          <w:rFonts w:ascii="Times New Roman" w:hAnsi="Times New Roman" w:cs="Times New Roman"/>
          <w:sz w:val="28"/>
          <w:szCs w:val="28"/>
        </w:rPr>
        <w:t>。</w:t>
      </w:r>
      <w:r>
        <w:rPr>
          <w:rFonts w:ascii="Times New Roman" w:hAnsi="Times New Roman" w:cs="Times New Roman"/>
          <w:kern w:val="0"/>
          <w:sz w:val="28"/>
          <w:szCs w:val="28"/>
          <w:highlight w:val="none"/>
        </w:rPr>
        <w:t>提出修改建议</w:t>
      </w:r>
      <w:r>
        <w:rPr>
          <w:rFonts w:hint="eastAsia" w:ascii="Times New Roman" w:hAnsi="Times New Roman" w:cs="Times New Roman"/>
          <w:kern w:val="0"/>
          <w:sz w:val="28"/>
          <w:szCs w:val="28"/>
          <w:highlight w:val="none"/>
          <w:u w:val="single"/>
          <w:lang w:val="en-US" w:eastAsia="zh-CN"/>
        </w:rPr>
        <w:t>32</w:t>
      </w:r>
      <w:r>
        <w:rPr>
          <w:rFonts w:ascii="Times New Roman" w:hAnsi="Times New Roman" w:cs="Times New Roman"/>
          <w:kern w:val="0"/>
          <w:sz w:val="28"/>
          <w:szCs w:val="28"/>
          <w:highlight w:val="none"/>
        </w:rPr>
        <w:t>条，</w:t>
      </w:r>
      <w:r>
        <w:rPr>
          <w:rFonts w:hint="eastAsia" w:ascii="Times New Roman" w:hAnsi="Times New Roman" w:cs="Times New Roman"/>
          <w:kern w:val="0"/>
          <w:sz w:val="28"/>
          <w:szCs w:val="28"/>
          <w:highlight w:val="none"/>
          <w:lang w:val="en-US" w:eastAsia="zh-CN"/>
        </w:rPr>
        <w:t>全部采纳</w:t>
      </w:r>
      <w:r>
        <w:rPr>
          <w:rFonts w:ascii="Times New Roman" w:hAnsi="Times New Roman" w:cs="Times New Roman"/>
          <w:kern w:val="0"/>
          <w:sz w:val="28"/>
          <w:szCs w:val="28"/>
          <w:highlight w:val="none"/>
        </w:rPr>
        <w:t>。</w:t>
      </w:r>
    </w:p>
    <w:p w14:paraId="019C238F">
      <w:pPr>
        <w:widowControl/>
        <w:spacing w:line="360" w:lineRule="auto"/>
        <w:ind w:firstLine="560" w:firstLineChars="200"/>
        <w:jc w:val="both"/>
        <w:rPr>
          <w:rFonts w:ascii="Times New Roman" w:hAnsi="Times New Roman" w:cs="Times New Roman"/>
          <w:sz w:val="28"/>
          <w:szCs w:val="28"/>
        </w:rPr>
      </w:pPr>
    </w:p>
    <w:p w14:paraId="737C39D9">
      <w:pPr>
        <w:pStyle w:val="11"/>
        <w:widowControl/>
        <w:spacing w:beforeAutospacing="0" w:afterAutospacing="0" w:line="360" w:lineRule="auto"/>
        <w:jc w:val="center"/>
        <w:rPr>
          <w:rFonts w:hint="default" w:ascii="Times New Roman" w:hAnsi="Times New Roman"/>
          <w:b/>
          <w:bCs/>
          <w:color w:val="000000"/>
          <w:sz w:val="28"/>
          <w:szCs w:val="28"/>
          <w:lang w:val="en-US" w:eastAsia="zh-CN"/>
        </w:rPr>
      </w:pPr>
      <w:r>
        <w:rPr>
          <w:rFonts w:ascii="Times New Roman" w:hAnsi="Times New Roman"/>
          <w:b/>
          <w:bCs/>
          <w:color w:val="000000"/>
          <w:sz w:val="28"/>
          <w:szCs w:val="28"/>
        </w:rPr>
        <w:t>表</w:t>
      </w:r>
      <w:r>
        <w:rPr>
          <w:rFonts w:hint="eastAsia" w:ascii="Times New Roman" w:hAnsi="Times New Roman"/>
          <w:b/>
          <w:bCs/>
          <w:color w:val="000000"/>
          <w:sz w:val="28"/>
          <w:szCs w:val="28"/>
          <w:lang w:val="en-US" w:eastAsia="zh-CN"/>
        </w:rPr>
        <w:t>2</w:t>
      </w:r>
      <w:r>
        <w:rPr>
          <w:rFonts w:ascii="Times New Roman" w:hAnsi="Times New Roman"/>
          <w:b/>
          <w:bCs/>
          <w:color w:val="000000"/>
          <w:sz w:val="28"/>
          <w:szCs w:val="28"/>
        </w:rPr>
        <w:t xml:space="preserve"> </w:t>
      </w:r>
      <w:r>
        <w:rPr>
          <w:rFonts w:hint="eastAsia" w:ascii="Times New Roman" w:hAnsi="Times New Roman"/>
          <w:b/>
          <w:bCs/>
          <w:color w:val="000000"/>
          <w:sz w:val="28"/>
          <w:szCs w:val="28"/>
          <w:lang w:val="en-US" w:eastAsia="zh-CN"/>
        </w:rPr>
        <w:t>专家意见汇总表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091"/>
        <w:gridCol w:w="1546"/>
        <w:gridCol w:w="2397"/>
        <w:gridCol w:w="1807"/>
        <w:gridCol w:w="1169"/>
      </w:tblGrid>
      <w:tr w14:paraId="1A7A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blHeader/>
        </w:trPr>
        <w:tc>
          <w:tcPr>
            <w:tcW w:w="300" w:type="pct"/>
            <w:vAlign w:val="center"/>
          </w:tcPr>
          <w:p w14:paraId="4809944F">
            <w:pPr>
              <w:jc w:val="center"/>
              <w:rPr>
                <w:b/>
                <w:sz w:val="18"/>
                <w:szCs w:val="18"/>
              </w:rPr>
            </w:pPr>
            <w:r>
              <w:rPr>
                <w:b/>
                <w:sz w:val="18"/>
                <w:szCs w:val="18"/>
              </w:rPr>
              <w:t>序号</w:t>
            </w:r>
          </w:p>
        </w:tc>
        <w:tc>
          <w:tcPr>
            <w:tcW w:w="640" w:type="pct"/>
            <w:vAlign w:val="center"/>
          </w:tcPr>
          <w:p w14:paraId="4023CBA9">
            <w:pPr>
              <w:jc w:val="center"/>
              <w:rPr>
                <w:b/>
                <w:sz w:val="18"/>
                <w:szCs w:val="18"/>
              </w:rPr>
            </w:pPr>
            <w:r>
              <w:rPr>
                <w:b/>
                <w:sz w:val="18"/>
                <w:szCs w:val="18"/>
              </w:rPr>
              <w:t>标准章条编号</w:t>
            </w:r>
          </w:p>
        </w:tc>
        <w:tc>
          <w:tcPr>
            <w:tcW w:w="907" w:type="pct"/>
            <w:vAlign w:val="center"/>
          </w:tcPr>
          <w:p w14:paraId="3D0D4A39">
            <w:pPr>
              <w:jc w:val="center"/>
              <w:rPr>
                <w:b/>
                <w:sz w:val="18"/>
                <w:szCs w:val="18"/>
              </w:rPr>
            </w:pPr>
            <w:r>
              <w:rPr>
                <w:b/>
                <w:sz w:val="18"/>
                <w:szCs w:val="18"/>
              </w:rPr>
              <w:t>原文</w:t>
            </w:r>
          </w:p>
        </w:tc>
        <w:tc>
          <w:tcPr>
            <w:tcW w:w="1406" w:type="pct"/>
            <w:vAlign w:val="center"/>
          </w:tcPr>
          <w:p w14:paraId="5637E41F">
            <w:pPr>
              <w:jc w:val="center"/>
              <w:rPr>
                <w:b/>
                <w:sz w:val="18"/>
                <w:szCs w:val="18"/>
              </w:rPr>
            </w:pPr>
            <w:r>
              <w:rPr>
                <w:b/>
                <w:sz w:val="18"/>
                <w:szCs w:val="18"/>
              </w:rPr>
              <w:t>建议修改意见内容</w:t>
            </w:r>
          </w:p>
        </w:tc>
        <w:tc>
          <w:tcPr>
            <w:tcW w:w="1060" w:type="pct"/>
            <w:vAlign w:val="center"/>
          </w:tcPr>
          <w:p w14:paraId="04403D51">
            <w:pPr>
              <w:jc w:val="center"/>
              <w:rPr>
                <w:b/>
                <w:sz w:val="18"/>
                <w:szCs w:val="18"/>
              </w:rPr>
            </w:pPr>
            <w:r>
              <w:rPr>
                <w:b/>
                <w:sz w:val="18"/>
                <w:szCs w:val="18"/>
              </w:rPr>
              <w:t>提出单位及专家</w:t>
            </w:r>
          </w:p>
        </w:tc>
        <w:tc>
          <w:tcPr>
            <w:tcW w:w="685" w:type="pct"/>
            <w:shd w:val="clear" w:color="auto" w:fill="auto"/>
            <w:vAlign w:val="center"/>
          </w:tcPr>
          <w:p w14:paraId="05001F7B">
            <w:pPr>
              <w:jc w:val="center"/>
              <w:rPr>
                <w:rFonts w:hint="eastAsia" w:ascii="宋体" w:hAnsi="宋体" w:eastAsia="宋体" w:cs="宋体"/>
                <w:b/>
                <w:kern w:val="2"/>
                <w:sz w:val="18"/>
                <w:szCs w:val="18"/>
                <w:lang w:val="en-US" w:eastAsia="zh-CN" w:bidi="ar-SA"/>
              </w:rPr>
            </w:pPr>
            <w:r>
              <w:rPr>
                <w:rFonts w:hint="eastAsia" w:ascii="宋体" w:hAnsi="宋体" w:eastAsia="宋体" w:cs="宋体"/>
                <w:b/>
                <w:bCs/>
                <w:sz w:val="18"/>
                <w:szCs w:val="18"/>
              </w:rPr>
              <w:t>处理意见</w:t>
            </w:r>
          </w:p>
        </w:tc>
      </w:tr>
      <w:tr w14:paraId="1A28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71B2000F">
            <w:pPr>
              <w:spacing w:before="156" w:beforeLines="50" w:after="156" w:afterLines="50"/>
              <w:jc w:val="center"/>
              <w:rPr>
                <w:rFonts w:hint="default" w:eastAsia="宋体"/>
                <w:sz w:val="18"/>
                <w:szCs w:val="18"/>
                <w:lang w:val="en-US" w:eastAsia="zh-CN"/>
              </w:rPr>
            </w:pPr>
            <w:r>
              <w:rPr>
                <w:rFonts w:hint="eastAsia"/>
                <w:sz w:val="18"/>
                <w:szCs w:val="18"/>
                <w:lang w:val="en-US" w:eastAsia="zh-CN"/>
              </w:rPr>
              <w:t>1</w:t>
            </w:r>
          </w:p>
        </w:tc>
        <w:tc>
          <w:tcPr>
            <w:tcW w:w="640" w:type="pct"/>
            <w:vAlign w:val="center"/>
          </w:tcPr>
          <w:p w14:paraId="36D68BB1">
            <w:pPr>
              <w:widowControl/>
              <w:jc w:val="left"/>
              <w:rPr>
                <w:rFonts w:hint="default" w:eastAsia="宋体"/>
                <w:sz w:val="18"/>
                <w:szCs w:val="18"/>
                <w:lang w:val="en-US" w:eastAsia="zh-CN"/>
              </w:rPr>
            </w:pPr>
            <w:r>
              <w:rPr>
                <w:rFonts w:hint="eastAsia"/>
                <w:lang w:val="en-US" w:eastAsia="zh-CN"/>
              </w:rPr>
              <w:t>2  规范性引用文件</w:t>
            </w:r>
          </w:p>
        </w:tc>
        <w:tc>
          <w:tcPr>
            <w:tcW w:w="907" w:type="pct"/>
            <w:vAlign w:val="center"/>
          </w:tcPr>
          <w:p w14:paraId="21FA2363">
            <w:pPr>
              <w:widowControl/>
              <w:jc w:val="left"/>
              <w:rPr>
                <w:sz w:val="18"/>
                <w:szCs w:val="18"/>
              </w:rPr>
            </w:pPr>
          </w:p>
        </w:tc>
        <w:tc>
          <w:tcPr>
            <w:tcW w:w="1406" w:type="pct"/>
            <w:vAlign w:val="center"/>
          </w:tcPr>
          <w:p w14:paraId="4AD8750A">
            <w:pPr>
              <w:widowControl/>
              <w:jc w:val="left"/>
              <w:rPr>
                <w:color w:val="000000"/>
                <w:sz w:val="18"/>
                <w:szCs w:val="18"/>
              </w:rPr>
            </w:pPr>
            <w:r>
              <w:rPr>
                <w:rFonts w:hint="eastAsia"/>
                <w:lang w:val="en-US" w:eastAsia="zh-CN"/>
              </w:rPr>
              <w:t>增加引用标准：GB 43284 限制商品过度包装要求 生鲜食用农产品</w:t>
            </w:r>
          </w:p>
        </w:tc>
        <w:tc>
          <w:tcPr>
            <w:tcW w:w="1060" w:type="pct"/>
            <w:vAlign w:val="center"/>
          </w:tcPr>
          <w:p w14:paraId="496B1E11">
            <w:pPr>
              <w:spacing w:line="320" w:lineRule="exact"/>
              <w:jc w:val="center"/>
              <w:rPr>
                <w:sz w:val="18"/>
                <w:szCs w:val="18"/>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05F76858">
            <w:pPr>
              <w:widowControl/>
              <w:jc w:val="center"/>
              <w:rPr>
                <w:rFonts w:hint="default" w:ascii="宋体" w:hAnsi="宋体" w:eastAsia="宋体" w:cs="宋体"/>
                <w:b w:val="0"/>
                <w:bCs/>
                <w:kern w:val="2"/>
                <w:sz w:val="18"/>
                <w:szCs w:val="18"/>
                <w:lang w:val="en-US" w:eastAsia="zh-CN" w:bidi="ar-SA"/>
              </w:rPr>
            </w:pPr>
            <w:r>
              <w:rPr>
                <w:rFonts w:hint="eastAsia"/>
                <w:bCs/>
                <w:lang w:val="en-US" w:eastAsia="zh-CN"/>
              </w:rPr>
              <w:t>采纳</w:t>
            </w:r>
          </w:p>
        </w:tc>
      </w:tr>
      <w:tr w14:paraId="3B18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00" w:type="pct"/>
            <w:vAlign w:val="center"/>
          </w:tcPr>
          <w:p w14:paraId="58FCD9D0">
            <w:pPr>
              <w:spacing w:before="156" w:beforeLines="50" w:after="156" w:afterLines="50"/>
              <w:jc w:val="center"/>
              <w:rPr>
                <w:rFonts w:hint="default" w:eastAsia="宋体"/>
                <w:sz w:val="18"/>
                <w:szCs w:val="18"/>
                <w:lang w:val="en-US" w:eastAsia="zh-CN"/>
              </w:rPr>
            </w:pPr>
            <w:r>
              <w:rPr>
                <w:rFonts w:hint="eastAsia"/>
                <w:sz w:val="18"/>
                <w:szCs w:val="18"/>
                <w:lang w:val="en-US" w:eastAsia="zh-CN"/>
              </w:rPr>
              <w:t>2</w:t>
            </w:r>
          </w:p>
        </w:tc>
        <w:tc>
          <w:tcPr>
            <w:tcW w:w="640" w:type="pct"/>
            <w:vAlign w:val="center"/>
          </w:tcPr>
          <w:p w14:paraId="6294422B">
            <w:pPr>
              <w:widowControl/>
              <w:jc w:val="left"/>
              <w:rPr>
                <w:rFonts w:hint="eastAsia"/>
                <w:lang w:val="en-US" w:eastAsia="zh-CN"/>
              </w:rPr>
            </w:pPr>
            <w:r>
              <w:rPr>
                <w:rFonts w:hint="eastAsia"/>
                <w:lang w:val="en-US" w:eastAsia="zh-CN"/>
              </w:rPr>
              <w:t>5.3  农药</w:t>
            </w:r>
          </w:p>
          <w:p w14:paraId="2944E20D">
            <w:pPr>
              <w:widowControl/>
              <w:jc w:val="left"/>
              <w:rPr>
                <w:rFonts w:hint="default" w:eastAsia="宋体"/>
                <w:sz w:val="18"/>
                <w:szCs w:val="18"/>
                <w:lang w:val="en-US" w:eastAsia="zh-CN"/>
              </w:rPr>
            </w:pPr>
          </w:p>
        </w:tc>
        <w:tc>
          <w:tcPr>
            <w:tcW w:w="907" w:type="pct"/>
            <w:vAlign w:val="center"/>
          </w:tcPr>
          <w:p w14:paraId="7FDD53FA">
            <w:pPr>
              <w:widowControl/>
              <w:jc w:val="left"/>
              <w:rPr>
                <w:rFonts w:hint="eastAsia"/>
                <w:sz w:val="18"/>
                <w:szCs w:val="18"/>
              </w:rPr>
            </w:pPr>
            <w:r>
              <w:rPr>
                <w:rFonts w:hint="eastAsia"/>
                <w:lang w:val="en-US" w:eastAsia="zh-CN"/>
              </w:rPr>
              <w:t>禁止使用《海南经济特区禁止生产运输储存销售使用农药名录》中的农药。</w:t>
            </w:r>
          </w:p>
        </w:tc>
        <w:tc>
          <w:tcPr>
            <w:tcW w:w="1406" w:type="pct"/>
            <w:vAlign w:val="center"/>
          </w:tcPr>
          <w:p w14:paraId="78D710DF">
            <w:pPr>
              <w:widowControl/>
              <w:jc w:val="left"/>
              <w:rPr>
                <w:rFonts w:hint="default"/>
                <w:sz w:val="18"/>
                <w:szCs w:val="18"/>
                <w:lang w:val="en-US"/>
              </w:rPr>
            </w:pPr>
            <w:r>
              <w:rPr>
                <w:rFonts w:hint="eastAsia"/>
                <w:lang w:val="en-US" w:eastAsia="zh-CN"/>
              </w:rPr>
              <w:t>修改为：不准许使用国家和海南省禁用的农药。</w:t>
            </w:r>
          </w:p>
        </w:tc>
        <w:tc>
          <w:tcPr>
            <w:tcW w:w="1060" w:type="pct"/>
            <w:vAlign w:val="center"/>
          </w:tcPr>
          <w:p w14:paraId="20B78FF3">
            <w:pPr>
              <w:spacing w:line="320" w:lineRule="exact"/>
              <w:jc w:val="center"/>
              <w:rPr>
                <w:sz w:val="18"/>
                <w:szCs w:val="18"/>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2FCF5D47">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55BE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73B4EBD5">
            <w:pPr>
              <w:spacing w:before="156" w:beforeLines="50" w:after="156" w:afterLines="50"/>
              <w:jc w:val="center"/>
              <w:rPr>
                <w:rFonts w:hint="default" w:eastAsia="宋体"/>
                <w:sz w:val="18"/>
                <w:szCs w:val="18"/>
                <w:lang w:val="en-US" w:eastAsia="zh-CN"/>
              </w:rPr>
            </w:pPr>
            <w:r>
              <w:rPr>
                <w:rFonts w:hint="eastAsia"/>
                <w:sz w:val="18"/>
                <w:szCs w:val="18"/>
                <w:lang w:val="en-US" w:eastAsia="zh-CN"/>
              </w:rPr>
              <w:t>3</w:t>
            </w:r>
          </w:p>
        </w:tc>
        <w:tc>
          <w:tcPr>
            <w:tcW w:w="640" w:type="pct"/>
            <w:shd w:val="clear"/>
            <w:vAlign w:val="center"/>
          </w:tcPr>
          <w:p w14:paraId="0445C1A4">
            <w:pPr>
              <w:spacing w:line="320" w:lineRule="exact"/>
              <w:jc w:val="center"/>
              <w:rPr>
                <w:rFonts w:hint="default" w:eastAsia="宋体" w:asciiTheme="minorHAnsi" w:hAnsiTheme="minorHAnsi" w:cstheme="minorBidi"/>
                <w:kern w:val="2"/>
                <w:sz w:val="18"/>
                <w:szCs w:val="18"/>
                <w:lang w:val="en-US" w:eastAsia="zh-CN" w:bidi="ar-SA"/>
              </w:rPr>
            </w:pPr>
            <w:r>
              <w:rPr>
                <w:rFonts w:hint="eastAsia"/>
                <w:color w:val="auto"/>
                <w:sz w:val="18"/>
                <w:szCs w:val="18"/>
                <w:highlight w:val="none"/>
                <w:lang w:val="en-US" w:eastAsia="zh-CN"/>
              </w:rPr>
              <w:t>9.2.5.1</w:t>
            </w:r>
          </w:p>
        </w:tc>
        <w:tc>
          <w:tcPr>
            <w:tcW w:w="907" w:type="pct"/>
            <w:shd w:val="clear"/>
            <w:vAlign w:val="center"/>
          </w:tcPr>
          <w:p w14:paraId="7E569C06">
            <w:pPr>
              <w:spacing w:line="320" w:lineRule="exact"/>
              <w:jc w:val="center"/>
              <w:rPr>
                <w:rFonts w:asciiTheme="minorHAnsi" w:hAnsiTheme="minorHAnsi" w:eastAsiaTheme="minorEastAsia" w:cstheme="minorBidi"/>
                <w:kern w:val="2"/>
                <w:sz w:val="18"/>
                <w:szCs w:val="18"/>
                <w:lang w:val="en-US" w:eastAsia="zh-CN" w:bidi="ar-SA"/>
              </w:rPr>
            </w:pPr>
            <w:r>
              <w:rPr>
                <w:rFonts w:hint="eastAsia"/>
                <w:color w:val="auto"/>
                <w:sz w:val="18"/>
                <w:szCs w:val="18"/>
                <w:highlight w:val="none"/>
                <w:lang w:val="en-US" w:eastAsia="zh-CN"/>
              </w:rPr>
              <w:t>杀花</w:t>
            </w:r>
          </w:p>
        </w:tc>
        <w:tc>
          <w:tcPr>
            <w:tcW w:w="1406" w:type="pct"/>
            <w:shd w:val="clear"/>
            <w:vAlign w:val="center"/>
          </w:tcPr>
          <w:p w14:paraId="2EDEAEF8">
            <w:pPr>
              <w:spacing w:line="320" w:lineRule="exact"/>
              <w:jc w:val="center"/>
              <w:rPr>
                <w:rFonts w:asciiTheme="minorHAnsi" w:hAnsiTheme="minorHAnsi" w:eastAsiaTheme="minorEastAsia" w:cstheme="minorBidi"/>
                <w:kern w:val="2"/>
                <w:sz w:val="18"/>
                <w:szCs w:val="18"/>
                <w:lang w:val="en-US" w:eastAsia="zh-CN" w:bidi="ar-SA"/>
              </w:rPr>
            </w:pPr>
            <w:r>
              <w:rPr>
                <w:rFonts w:hint="eastAsia" w:eastAsia="宋体"/>
                <w:color w:val="auto"/>
                <w:sz w:val="18"/>
                <w:szCs w:val="18"/>
                <w:highlight w:val="none"/>
                <w:lang w:val="en-US" w:eastAsia="zh-CN"/>
              </w:rPr>
              <w:t>或者这个是不是放在结果母枝或者控梢那块，这里一开始就是杀花，后面又催花，反正个人感觉有点乱</w:t>
            </w:r>
          </w:p>
        </w:tc>
        <w:tc>
          <w:tcPr>
            <w:tcW w:w="1060" w:type="pct"/>
            <w:vAlign w:val="center"/>
          </w:tcPr>
          <w:p w14:paraId="4AB90895">
            <w:pPr>
              <w:spacing w:line="320" w:lineRule="exact"/>
              <w:jc w:val="center"/>
              <w:rPr>
                <w:rFonts w:hint="eastAsia" w:eastAsia="宋体"/>
                <w:sz w:val="18"/>
                <w:szCs w:val="18"/>
                <w:lang w:val="en-US" w:eastAsia="zh-CN"/>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79D874A8">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6281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29D91A1A">
            <w:pPr>
              <w:spacing w:before="156" w:beforeLines="50" w:after="156" w:afterLines="50"/>
              <w:jc w:val="center"/>
              <w:rPr>
                <w:rFonts w:hint="default" w:eastAsia="宋体"/>
                <w:sz w:val="18"/>
                <w:szCs w:val="18"/>
                <w:lang w:val="en-US" w:eastAsia="zh-CN"/>
              </w:rPr>
            </w:pPr>
            <w:r>
              <w:rPr>
                <w:rFonts w:hint="eastAsia"/>
                <w:sz w:val="18"/>
                <w:szCs w:val="18"/>
                <w:lang w:val="en-US" w:eastAsia="zh-CN"/>
              </w:rPr>
              <w:t>4</w:t>
            </w:r>
          </w:p>
        </w:tc>
        <w:tc>
          <w:tcPr>
            <w:tcW w:w="640" w:type="pct"/>
            <w:vAlign w:val="center"/>
          </w:tcPr>
          <w:p w14:paraId="45F9234A">
            <w:pPr>
              <w:widowControl/>
              <w:jc w:val="left"/>
              <w:rPr>
                <w:rFonts w:hint="eastAsia" w:eastAsia="宋体"/>
                <w:sz w:val="18"/>
                <w:szCs w:val="18"/>
                <w:lang w:val="en-US" w:eastAsia="zh-CN"/>
              </w:rPr>
            </w:pPr>
            <w:r>
              <w:rPr>
                <w:rFonts w:hint="eastAsia"/>
                <w:lang w:val="en-US" w:eastAsia="zh-CN"/>
              </w:rPr>
              <w:t>9.1.5  整形修剪</w:t>
            </w:r>
          </w:p>
        </w:tc>
        <w:tc>
          <w:tcPr>
            <w:tcW w:w="907" w:type="pct"/>
            <w:vAlign w:val="center"/>
          </w:tcPr>
          <w:p w14:paraId="60CB5075">
            <w:pPr>
              <w:widowControl/>
              <w:jc w:val="left"/>
              <w:rPr>
                <w:sz w:val="18"/>
                <w:szCs w:val="18"/>
              </w:rPr>
            </w:pPr>
          </w:p>
        </w:tc>
        <w:tc>
          <w:tcPr>
            <w:tcW w:w="1406" w:type="pct"/>
            <w:vAlign w:val="center"/>
          </w:tcPr>
          <w:p w14:paraId="24413E33">
            <w:pPr>
              <w:widowControl/>
              <w:jc w:val="left"/>
              <w:rPr>
                <w:rFonts w:hint="default"/>
                <w:lang w:val="en-US" w:eastAsia="zh-CN"/>
              </w:rPr>
            </w:pPr>
            <w:r>
              <w:rPr>
                <w:rFonts w:hint="eastAsia"/>
                <w:lang w:val="en-US" w:eastAsia="zh-CN"/>
              </w:rPr>
              <w:t>增加树形图示，，这样更具操作性。</w:t>
            </w:r>
          </w:p>
          <w:p w14:paraId="01BF29D1">
            <w:pPr>
              <w:widowControl/>
              <w:jc w:val="left"/>
              <w:rPr>
                <w:sz w:val="18"/>
                <w:szCs w:val="18"/>
              </w:rPr>
            </w:pPr>
          </w:p>
        </w:tc>
        <w:tc>
          <w:tcPr>
            <w:tcW w:w="1060" w:type="pct"/>
            <w:vAlign w:val="center"/>
          </w:tcPr>
          <w:p w14:paraId="45457F2D">
            <w:pPr>
              <w:spacing w:line="320" w:lineRule="exact"/>
              <w:jc w:val="center"/>
              <w:rPr>
                <w:sz w:val="18"/>
                <w:szCs w:val="18"/>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43948B5D">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39E1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2F349B9F">
            <w:pPr>
              <w:spacing w:before="156" w:beforeLines="50" w:after="156" w:afterLines="50"/>
              <w:jc w:val="center"/>
              <w:rPr>
                <w:rFonts w:hint="default" w:eastAsia="宋体"/>
                <w:sz w:val="18"/>
                <w:szCs w:val="18"/>
                <w:lang w:val="en-US" w:eastAsia="zh-CN"/>
              </w:rPr>
            </w:pPr>
            <w:r>
              <w:rPr>
                <w:rFonts w:hint="eastAsia"/>
                <w:sz w:val="18"/>
                <w:szCs w:val="18"/>
                <w:lang w:val="en-US" w:eastAsia="zh-CN"/>
              </w:rPr>
              <w:t>5</w:t>
            </w:r>
          </w:p>
        </w:tc>
        <w:tc>
          <w:tcPr>
            <w:tcW w:w="640" w:type="pct"/>
            <w:vAlign w:val="center"/>
          </w:tcPr>
          <w:p w14:paraId="431C7334">
            <w:pPr>
              <w:widowControl/>
              <w:jc w:val="left"/>
              <w:rPr>
                <w:rFonts w:hint="eastAsia"/>
                <w:lang w:val="en-US" w:eastAsia="zh-CN"/>
              </w:rPr>
            </w:pPr>
            <w:r>
              <w:rPr>
                <w:rFonts w:hint="eastAsia"/>
                <w:lang w:val="en-US" w:eastAsia="zh-CN"/>
              </w:rPr>
              <w:t>9.2.2.5  壮果肥</w:t>
            </w:r>
          </w:p>
          <w:p w14:paraId="4CF51B16">
            <w:pPr>
              <w:widowControl/>
              <w:jc w:val="left"/>
              <w:rPr>
                <w:rFonts w:hint="eastAsia" w:eastAsia="宋体"/>
                <w:sz w:val="18"/>
                <w:szCs w:val="18"/>
                <w:lang w:val="en-US" w:eastAsia="zh-CN"/>
              </w:rPr>
            </w:pPr>
          </w:p>
        </w:tc>
        <w:tc>
          <w:tcPr>
            <w:tcW w:w="907" w:type="pct"/>
            <w:vAlign w:val="center"/>
          </w:tcPr>
          <w:p w14:paraId="29B60069">
            <w:pPr>
              <w:widowControl/>
              <w:jc w:val="left"/>
              <w:rPr>
                <w:sz w:val="18"/>
                <w:szCs w:val="18"/>
              </w:rPr>
            </w:pPr>
            <w:r>
              <w:rPr>
                <w:rFonts w:hint="eastAsia"/>
                <w:lang w:val="en-US" w:eastAsia="zh-CN"/>
              </w:rPr>
              <w:t>......复合肥 0.3 kg～0.5 kg......。</w:t>
            </w:r>
          </w:p>
        </w:tc>
        <w:tc>
          <w:tcPr>
            <w:tcW w:w="1406" w:type="pct"/>
            <w:vAlign w:val="center"/>
          </w:tcPr>
          <w:p w14:paraId="4332FD4D">
            <w:pPr>
              <w:widowControl/>
              <w:jc w:val="left"/>
              <w:rPr>
                <w:sz w:val="18"/>
                <w:szCs w:val="18"/>
              </w:rPr>
            </w:pPr>
            <w:r>
              <w:rPr>
                <w:rFonts w:hint="eastAsia"/>
                <w:lang w:val="en-US" w:eastAsia="zh-CN"/>
              </w:rPr>
              <w:t>增加复合肥比例，如15—15—15</w:t>
            </w:r>
          </w:p>
        </w:tc>
        <w:tc>
          <w:tcPr>
            <w:tcW w:w="1060" w:type="pct"/>
            <w:shd w:val="clear"/>
            <w:vAlign w:val="center"/>
          </w:tcPr>
          <w:p w14:paraId="4476D366">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715A08CD">
            <w:pPr>
              <w:widowControl/>
              <w:jc w:val="center"/>
              <w:rPr>
                <w:rFonts w:hint="eastAsia" w:ascii="宋体" w:hAnsi="宋体" w:eastAsia="宋体" w:cs="宋体"/>
                <w:kern w:val="2"/>
                <w:sz w:val="18"/>
                <w:szCs w:val="18"/>
                <w:lang w:val="en-US" w:eastAsia="zh-CN" w:bidi="ar-SA"/>
              </w:rPr>
            </w:pPr>
            <w:r>
              <w:rPr>
                <w:rFonts w:hint="eastAsia"/>
                <w:lang w:val="en-US" w:eastAsia="zh-CN"/>
              </w:rPr>
              <w:t>采纳：改为15—5—20</w:t>
            </w:r>
          </w:p>
        </w:tc>
      </w:tr>
      <w:tr w14:paraId="1891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2B0DC938">
            <w:pPr>
              <w:spacing w:before="156" w:beforeLines="50" w:after="156" w:afterLines="50"/>
              <w:jc w:val="center"/>
              <w:rPr>
                <w:rFonts w:hint="default" w:eastAsia="宋体"/>
                <w:sz w:val="18"/>
                <w:szCs w:val="18"/>
                <w:lang w:val="en-US" w:eastAsia="zh-CN"/>
              </w:rPr>
            </w:pPr>
            <w:r>
              <w:rPr>
                <w:rFonts w:hint="eastAsia"/>
                <w:sz w:val="18"/>
                <w:szCs w:val="18"/>
                <w:lang w:val="en-US" w:eastAsia="zh-CN"/>
              </w:rPr>
              <w:t>6</w:t>
            </w:r>
          </w:p>
        </w:tc>
        <w:tc>
          <w:tcPr>
            <w:tcW w:w="640" w:type="pct"/>
            <w:vAlign w:val="center"/>
          </w:tcPr>
          <w:p w14:paraId="4E03C8AA">
            <w:pPr>
              <w:widowControl/>
              <w:jc w:val="left"/>
              <w:rPr>
                <w:rFonts w:hint="eastAsia"/>
                <w:lang w:val="en-US" w:eastAsia="zh-CN"/>
              </w:rPr>
            </w:pPr>
            <w:r>
              <w:rPr>
                <w:rFonts w:hint="eastAsia"/>
                <w:lang w:val="en-US" w:eastAsia="zh-CN"/>
              </w:rPr>
              <w:t>9.2.5.4  杀梢表1  主要龙眼品种推荐控梢、杀梢措施</w:t>
            </w:r>
          </w:p>
          <w:p w14:paraId="5B8DC164">
            <w:pPr>
              <w:widowControl/>
              <w:jc w:val="left"/>
              <w:rPr>
                <w:rFonts w:hint="eastAsia" w:eastAsia="宋体"/>
                <w:sz w:val="18"/>
                <w:szCs w:val="18"/>
                <w:lang w:val="en-US" w:eastAsia="zh-CN"/>
              </w:rPr>
            </w:pPr>
          </w:p>
        </w:tc>
        <w:tc>
          <w:tcPr>
            <w:tcW w:w="907" w:type="pct"/>
            <w:vAlign w:val="center"/>
          </w:tcPr>
          <w:p w14:paraId="151F67DE">
            <w:pPr>
              <w:widowControl/>
              <w:jc w:val="left"/>
              <w:rPr>
                <w:sz w:val="18"/>
                <w:szCs w:val="18"/>
              </w:rPr>
            </w:pPr>
            <w:r>
              <w:rPr>
                <w:rFonts w:hint="eastAsia"/>
                <w:lang w:val="en-US" w:eastAsia="zh-CN"/>
              </w:rPr>
              <w:t>40%乙烯利1～2 ml，15%多效唑15～20g 15g～20g兑水15L喷施。</w:t>
            </w:r>
          </w:p>
        </w:tc>
        <w:tc>
          <w:tcPr>
            <w:tcW w:w="1406" w:type="pct"/>
            <w:vAlign w:val="center"/>
          </w:tcPr>
          <w:p w14:paraId="36C659A0">
            <w:pPr>
              <w:widowControl/>
              <w:jc w:val="left"/>
              <w:rPr>
                <w:rFonts w:hint="eastAsia" w:eastAsia="宋体"/>
                <w:sz w:val="18"/>
                <w:szCs w:val="18"/>
                <w:lang w:eastAsia="zh-CN"/>
              </w:rPr>
            </w:pPr>
            <w:r>
              <w:rPr>
                <w:rFonts w:hint="eastAsia"/>
                <w:lang w:val="en-US" w:eastAsia="zh-CN"/>
              </w:rPr>
              <w:t>修改为：40 %乙烯利1 mL～2 mL，15 %多效唑 15 g～20 g兑水 15 L喷施。其他参照修改，统一规范格式</w:t>
            </w:r>
          </w:p>
        </w:tc>
        <w:tc>
          <w:tcPr>
            <w:tcW w:w="1060" w:type="pct"/>
            <w:shd w:val="clear"/>
            <w:vAlign w:val="center"/>
          </w:tcPr>
          <w:p w14:paraId="437F9F3F">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2D41E585">
            <w:pPr>
              <w:widowControl/>
              <w:jc w:val="center"/>
              <w:rPr>
                <w:rFonts w:hint="default" w:ascii="宋体" w:hAnsi="宋体" w:eastAsia="宋体" w:cs="宋体"/>
                <w:kern w:val="2"/>
                <w:sz w:val="18"/>
                <w:szCs w:val="18"/>
                <w:lang w:val="en-US" w:eastAsia="zh-CN" w:bidi="ar-SA"/>
              </w:rPr>
            </w:pPr>
            <w:r>
              <w:rPr>
                <w:rFonts w:hint="eastAsia"/>
                <w:bCs/>
                <w:lang w:val="en-US" w:eastAsia="zh-CN"/>
              </w:rPr>
              <w:t>采纳</w:t>
            </w:r>
          </w:p>
        </w:tc>
      </w:tr>
      <w:tr w14:paraId="29E3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3147811A">
            <w:pPr>
              <w:spacing w:before="156" w:beforeLines="50" w:after="156" w:afterLines="50"/>
              <w:jc w:val="center"/>
              <w:rPr>
                <w:rFonts w:hint="default"/>
                <w:sz w:val="18"/>
                <w:szCs w:val="18"/>
                <w:lang w:val="en-US" w:eastAsia="zh-CN"/>
              </w:rPr>
            </w:pPr>
            <w:r>
              <w:rPr>
                <w:rFonts w:hint="eastAsia"/>
                <w:sz w:val="18"/>
                <w:szCs w:val="18"/>
                <w:lang w:val="en-US" w:eastAsia="zh-CN"/>
              </w:rPr>
              <w:t>7</w:t>
            </w:r>
          </w:p>
        </w:tc>
        <w:tc>
          <w:tcPr>
            <w:tcW w:w="640" w:type="pct"/>
            <w:vAlign w:val="center"/>
          </w:tcPr>
          <w:p w14:paraId="49AEE6B0">
            <w:pPr>
              <w:widowControl/>
              <w:jc w:val="left"/>
              <w:rPr>
                <w:rFonts w:hint="eastAsia"/>
                <w:lang w:val="en-US" w:eastAsia="zh-CN"/>
              </w:rPr>
            </w:pPr>
            <w:r>
              <w:rPr>
                <w:rFonts w:hint="eastAsia"/>
                <w:lang w:val="en-US" w:eastAsia="zh-CN"/>
              </w:rPr>
              <w:t>9.2.5.6  保果</w:t>
            </w:r>
          </w:p>
          <w:p w14:paraId="6B23DB24">
            <w:pPr>
              <w:widowControl/>
              <w:jc w:val="left"/>
              <w:rPr>
                <w:rFonts w:hint="default"/>
                <w:sz w:val="18"/>
                <w:szCs w:val="18"/>
                <w:lang w:val="en-US" w:eastAsia="zh-CN"/>
              </w:rPr>
            </w:pPr>
          </w:p>
        </w:tc>
        <w:tc>
          <w:tcPr>
            <w:tcW w:w="907" w:type="pct"/>
            <w:vAlign w:val="center"/>
          </w:tcPr>
          <w:p w14:paraId="1892E163">
            <w:pPr>
              <w:widowControl/>
              <w:jc w:val="left"/>
              <w:rPr>
                <w:rFonts w:hint="eastAsia" w:eastAsiaTheme="minorEastAsia"/>
                <w:sz w:val="18"/>
                <w:szCs w:val="18"/>
                <w:lang w:eastAsia="zh-CN"/>
              </w:rPr>
            </w:pPr>
            <w:r>
              <w:rPr>
                <w:rFonts w:hint="eastAsia"/>
                <w:lang w:val="en-US" w:eastAsia="zh-CN"/>
              </w:rPr>
              <w:t>加强肥水管理，果期喷施氨基酸、核苷酸、矿质元素等叶面营养，促进果实发育，稳定坐果。</w:t>
            </w:r>
          </w:p>
        </w:tc>
        <w:tc>
          <w:tcPr>
            <w:tcW w:w="1406" w:type="pct"/>
            <w:vAlign w:val="center"/>
          </w:tcPr>
          <w:p w14:paraId="7260E510">
            <w:pPr>
              <w:widowControl/>
              <w:jc w:val="left"/>
              <w:rPr>
                <w:rFonts w:hint="eastAsia" w:eastAsiaTheme="minorEastAsia"/>
                <w:sz w:val="18"/>
                <w:szCs w:val="18"/>
                <w:lang w:eastAsia="zh-CN"/>
              </w:rPr>
            </w:pPr>
            <w:r>
              <w:rPr>
                <w:rFonts w:hint="eastAsia"/>
                <w:lang w:val="en-US" w:eastAsia="zh-CN"/>
              </w:rPr>
              <w:t>宜增加所涉及叶面营养的比例。</w:t>
            </w:r>
          </w:p>
        </w:tc>
        <w:tc>
          <w:tcPr>
            <w:tcW w:w="1060" w:type="pct"/>
            <w:shd w:val="clear"/>
            <w:vAlign w:val="center"/>
          </w:tcPr>
          <w:p w14:paraId="40EEC9E6">
            <w:pPr>
              <w:spacing w:line="320" w:lineRule="exact"/>
              <w:jc w:val="center"/>
              <w:rPr>
                <w:rFonts w:hint="eastAsia" w:eastAsia="宋体" w:asciiTheme="minorHAnsi" w:hAnsiTheme="minorHAnsi"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3CF5F631">
            <w:pPr>
              <w:widowControl/>
              <w:jc w:val="center"/>
              <w:rPr>
                <w:rFonts w:hint="default" w:ascii="宋体" w:hAnsi="宋体" w:eastAsia="宋体" w:cs="宋体"/>
                <w:kern w:val="2"/>
                <w:sz w:val="18"/>
                <w:szCs w:val="18"/>
                <w:lang w:val="en-US" w:eastAsia="zh-CN" w:bidi="ar-SA"/>
              </w:rPr>
            </w:pPr>
            <w:r>
              <w:rPr>
                <w:rFonts w:hint="eastAsia"/>
                <w:bCs/>
                <w:lang w:val="en-US" w:eastAsia="zh-CN"/>
              </w:rPr>
              <w:t>采纳</w:t>
            </w:r>
          </w:p>
        </w:tc>
      </w:tr>
      <w:tr w14:paraId="22BB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492E3E9">
            <w:pPr>
              <w:spacing w:before="156" w:beforeLines="50" w:after="156" w:afterLines="50"/>
              <w:jc w:val="center"/>
              <w:rPr>
                <w:rFonts w:hint="default"/>
                <w:sz w:val="18"/>
                <w:szCs w:val="18"/>
                <w:lang w:val="en-US" w:eastAsia="zh-CN"/>
              </w:rPr>
            </w:pPr>
            <w:r>
              <w:rPr>
                <w:rFonts w:hint="eastAsia"/>
                <w:sz w:val="18"/>
                <w:szCs w:val="18"/>
                <w:lang w:val="en-US" w:eastAsia="zh-CN"/>
              </w:rPr>
              <w:t>8</w:t>
            </w:r>
          </w:p>
        </w:tc>
        <w:tc>
          <w:tcPr>
            <w:tcW w:w="640" w:type="pct"/>
            <w:vAlign w:val="center"/>
          </w:tcPr>
          <w:p w14:paraId="4DA18B80">
            <w:pPr>
              <w:widowControl/>
              <w:jc w:val="left"/>
              <w:rPr>
                <w:rFonts w:hint="default"/>
                <w:sz w:val="18"/>
                <w:szCs w:val="18"/>
                <w:lang w:val="en-US" w:eastAsia="zh-CN"/>
              </w:rPr>
            </w:pPr>
            <w:r>
              <w:rPr>
                <w:rFonts w:hint="eastAsia"/>
                <w:lang w:val="en-US" w:eastAsia="zh-CN"/>
              </w:rPr>
              <w:t>10.3.5  科学用药</w:t>
            </w:r>
          </w:p>
        </w:tc>
        <w:tc>
          <w:tcPr>
            <w:tcW w:w="907" w:type="pct"/>
            <w:vAlign w:val="center"/>
          </w:tcPr>
          <w:p w14:paraId="2F041422">
            <w:pPr>
              <w:widowControl/>
              <w:jc w:val="left"/>
              <w:rPr>
                <w:rFonts w:hint="eastAsia"/>
                <w:sz w:val="18"/>
                <w:szCs w:val="18"/>
              </w:rPr>
            </w:pPr>
            <w:r>
              <w:rPr>
                <w:rFonts w:hint="eastAsia"/>
                <w:lang w:val="en-US" w:eastAsia="zh-CN"/>
              </w:rPr>
              <w:t>科学用药</w:t>
            </w:r>
          </w:p>
        </w:tc>
        <w:tc>
          <w:tcPr>
            <w:tcW w:w="1406" w:type="pct"/>
            <w:vAlign w:val="center"/>
          </w:tcPr>
          <w:p w14:paraId="6311654C">
            <w:pPr>
              <w:widowControl/>
              <w:jc w:val="left"/>
              <w:rPr>
                <w:rFonts w:hint="default" w:eastAsia="宋体"/>
                <w:sz w:val="18"/>
                <w:szCs w:val="18"/>
                <w:lang w:val="en-US" w:eastAsia="zh-CN"/>
              </w:rPr>
            </w:pPr>
            <w:r>
              <w:rPr>
                <w:rFonts w:hint="eastAsia"/>
                <w:lang w:val="en-US" w:eastAsia="zh-CN"/>
              </w:rPr>
              <w:t>修改为药剂防治</w:t>
            </w:r>
          </w:p>
        </w:tc>
        <w:tc>
          <w:tcPr>
            <w:tcW w:w="1060" w:type="pct"/>
            <w:shd w:val="clear"/>
            <w:vAlign w:val="center"/>
          </w:tcPr>
          <w:p w14:paraId="317791CA">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6A30717A">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53EC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F9C2825">
            <w:pPr>
              <w:spacing w:before="156" w:beforeLines="50" w:after="156" w:afterLines="50"/>
              <w:jc w:val="center"/>
              <w:rPr>
                <w:rFonts w:hint="default"/>
                <w:sz w:val="18"/>
                <w:szCs w:val="18"/>
                <w:lang w:val="en-US" w:eastAsia="zh-CN"/>
              </w:rPr>
            </w:pPr>
            <w:r>
              <w:rPr>
                <w:rFonts w:hint="eastAsia"/>
                <w:sz w:val="18"/>
                <w:szCs w:val="18"/>
                <w:lang w:val="en-US" w:eastAsia="zh-CN"/>
              </w:rPr>
              <w:t>9</w:t>
            </w:r>
          </w:p>
        </w:tc>
        <w:tc>
          <w:tcPr>
            <w:tcW w:w="640" w:type="pct"/>
            <w:vAlign w:val="center"/>
          </w:tcPr>
          <w:p w14:paraId="35CF70AB">
            <w:pPr>
              <w:widowControl/>
              <w:jc w:val="left"/>
              <w:rPr>
                <w:rFonts w:hint="eastAsia"/>
                <w:lang w:val="en-US" w:eastAsia="zh-CN"/>
              </w:rPr>
            </w:pPr>
            <w:r>
              <w:rPr>
                <w:rFonts w:hint="eastAsia"/>
                <w:lang w:val="en-US" w:eastAsia="zh-CN"/>
              </w:rPr>
              <w:t>12.1  基本要求</w:t>
            </w:r>
          </w:p>
          <w:p w14:paraId="01F1231C">
            <w:pPr>
              <w:widowControl/>
              <w:jc w:val="left"/>
              <w:rPr>
                <w:rFonts w:hint="default"/>
                <w:sz w:val="18"/>
                <w:szCs w:val="18"/>
                <w:lang w:val="en-US" w:eastAsia="zh-CN"/>
              </w:rPr>
            </w:pPr>
          </w:p>
        </w:tc>
        <w:tc>
          <w:tcPr>
            <w:tcW w:w="907" w:type="pct"/>
            <w:vAlign w:val="center"/>
          </w:tcPr>
          <w:p w14:paraId="49F39B8E">
            <w:pPr>
              <w:widowControl/>
              <w:jc w:val="left"/>
              <w:rPr>
                <w:rFonts w:hint="eastAsia"/>
                <w:sz w:val="18"/>
                <w:szCs w:val="18"/>
              </w:rPr>
            </w:pPr>
            <w:r>
              <w:rPr>
                <w:rFonts w:hint="eastAsia"/>
                <w:lang w:val="en-US" w:eastAsia="zh-CN"/>
              </w:rPr>
              <w:t>具备本品种固有的特征和风味，具体要求见附录B</w:t>
            </w:r>
          </w:p>
        </w:tc>
        <w:tc>
          <w:tcPr>
            <w:tcW w:w="1406" w:type="pct"/>
            <w:vAlign w:val="center"/>
          </w:tcPr>
          <w:p w14:paraId="57729026">
            <w:pPr>
              <w:widowControl/>
              <w:jc w:val="left"/>
              <w:rPr>
                <w:rFonts w:hint="eastAsia"/>
                <w:sz w:val="18"/>
                <w:szCs w:val="18"/>
                <w:lang w:val="en-US" w:eastAsia="zh-CN"/>
              </w:rPr>
            </w:pPr>
            <w:r>
              <w:rPr>
                <w:rFonts w:hint="eastAsia"/>
                <w:lang w:val="en-US" w:eastAsia="zh-CN"/>
              </w:rPr>
              <w:t>不在这里引出附录，应调整至品种选择引出附录。</w:t>
            </w:r>
          </w:p>
        </w:tc>
        <w:tc>
          <w:tcPr>
            <w:tcW w:w="1060" w:type="pct"/>
            <w:shd w:val="clear"/>
            <w:vAlign w:val="center"/>
          </w:tcPr>
          <w:p w14:paraId="0420DEE7">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249DA78E">
            <w:pPr>
              <w:widowControl/>
              <w:jc w:val="center"/>
              <w:rPr>
                <w:rFonts w:hint="default" w:ascii="宋体" w:hAnsi="宋体" w:eastAsia="宋体" w:cs="宋体"/>
                <w:b w:val="0"/>
                <w:bCs/>
                <w:kern w:val="2"/>
                <w:sz w:val="18"/>
                <w:szCs w:val="18"/>
                <w:lang w:val="en-US" w:eastAsia="zh-CN" w:bidi="ar-SA"/>
              </w:rPr>
            </w:pPr>
            <w:r>
              <w:rPr>
                <w:rFonts w:hint="eastAsia"/>
                <w:bCs/>
                <w:lang w:val="en-US" w:eastAsia="zh-CN"/>
              </w:rPr>
              <w:t>采纳</w:t>
            </w:r>
          </w:p>
        </w:tc>
      </w:tr>
      <w:tr w14:paraId="7C90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3A38B515">
            <w:pPr>
              <w:spacing w:before="156" w:beforeLines="50" w:after="156" w:afterLines="50"/>
              <w:jc w:val="center"/>
              <w:rPr>
                <w:rFonts w:hint="default"/>
                <w:sz w:val="18"/>
                <w:szCs w:val="18"/>
                <w:lang w:val="en-US" w:eastAsia="zh-CN"/>
              </w:rPr>
            </w:pPr>
            <w:r>
              <w:rPr>
                <w:rFonts w:hint="eastAsia"/>
                <w:sz w:val="18"/>
                <w:szCs w:val="18"/>
                <w:lang w:val="en-US" w:eastAsia="zh-CN"/>
              </w:rPr>
              <w:t>10</w:t>
            </w:r>
          </w:p>
        </w:tc>
        <w:tc>
          <w:tcPr>
            <w:tcW w:w="640" w:type="pct"/>
            <w:vAlign w:val="center"/>
          </w:tcPr>
          <w:p w14:paraId="0CC365A6">
            <w:pPr>
              <w:widowControl/>
              <w:jc w:val="left"/>
              <w:rPr>
                <w:rFonts w:hint="eastAsia"/>
                <w:sz w:val="18"/>
                <w:szCs w:val="18"/>
                <w:lang w:val="en-US" w:eastAsia="zh-CN"/>
              </w:rPr>
            </w:pPr>
            <w:r>
              <w:rPr>
                <w:rFonts w:hint="eastAsia"/>
                <w:lang w:val="en-US" w:eastAsia="zh-CN"/>
              </w:rPr>
              <w:t>13.1  包装</w:t>
            </w:r>
          </w:p>
        </w:tc>
        <w:tc>
          <w:tcPr>
            <w:tcW w:w="907" w:type="pct"/>
            <w:vAlign w:val="center"/>
          </w:tcPr>
          <w:p w14:paraId="57FC66EE">
            <w:pPr>
              <w:widowControl/>
              <w:jc w:val="left"/>
              <w:rPr>
                <w:rFonts w:hint="eastAsia"/>
                <w:sz w:val="18"/>
                <w:szCs w:val="18"/>
              </w:rPr>
            </w:pPr>
          </w:p>
        </w:tc>
        <w:tc>
          <w:tcPr>
            <w:tcW w:w="1406" w:type="pct"/>
            <w:vAlign w:val="center"/>
          </w:tcPr>
          <w:p w14:paraId="6325702D">
            <w:pPr>
              <w:widowControl/>
              <w:jc w:val="left"/>
              <w:rPr>
                <w:rFonts w:hint="default"/>
                <w:lang w:val="en-US" w:eastAsia="zh-CN"/>
              </w:rPr>
            </w:pPr>
            <w:r>
              <w:rPr>
                <w:rFonts w:hint="eastAsia"/>
                <w:lang w:val="en-US" w:eastAsia="zh-CN"/>
              </w:rPr>
              <w:t>增加有关过度包装的表述（GB 43284 限制商品过度包装要求 生鲜食用农产品）15—15—15</w:t>
            </w:r>
          </w:p>
          <w:p w14:paraId="50EF61C4">
            <w:pPr>
              <w:widowControl/>
              <w:jc w:val="left"/>
              <w:rPr>
                <w:rFonts w:hint="eastAsia"/>
                <w:sz w:val="18"/>
                <w:szCs w:val="18"/>
              </w:rPr>
            </w:pPr>
          </w:p>
        </w:tc>
        <w:tc>
          <w:tcPr>
            <w:tcW w:w="1060" w:type="pct"/>
            <w:shd w:val="clear"/>
            <w:vAlign w:val="center"/>
          </w:tcPr>
          <w:p w14:paraId="60685B9E">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3EC77B26">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793E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45A23348">
            <w:pPr>
              <w:spacing w:before="156" w:beforeLines="50" w:after="156" w:afterLines="50"/>
              <w:jc w:val="center"/>
              <w:rPr>
                <w:rFonts w:hint="default"/>
                <w:sz w:val="18"/>
                <w:szCs w:val="18"/>
                <w:lang w:val="en-US" w:eastAsia="zh-CN"/>
              </w:rPr>
            </w:pPr>
            <w:r>
              <w:rPr>
                <w:rFonts w:hint="eastAsia"/>
                <w:sz w:val="18"/>
                <w:szCs w:val="18"/>
                <w:lang w:val="en-US" w:eastAsia="zh-CN"/>
              </w:rPr>
              <w:t>11</w:t>
            </w:r>
          </w:p>
        </w:tc>
        <w:tc>
          <w:tcPr>
            <w:tcW w:w="640" w:type="pct"/>
            <w:vAlign w:val="center"/>
          </w:tcPr>
          <w:p w14:paraId="47F3F235">
            <w:pPr>
              <w:widowControl/>
              <w:jc w:val="left"/>
              <w:rPr>
                <w:rFonts w:hint="eastAsia"/>
                <w:sz w:val="18"/>
                <w:szCs w:val="18"/>
                <w:lang w:val="en-US" w:eastAsia="zh-CN"/>
              </w:rPr>
            </w:pPr>
            <w:r>
              <w:rPr>
                <w:rFonts w:hint="eastAsia"/>
                <w:lang w:val="en-US" w:eastAsia="zh-CN"/>
              </w:rPr>
              <w:t>20 生产技术流程图</w:t>
            </w:r>
          </w:p>
        </w:tc>
        <w:tc>
          <w:tcPr>
            <w:tcW w:w="907" w:type="pct"/>
            <w:vAlign w:val="center"/>
          </w:tcPr>
          <w:p w14:paraId="1FB49B4E">
            <w:pPr>
              <w:widowControl/>
              <w:jc w:val="left"/>
              <w:rPr>
                <w:rFonts w:hint="eastAsia"/>
                <w:sz w:val="18"/>
                <w:szCs w:val="18"/>
              </w:rPr>
            </w:pPr>
          </w:p>
        </w:tc>
        <w:tc>
          <w:tcPr>
            <w:tcW w:w="1406" w:type="pct"/>
            <w:vAlign w:val="center"/>
          </w:tcPr>
          <w:p w14:paraId="22942403">
            <w:pPr>
              <w:widowControl/>
              <w:jc w:val="left"/>
              <w:rPr>
                <w:rFonts w:hint="eastAsia"/>
                <w:sz w:val="18"/>
                <w:szCs w:val="18"/>
              </w:rPr>
            </w:pPr>
            <w:r>
              <w:rPr>
                <w:rFonts w:hint="eastAsia"/>
                <w:lang w:val="en-US" w:eastAsia="zh-CN"/>
              </w:rPr>
              <w:t>删除此章，意义不大。</w:t>
            </w:r>
          </w:p>
        </w:tc>
        <w:tc>
          <w:tcPr>
            <w:tcW w:w="1060" w:type="pct"/>
            <w:shd w:val="clear"/>
            <w:vAlign w:val="center"/>
          </w:tcPr>
          <w:p w14:paraId="469083E9">
            <w:pPr>
              <w:spacing w:line="320" w:lineRule="exact"/>
              <w:jc w:val="center"/>
              <w:rPr>
                <w:rFonts w:hint="eastAsia" w:eastAsia="宋体" w:asciiTheme="minorHAnsi" w:hAnsiTheme="minorHAnsi"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7C546681">
            <w:pPr>
              <w:widowControl/>
              <w:jc w:val="center"/>
              <w:rPr>
                <w:rFonts w:hint="eastAsia" w:ascii="宋体" w:hAnsi="宋体" w:eastAsia="宋体" w:cs="宋体"/>
                <w:b w:val="0"/>
                <w:bCs/>
                <w:kern w:val="2"/>
                <w:sz w:val="18"/>
                <w:szCs w:val="18"/>
                <w:lang w:val="en-US" w:eastAsia="zh-CN" w:bidi="ar-SA"/>
              </w:rPr>
            </w:pPr>
            <w:r>
              <w:rPr>
                <w:rFonts w:hint="eastAsia"/>
                <w:bCs/>
                <w:lang w:val="en-US" w:eastAsia="zh-CN"/>
              </w:rPr>
              <w:t>采纳</w:t>
            </w:r>
          </w:p>
        </w:tc>
      </w:tr>
      <w:tr w14:paraId="4A6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1ECF80F3">
            <w:pPr>
              <w:spacing w:before="156" w:beforeLines="50" w:after="156" w:afterLines="50"/>
              <w:jc w:val="center"/>
              <w:rPr>
                <w:rFonts w:hint="default"/>
                <w:sz w:val="18"/>
                <w:szCs w:val="18"/>
                <w:lang w:val="en-US" w:eastAsia="zh-CN"/>
              </w:rPr>
            </w:pPr>
            <w:r>
              <w:rPr>
                <w:rFonts w:hint="eastAsia"/>
                <w:sz w:val="18"/>
                <w:szCs w:val="18"/>
                <w:lang w:val="en-US" w:eastAsia="zh-CN"/>
              </w:rPr>
              <w:t>12</w:t>
            </w:r>
          </w:p>
        </w:tc>
        <w:tc>
          <w:tcPr>
            <w:tcW w:w="640" w:type="pct"/>
            <w:vAlign w:val="center"/>
          </w:tcPr>
          <w:p w14:paraId="62F76FFD">
            <w:pPr>
              <w:widowControl/>
              <w:jc w:val="left"/>
              <w:rPr>
                <w:rFonts w:hint="eastAsia"/>
                <w:sz w:val="18"/>
                <w:szCs w:val="18"/>
                <w:lang w:val="en-US" w:eastAsia="zh-CN"/>
              </w:rPr>
            </w:pPr>
            <w:r>
              <w:rPr>
                <w:rFonts w:hint="eastAsia"/>
                <w:lang w:val="en-US" w:eastAsia="zh-CN"/>
              </w:rPr>
              <w:t>附录 E</w:t>
            </w:r>
          </w:p>
        </w:tc>
        <w:tc>
          <w:tcPr>
            <w:tcW w:w="907" w:type="pct"/>
            <w:vAlign w:val="center"/>
          </w:tcPr>
          <w:p w14:paraId="260DEF66">
            <w:pPr>
              <w:widowControl/>
              <w:jc w:val="left"/>
              <w:rPr>
                <w:rFonts w:hint="eastAsia"/>
                <w:sz w:val="18"/>
                <w:szCs w:val="18"/>
              </w:rPr>
            </w:pPr>
          </w:p>
        </w:tc>
        <w:tc>
          <w:tcPr>
            <w:tcW w:w="1406" w:type="pct"/>
            <w:vAlign w:val="center"/>
          </w:tcPr>
          <w:p w14:paraId="2436F911">
            <w:pPr>
              <w:widowControl/>
              <w:jc w:val="left"/>
              <w:rPr>
                <w:rFonts w:hint="eastAsia"/>
                <w:sz w:val="18"/>
                <w:szCs w:val="18"/>
              </w:rPr>
            </w:pPr>
            <w:r>
              <w:rPr>
                <w:rFonts w:hint="eastAsia"/>
                <w:lang w:val="en-US" w:eastAsia="zh-CN"/>
              </w:rPr>
              <w:t>删除此附录，前面删除相关章。</w:t>
            </w:r>
          </w:p>
        </w:tc>
        <w:tc>
          <w:tcPr>
            <w:tcW w:w="1060" w:type="pct"/>
            <w:shd w:val="clear"/>
            <w:vAlign w:val="center"/>
          </w:tcPr>
          <w:p w14:paraId="2322854F">
            <w:pPr>
              <w:spacing w:line="320" w:lineRule="exact"/>
              <w:jc w:val="center"/>
              <w:rPr>
                <w:rFonts w:asciiTheme="minorHAnsi" w:hAnsiTheme="minorHAnsi" w:eastAsiaTheme="minorEastAsia" w:cstheme="minorBidi"/>
                <w:kern w:val="2"/>
                <w:sz w:val="18"/>
                <w:szCs w:val="18"/>
                <w:lang w:val="en-US" w:eastAsia="zh-CN" w:bidi="ar-SA"/>
              </w:rPr>
            </w:pPr>
            <w:r>
              <w:rPr>
                <w:rFonts w:hint="eastAsia"/>
              </w:rPr>
              <w:t xml:space="preserve">热科院分析测试中心 </w:t>
            </w:r>
            <w:r>
              <w:rPr>
                <w:rFonts w:hint="eastAsia"/>
                <w:lang w:eastAsia="zh-CN"/>
              </w:rPr>
              <w:t>谭乐和</w:t>
            </w:r>
          </w:p>
        </w:tc>
        <w:tc>
          <w:tcPr>
            <w:tcW w:w="685" w:type="pct"/>
            <w:shd w:val="clear" w:color="auto" w:fill="auto"/>
            <w:vAlign w:val="center"/>
          </w:tcPr>
          <w:p w14:paraId="2E1589F1">
            <w:pPr>
              <w:widowControl/>
              <w:jc w:val="center"/>
              <w:rPr>
                <w:rFonts w:hint="eastAsia" w:ascii="宋体" w:hAnsi="宋体" w:eastAsia="宋体" w:cs="宋体"/>
                <w:kern w:val="2"/>
                <w:sz w:val="18"/>
                <w:szCs w:val="18"/>
                <w:lang w:val="en-US" w:eastAsia="zh-CN" w:bidi="ar-SA"/>
              </w:rPr>
            </w:pPr>
            <w:r>
              <w:rPr>
                <w:rFonts w:hint="eastAsia"/>
                <w:bCs/>
                <w:lang w:val="en-US" w:eastAsia="zh-CN"/>
              </w:rPr>
              <w:t>采纳</w:t>
            </w:r>
          </w:p>
        </w:tc>
      </w:tr>
      <w:tr w14:paraId="067C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2ECE1FDF">
            <w:pPr>
              <w:spacing w:before="156" w:beforeLines="50" w:after="156" w:afterLines="50"/>
              <w:jc w:val="center"/>
              <w:rPr>
                <w:rFonts w:hint="default"/>
                <w:sz w:val="18"/>
                <w:szCs w:val="18"/>
                <w:lang w:val="en-US" w:eastAsia="zh-CN"/>
              </w:rPr>
            </w:pPr>
            <w:r>
              <w:rPr>
                <w:rFonts w:hint="eastAsia"/>
                <w:sz w:val="18"/>
                <w:szCs w:val="18"/>
                <w:lang w:val="en-US" w:eastAsia="zh-CN"/>
              </w:rPr>
              <w:t>13</w:t>
            </w:r>
          </w:p>
        </w:tc>
        <w:tc>
          <w:tcPr>
            <w:tcW w:w="640" w:type="pct"/>
            <w:vAlign w:val="center"/>
          </w:tcPr>
          <w:p w14:paraId="4656849B">
            <w:pPr>
              <w:jc w:val="center"/>
              <w:rPr>
                <w:rFonts w:hint="eastAsia"/>
                <w:sz w:val="18"/>
                <w:szCs w:val="18"/>
                <w:lang w:val="en-US" w:eastAsia="zh-CN"/>
              </w:rPr>
            </w:pPr>
            <w:r>
              <w:rPr>
                <w:rFonts w:hint="eastAsia" w:asciiTheme="minorEastAsia" w:hAnsiTheme="minorEastAsia" w:eastAsiaTheme="minorEastAsia"/>
                <w:color w:val="000000" w:themeColor="text1"/>
                <w:kern w:val="2"/>
                <w:sz w:val="18"/>
                <w:szCs w:val="18"/>
                <w:highlight w:val="none"/>
                <w:lang w:val="en-US" w:eastAsia="zh-CN"/>
                <w14:textFill>
                  <w14:solidFill>
                    <w14:schemeClr w14:val="tx1"/>
                  </w14:solidFill>
                </w14:textFill>
              </w:rPr>
              <w:t>3.3</w:t>
            </w:r>
          </w:p>
        </w:tc>
        <w:tc>
          <w:tcPr>
            <w:tcW w:w="907" w:type="pct"/>
            <w:vAlign w:val="center"/>
          </w:tcPr>
          <w:p w14:paraId="2FBF6774">
            <w:pPr>
              <w:jc w:val="center"/>
              <w:rPr>
                <w:rFonts w:hint="eastAsia"/>
                <w:sz w:val="18"/>
                <w:szCs w:val="18"/>
              </w:rPr>
            </w:pPr>
            <w:r>
              <w:rPr>
                <w:rFonts w:hint="eastAsia" w:cs="Times New Roman"/>
                <w:color w:val="000000" w:themeColor="text1"/>
                <w:sz w:val="18"/>
                <w:szCs w:val="18"/>
                <w:highlight w:val="none"/>
                <w:lang w:eastAsia="zh-CN"/>
                <w14:textFill>
                  <w14:solidFill>
                    <w14:schemeClr w14:val="tx1"/>
                  </w14:solidFill>
                </w14:textFill>
              </w:rPr>
              <w:t>冲梢 punch pin</w:t>
            </w:r>
          </w:p>
        </w:tc>
        <w:tc>
          <w:tcPr>
            <w:tcW w:w="1406" w:type="pct"/>
            <w:vAlign w:val="center"/>
          </w:tcPr>
          <w:p w14:paraId="29BCBBC7">
            <w:pPr>
              <w:jc w:val="center"/>
              <w:rPr>
                <w:rFonts w:hint="eastAsia"/>
                <w:sz w:val="18"/>
                <w:szCs w:val="18"/>
              </w:rPr>
            </w:pPr>
            <w:r>
              <w:rPr>
                <w:rFonts w:hint="eastAsia" w:cs="Times New Roman"/>
                <w:color w:val="000000" w:themeColor="text1"/>
                <w:sz w:val="18"/>
                <w:szCs w:val="18"/>
                <w:highlight w:val="none"/>
                <w:lang w:val="en-US" w:eastAsia="zh-CN"/>
                <w14:textFill>
                  <w14:solidFill>
                    <w14:schemeClr w14:val="tx1"/>
                  </w14:solidFill>
                </w14:textFill>
              </w:rPr>
              <w:t>改为flushing</w:t>
            </w:r>
          </w:p>
        </w:tc>
        <w:tc>
          <w:tcPr>
            <w:tcW w:w="1060" w:type="pct"/>
            <w:vAlign w:val="center"/>
          </w:tcPr>
          <w:p w14:paraId="4C49055A">
            <w:pPr>
              <w:jc w:val="center"/>
              <w:rPr>
                <w:sz w:val="18"/>
                <w:szCs w:val="18"/>
              </w:rPr>
            </w:pPr>
            <w:r>
              <w:rPr>
                <w:rFonts w:hint="eastAsia" w:asciiTheme="minorEastAsia" w:hAnsiTheme="minorEastAsia" w:eastAsiaTheme="minorEastAsia"/>
                <w:color w:val="000000" w:themeColor="text1"/>
                <w:kern w:val="2"/>
                <w:sz w:val="18"/>
                <w:szCs w:val="18"/>
                <w:highlight w:val="none"/>
                <w:lang w:val="en-US" w:eastAsia="zh-CN"/>
                <w14:textFill>
                  <w14:solidFill>
                    <w14:schemeClr w14:val="tx1"/>
                  </w14:solidFill>
                </w14:textFill>
              </w:rPr>
              <w:t>热科院品质所  李松刚</w:t>
            </w:r>
          </w:p>
        </w:tc>
        <w:tc>
          <w:tcPr>
            <w:tcW w:w="685" w:type="pct"/>
            <w:shd w:val="clear" w:color="auto" w:fill="auto"/>
            <w:vAlign w:val="center"/>
          </w:tcPr>
          <w:p w14:paraId="3C936E93">
            <w:pPr>
              <w:jc w:val="center"/>
              <w:rPr>
                <w:rFonts w:hint="eastAsia" w:ascii="宋体" w:hAnsi="宋体" w:eastAsia="宋体" w:cs="宋体"/>
                <w:kern w:val="2"/>
                <w:sz w:val="18"/>
                <w:szCs w:val="18"/>
                <w:lang w:val="en-US" w:eastAsia="zh-CN" w:bidi="ar-SA"/>
              </w:rPr>
            </w:pPr>
            <w:r>
              <w:rPr>
                <w:rFonts w:hint="eastAsia" w:asciiTheme="minorEastAsia" w:hAnsiTheme="minorEastAsia" w:eastAsiaTheme="minorEastAsia"/>
                <w:color w:val="000000" w:themeColor="text1"/>
                <w:kern w:val="2"/>
                <w:sz w:val="18"/>
                <w:szCs w:val="18"/>
                <w:highlight w:val="none"/>
                <w:lang w:val="en-US" w:eastAsia="zh-CN"/>
                <w14:textFill>
                  <w14:solidFill>
                    <w14:schemeClr w14:val="tx1"/>
                  </w14:solidFill>
                </w14:textFill>
              </w:rPr>
              <w:t>采纳</w:t>
            </w:r>
          </w:p>
        </w:tc>
      </w:tr>
      <w:tr w14:paraId="5CA0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68380363">
            <w:pPr>
              <w:spacing w:before="156" w:beforeLines="50" w:after="156" w:afterLines="50"/>
              <w:jc w:val="center"/>
              <w:rPr>
                <w:rFonts w:hint="default"/>
                <w:sz w:val="18"/>
                <w:szCs w:val="18"/>
                <w:lang w:val="en-US" w:eastAsia="zh-CN"/>
              </w:rPr>
            </w:pPr>
            <w:r>
              <w:rPr>
                <w:rFonts w:hint="eastAsia"/>
                <w:sz w:val="18"/>
                <w:szCs w:val="18"/>
                <w:lang w:val="en-US" w:eastAsia="zh-CN"/>
              </w:rPr>
              <w:t>14</w:t>
            </w:r>
          </w:p>
        </w:tc>
        <w:tc>
          <w:tcPr>
            <w:tcW w:w="640" w:type="pct"/>
            <w:shd w:val="clear"/>
            <w:vAlign w:val="center"/>
          </w:tcPr>
          <w:p w14:paraId="6172EC91">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182071E2">
            <w:pPr>
              <w:widowControl/>
              <w:jc w:val="center"/>
              <w:rPr>
                <w:rFonts w:hint="eastAsia"/>
                <w:lang w:val="en-US" w:eastAsia="zh-CN"/>
              </w:rPr>
            </w:pPr>
            <w:r>
              <w:rPr>
                <w:rFonts w:hint="eastAsia"/>
                <w:lang w:val="en-US" w:eastAsia="zh-CN"/>
              </w:rPr>
              <w:t xml:space="preserve">3.1 </w:t>
            </w:r>
          </w:p>
          <w:p w14:paraId="0C8C8FA7">
            <w:pPr>
              <w:widowControl/>
              <w:jc w:val="center"/>
              <w:rPr>
                <w:rFonts w:hint="eastAsia"/>
                <w:lang w:val="en-US" w:eastAsia="zh-CN"/>
              </w:rPr>
            </w:pPr>
            <w:r>
              <w:rPr>
                <w:rFonts w:hint="eastAsia"/>
                <w:lang w:val="en-US" w:eastAsia="zh-CN"/>
              </w:rPr>
              <w:t xml:space="preserve">3.2 </w:t>
            </w:r>
          </w:p>
          <w:p w14:paraId="01A31A41">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 xml:space="preserve">3.3 </w:t>
            </w:r>
          </w:p>
        </w:tc>
        <w:tc>
          <w:tcPr>
            <w:tcW w:w="1406" w:type="pct"/>
            <w:shd w:val="clear"/>
            <w:vAlign w:val="center"/>
          </w:tcPr>
          <w:p w14:paraId="02C02164">
            <w:pPr>
              <w:widowControl/>
              <w:jc w:val="center"/>
              <w:rPr>
                <w:rFonts w:hint="eastAsia"/>
                <w:lang w:val="en-US" w:eastAsia="zh-CN"/>
              </w:rPr>
            </w:pPr>
            <w:r>
              <w:rPr>
                <w:rFonts w:hint="eastAsia"/>
                <w:lang w:val="en-US" w:eastAsia="zh-CN"/>
              </w:rPr>
              <w:t>3.1 蟹眼</w:t>
            </w:r>
          </w:p>
          <w:p w14:paraId="1FF51A85">
            <w:pPr>
              <w:widowControl/>
              <w:jc w:val="center"/>
              <w:rPr>
                <w:rFonts w:hint="eastAsia"/>
                <w:lang w:val="en-US" w:eastAsia="zh-CN"/>
              </w:rPr>
            </w:pPr>
            <w:r>
              <w:rPr>
                <w:rFonts w:hint="eastAsia"/>
                <w:lang w:val="en-US" w:eastAsia="zh-CN"/>
              </w:rPr>
              <w:t>3.2 催花</w:t>
            </w:r>
          </w:p>
          <w:p w14:paraId="5097FE20">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3.3 冲梢</w:t>
            </w:r>
          </w:p>
        </w:tc>
        <w:tc>
          <w:tcPr>
            <w:tcW w:w="1060" w:type="pct"/>
            <w:vAlign w:val="center"/>
          </w:tcPr>
          <w:p w14:paraId="1D24D668">
            <w:pPr>
              <w:widowControl/>
              <w:jc w:val="center"/>
              <w:rPr>
                <w:rFonts w:hint="eastAsia"/>
                <w:lang w:val="en-US" w:eastAsia="zh-CN"/>
              </w:rPr>
            </w:pPr>
            <w:r>
              <w:rPr>
                <w:rFonts w:hint="eastAsia"/>
                <w:lang w:val="en-US" w:eastAsia="zh-CN"/>
              </w:rPr>
              <w:t>省农业标准化技术委员会</w:t>
            </w:r>
            <w:r>
              <w:rPr>
                <w:rFonts w:hint="eastAsia"/>
              </w:rPr>
              <w:t xml:space="preserve"> </w:t>
            </w:r>
            <w:r>
              <w:rPr>
                <w:rFonts w:hint="eastAsia"/>
                <w:lang w:val="en-US" w:eastAsia="zh-CN"/>
              </w:rPr>
              <w:t>张华云</w:t>
            </w:r>
          </w:p>
          <w:p w14:paraId="1E298951">
            <w:pPr>
              <w:widowControl/>
              <w:jc w:val="center"/>
              <w:rPr>
                <w:rFonts w:hint="eastAsia"/>
                <w:lang w:val="en-US" w:eastAsia="zh-CN"/>
              </w:rPr>
            </w:pPr>
            <w:r>
              <w:rPr>
                <w:rFonts w:hint="eastAsia"/>
                <w:lang w:val="en-US" w:eastAsia="zh-CN"/>
              </w:rPr>
              <w:t>省农业标准化技术委员会</w:t>
            </w:r>
            <w:r>
              <w:rPr>
                <w:rFonts w:hint="eastAsia"/>
              </w:rPr>
              <w:t xml:space="preserve"> </w:t>
            </w:r>
            <w:r>
              <w:rPr>
                <w:rFonts w:hint="eastAsia"/>
                <w:lang w:val="en-US" w:eastAsia="zh-CN"/>
              </w:rPr>
              <w:t>张华云</w:t>
            </w:r>
          </w:p>
          <w:p w14:paraId="3B9E55EF">
            <w:pPr>
              <w:jc w:val="center"/>
              <w:rPr>
                <w:sz w:val="18"/>
                <w:szCs w:val="18"/>
              </w:rPr>
            </w:pPr>
          </w:p>
        </w:tc>
        <w:tc>
          <w:tcPr>
            <w:tcW w:w="685" w:type="pct"/>
            <w:shd w:val="clear"/>
            <w:vAlign w:val="center"/>
          </w:tcPr>
          <w:p w14:paraId="7CDDB005">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7A2F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557D646A">
            <w:pPr>
              <w:spacing w:before="156" w:beforeLines="50" w:after="156" w:afterLines="50"/>
              <w:jc w:val="center"/>
              <w:rPr>
                <w:rFonts w:hint="default"/>
                <w:sz w:val="18"/>
                <w:szCs w:val="18"/>
                <w:lang w:val="en-US" w:eastAsia="zh-CN"/>
              </w:rPr>
            </w:pPr>
            <w:r>
              <w:rPr>
                <w:rFonts w:hint="eastAsia"/>
                <w:sz w:val="18"/>
                <w:szCs w:val="18"/>
                <w:lang w:val="en-US" w:eastAsia="zh-CN"/>
              </w:rPr>
              <w:t>15</w:t>
            </w:r>
          </w:p>
        </w:tc>
        <w:tc>
          <w:tcPr>
            <w:tcW w:w="640" w:type="pct"/>
            <w:shd w:val="clear"/>
            <w:vAlign w:val="center"/>
          </w:tcPr>
          <w:p w14:paraId="2E0A722A">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3B556E02">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附录A</w:t>
            </w:r>
          </w:p>
        </w:tc>
        <w:tc>
          <w:tcPr>
            <w:tcW w:w="1406" w:type="pct"/>
            <w:shd w:val="clear"/>
            <w:vAlign w:val="center"/>
          </w:tcPr>
          <w:p w14:paraId="7C0FC87A">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附录A（资料性）</w:t>
            </w:r>
            <w:r>
              <w:rPr>
                <w:rFonts w:hint="eastAsia" w:ascii="黑体" w:hAnsi="宋体" w:eastAsia="黑体" w:cs="黑体"/>
                <w:kern w:val="0"/>
              </w:rPr>
              <w:t>龙眼主要病虫害药剂防治方法</w:t>
            </w:r>
          </w:p>
        </w:tc>
        <w:tc>
          <w:tcPr>
            <w:tcW w:w="1060" w:type="pct"/>
            <w:vAlign w:val="center"/>
          </w:tcPr>
          <w:p w14:paraId="75BF4970">
            <w:pPr>
              <w:widowControl/>
              <w:jc w:val="center"/>
              <w:rPr>
                <w:sz w:val="18"/>
                <w:szCs w:val="18"/>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7A583F58">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29D8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637B6775">
            <w:pPr>
              <w:spacing w:before="156" w:beforeLines="50" w:after="156" w:afterLines="50"/>
              <w:jc w:val="center"/>
              <w:rPr>
                <w:rFonts w:hint="default"/>
                <w:sz w:val="18"/>
                <w:szCs w:val="18"/>
                <w:lang w:val="en-US" w:eastAsia="zh-CN"/>
              </w:rPr>
            </w:pPr>
            <w:r>
              <w:rPr>
                <w:rFonts w:hint="eastAsia"/>
                <w:sz w:val="18"/>
                <w:szCs w:val="18"/>
                <w:lang w:val="en-US" w:eastAsia="zh-CN"/>
              </w:rPr>
              <w:t>16</w:t>
            </w:r>
          </w:p>
        </w:tc>
        <w:tc>
          <w:tcPr>
            <w:tcW w:w="640" w:type="pct"/>
            <w:shd w:val="clear"/>
            <w:vAlign w:val="center"/>
          </w:tcPr>
          <w:p w14:paraId="79EBFA4E">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7B7906C9">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附录B</w:t>
            </w:r>
          </w:p>
        </w:tc>
        <w:tc>
          <w:tcPr>
            <w:tcW w:w="1406" w:type="pct"/>
            <w:shd w:val="clear"/>
            <w:vAlign w:val="center"/>
          </w:tcPr>
          <w:p w14:paraId="0AA73AAE">
            <w:pPr>
              <w:pStyle w:val="52"/>
              <w:numPr>
                <w:ilvl w:val="0"/>
                <w:numId w:val="0"/>
              </w:numPr>
              <w:shd w:val="clear" w:color="FFFFFF" w:fill="FFFFFF"/>
              <w:spacing w:before="0" w:afterLines="0"/>
              <w:jc w:val="both"/>
              <w:rPr>
                <w:rFonts w:hint="eastAsia"/>
              </w:rPr>
            </w:pPr>
            <w:r>
              <w:rPr>
                <w:rFonts w:hint="eastAsia"/>
                <w:lang w:val="en-US" w:eastAsia="zh-CN"/>
              </w:rPr>
              <w:t>附录B</w:t>
            </w:r>
            <w:r>
              <w:rPr>
                <w:rFonts w:hint="eastAsia"/>
              </w:rPr>
              <w:t>（资料性）不同品种龙眼果实主要特征</w:t>
            </w:r>
          </w:p>
          <w:p w14:paraId="4073C456">
            <w:pPr>
              <w:widowControl/>
              <w:jc w:val="center"/>
              <w:rPr>
                <w:rFonts w:hint="eastAsia" w:asciiTheme="minorHAnsi" w:hAnsiTheme="minorHAnsi" w:eastAsiaTheme="minorEastAsia" w:cstheme="minorBidi"/>
                <w:kern w:val="2"/>
                <w:sz w:val="21"/>
                <w:szCs w:val="24"/>
                <w:lang w:val="en-US" w:eastAsia="zh-CN" w:bidi="ar-SA"/>
              </w:rPr>
            </w:pPr>
          </w:p>
        </w:tc>
        <w:tc>
          <w:tcPr>
            <w:tcW w:w="1060" w:type="pct"/>
            <w:vAlign w:val="center"/>
          </w:tcPr>
          <w:p w14:paraId="0CE8978C">
            <w:pPr>
              <w:widowControl/>
              <w:jc w:val="center"/>
              <w:rPr>
                <w:sz w:val="18"/>
                <w:szCs w:val="18"/>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13CAAB10">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29D8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1E60933C">
            <w:pPr>
              <w:spacing w:before="156" w:beforeLines="50" w:after="156" w:afterLines="50"/>
              <w:jc w:val="center"/>
              <w:rPr>
                <w:rFonts w:hint="default"/>
                <w:sz w:val="18"/>
                <w:szCs w:val="18"/>
                <w:lang w:val="en-US" w:eastAsia="zh-CN"/>
              </w:rPr>
            </w:pPr>
            <w:bookmarkStart w:id="22" w:name="_GoBack" w:colFirst="1" w:colLast="1"/>
            <w:r>
              <w:rPr>
                <w:rFonts w:hint="eastAsia"/>
                <w:sz w:val="18"/>
                <w:szCs w:val="18"/>
                <w:lang w:val="en-US" w:eastAsia="zh-CN"/>
              </w:rPr>
              <w:t>17</w:t>
            </w:r>
          </w:p>
        </w:tc>
        <w:tc>
          <w:tcPr>
            <w:tcW w:w="640" w:type="pct"/>
            <w:shd w:val="clear"/>
            <w:vAlign w:val="center"/>
          </w:tcPr>
          <w:p w14:paraId="2489DDC2">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2C85D471">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附录C</w:t>
            </w:r>
          </w:p>
        </w:tc>
        <w:tc>
          <w:tcPr>
            <w:tcW w:w="1406" w:type="pct"/>
            <w:shd w:val="clear"/>
            <w:vAlign w:val="center"/>
          </w:tcPr>
          <w:p w14:paraId="0EF80E8C">
            <w:pPr>
              <w:pStyle w:val="52"/>
              <w:numPr>
                <w:ilvl w:val="0"/>
                <w:numId w:val="0"/>
              </w:numPr>
              <w:spacing w:before="0" w:afterLines="0"/>
              <w:ind w:left="0" w:leftChars="0" w:firstLine="0" w:firstLineChars="0"/>
              <w:jc w:val="both"/>
              <w:rPr>
                <w:rFonts w:hint="eastAsia" w:ascii="黑体" w:hAnsi="Times New Roman" w:eastAsia="黑体" w:cs="Times New Roman"/>
                <w:sz w:val="21"/>
                <w:lang w:val="en-US" w:eastAsia="zh-CN" w:bidi="ar-SA"/>
              </w:rPr>
            </w:pPr>
            <w:r>
              <w:rPr>
                <w:rFonts w:hint="eastAsia"/>
                <w:lang w:val="en-US" w:eastAsia="zh-CN"/>
              </w:rPr>
              <w:t>附录C</w:t>
            </w:r>
            <w:r>
              <w:rPr>
                <w:rFonts w:hint="eastAsia"/>
              </w:rPr>
              <w:t>（</w:t>
            </w:r>
            <w:r>
              <w:rPr>
                <w:rFonts w:hint="eastAsia"/>
                <w:lang w:val="en-US" w:eastAsia="zh-CN"/>
              </w:rPr>
              <w:t>资料</w:t>
            </w:r>
            <w:r>
              <w:rPr>
                <w:rFonts w:hint="eastAsia"/>
              </w:rPr>
              <w:t>性）</w:t>
            </w:r>
            <w:r>
              <w:rPr>
                <w:rFonts w:hint="eastAsia" w:ascii="黑体" w:hAnsi="宋体" w:eastAsia="黑体" w:cs="黑体"/>
                <w:kern w:val="0"/>
              </w:rPr>
              <w:t>龙眼主栽</w:t>
            </w:r>
            <w:r>
              <w:rPr>
                <w:rFonts w:ascii="黑体" w:hAnsi="宋体" w:eastAsia="黑体" w:cs="黑体"/>
                <w:kern w:val="0"/>
              </w:rPr>
              <w:t>品种</w:t>
            </w:r>
            <w:r>
              <w:rPr>
                <w:rFonts w:hint="eastAsia" w:ascii="黑体" w:hAnsi="宋体" w:eastAsia="黑体" w:cs="黑体"/>
                <w:kern w:val="0"/>
              </w:rPr>
              <w:t>果实品质性状</w:t>
            </w:r>
          </w:p>
        </w:tc>
        <w:tc>
          <w:tcPr>
            <w:tcW w:w="1060" w:type="pct"/>
            <w:vAlign w:val="center"/>
          </w:tcPr>
          <w:p w14:paraId="3A87B4B2">
            <w:pPr>
              <w:widowControl/>
              <w:jc w:val="center"/>
              <w:rPr>
                <w:sz w:val="18"/>
                <w:szCs w:val="18"/>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5132848D">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bookmarkEnd w:id="22"/>
      <w:tr w14:paraId="765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3CF4643C">
            <w:pPr>
              <w:spacing w:before="156" w:beforeLines="50" w:after="156" w:afterLines="50"/>
              <w:jc w:val="center"/>
              <w:rPr>
                <w:rFonts w:hint="default"/>
                <w:sz w:val="18"/>
                <w:szCs w:val="18"/>
                <w:lang w:val="en-US" w:eastAsia="zh-CN"/>
              </w:rPr>
            </w:pPr>
            <w:r>
              <w:rPr>
                <w:rFonts w:hint="eastAsia"/>
                <w:sz w:val="18"/>
                <w:szCs w:val="18"/>
                <w:lang w:val="en-US" w:eastAsia="zh-CN"/>
              </w:rPr>
              <w:t>18</w:t>
            </w:r>
          </w:p>
        </w:tc>
        <w:tc>
          <w:tcPr>
            <w:tcW w:w="640" w:type="pct"/>
            <w:shd w:val="clear"/>
            <w:vAlign w:val="center"/>
          </w:tcPr>
          <w:p w14:paraId="0CE4FA7A">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24AD16D9">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附录D</w:t>
            </w:r>
          </w:p>
        </w:tc>
        <w:tc>
          <w:tcPr>
            <w:tcW w:w="1406" w:type="pct"/>
            <w:shd w:val="clear"/>
            <w:vAlign w:val="center"/>
          </w:tcPr>
          <w:p w14:paraId="4819C67D">
            <w:pPr>
              <w:widowControl/>
              <w:spacing w:line="240" w:lineRule="auto"/>
              <w:jc w:val="center"/>
              <w:outlineLvl w:val="0"/>
              <w:rPr>
                <w:rFonts w:hint="eastAsia" w:ascii="黑体" w:hAnsi="宋体" w:eastAsia="黑体" w:cs="黑体"/>
                <w:kern w:val="0"/>
              </w:rPr>
            </w:pPr>
            <w:r>
              <w:rPr>
                <w:rFonts w:hint="eastAsia"/>
                <w:lang w:val="en-US" w:eastAsia="zh-CN"/>
              </w:rPr>
              <w:t>附录D</w:t>
            </w:r>
            <w:r>
              <w:rPr>
                <w:rFonts w:hint="eastAsia"/>
              </w:rPr>
              <w:t>（</w:t>
            </w:r>
            <w:r>
              <w:rPr>
                <w:rFonts w:hint="eastAsia"/>
                <w:lang w:val="en-US" w:eastAsia="zh-CN"/>
              </w:rPr>
              <w:t>资料</w:t>
            </w:r>
            <w:r>
              <w:rPr>
                <w:rFonts w:hint="eastAsia"/>
              </w:rPr>
              <w:t>性）</w:t>
            </w:r>
            <w:r>
              <w:rPr>
                <w:rFonts w:hint="eastAsia" w:ascii="黑体" w:hAnsi="宋体" w:eastAsia="黑体" w:cs="黑体"/>
                <w:kern w:val="0"/>
              </w:rPr>
              <w:t>龙眼果园生产管理档案记录</w:t>
            </w:r>
          </w:p>
          <w:p w14:paraId="06580453">
            <w:pPr>
              <w:widowControl/>
              <w:jc w:val="center"/>
              <w:rPr>
                <w:rFonts w:hint="eastAsia" w:asciiTheme="minorHAnsi" w:hAnsiTheme="minorHAnsi" w:eastAsiaTheme="minorEastAsia" w:cstheme="minorBidi"/>
                <w:kern w:val="2"/>
                <w:sz w:val="21"/>
                <w:szCs w:val="24"/>
                <w:lang w:val="en-US" w:eastAsia="zh-CN" w:bidi="ar-SA"/>
              </w:rPr>
            </w:pPr>
          </w:p>
        </w:tc>
        <w:tc>
          <w:tcPr>
            <w:tcW w:w="1060" w:type="pct"/>
            <w:shd w:val="clear"/>
            <w:vAlign w:val="center"/>
          </w:tcPr>
          <w:p w14:paraId="5F29806F">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6EFA281A">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1BF3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A421C20">
            <w:pPr>
              <w:spacing w:before="156" w:beforeLines="50" w:after="156" w:afterLines="50"/>
              <w:jc w:val="center"/>
              <w:rPr>
                <w:rFonts w:hint="default"/>
                <w:sz w:val="18"/>
                <w:szCs w:val="18"/>
                <w:lang w:val="en-US" w:eastAsia="zh-CN"/>
              </w:rPr>
            </w:pPr>
            <w:r>
              <w:rPr>
                <w:rFonts w:hint="eastAsia"/>
                <w:sz w:val="18"/>
                <w:szCs w:val="18"/>
                <w:lang w:val="en-US" w:eastAsia="zh-CN"/>
              </w:rPr>
              <w:t>19</w:t>
            </w:r>
          </w:p>
        </w:tc>
        <w:tc>
          <w:tcPr>
            <w:tcW w:w="640" w:type="pct"/>
            <w:shd w:val="clear"/>
            <w:vAlign w:val="center"/>
          </w:tcPr>
          <w:p w14:paraId="0D101DCD">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目次</w:t>
            </w:r>
          </w:p>
        </w:tc>
        <w:tc>
          <w:tcPr>
            <w:tcW w:w="907" w:type="pct"/>
            <w:shd w:val="clear"/>
            <w:vAlign w:val="center"/>
          </w:tcPr>
          <w:p w14:paraId="612AA1EB">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附录E</w:t>
            </w:r>
          </w:p>
        </w:tc>
        <w:tc>
          <w:tcPr>
            <w:tcW w:w="1406" w:type="pct"/>
            <w:shd w:val="clear"/>
            <w:vAlign w:val="center"/>
          </w:tcPr>
          <w:p w14:paraId="7D354647">
            <w:pPr>
              <w:pStyle w:val="23"/>
              <w:ind w:firstLine="0" w:firstLineChars="0"/>
              <w:jc w:val="center"/>
              <w:rPr>
                <w:rFonts w:hint="eastAsia" w:ascii="黑体" w:hAnsi="宋体" w:eastAsia="黑体" w:cs="黑体"/>
                <w:szCs w:val="21"/>
              </w:rPr>
            </w:pPr>
            <w:r>
              <w:rPr>
                <w:rFonts w:hint="eastAsia"/>
                <w:lang w:val="en-US" w:eastAsia="zh-CN"/>
              </w:rPr>
              <w:t>附录E</w:t>
            </w:r>
            <w:r>
              <w:rPr>
                <w:rFonts w:hint="eastAsia"/>
              </w:rPr>
              <w:t>（</w:t>
            </w:r>
            <w:r>
              <w:rPr>
                <w:rFonts w:hint="eastAsia"/>
                <w:lang w:val="en-US" w:eastAsia="zh-CN"/>
              </w:rPr>
              <w:t>资料</w:t>
            </w:r>
            <w:r>
              <w:rPr>
                <w:rFonts w:hint="eastAsia"/>
              </w:rPr>
              <w:t>性）</w:t>
            </w:r>
            <w:r>
              <w:rPr>
                <w:rFonts w:ascii="黑体" w:hAnsi="宋体" w:eastAsia="黑体" w:cs="黑体"/>
                <w:szCs w:val="21"/>
              </w:rPr>
              <w:t>龙眼</w:t>
            </w:r>
            <w:r>
              <w:rPr>
                <w:rFonts w:hint="eastAsia" w:ascii="黑体" w:hAnsi="宋体" w:eastAsia="黑体" w:cs="黑体"/>
                <w:szCs w:val="21"/>
              </w:rPr>
              <w:t>生产技术流程图</w:t>
            </w:r>
          </w:p>
          <w:p w14:paraId="46897B27">
            <w:pPr>
              <w:widowControl/>
              <w:jc w:val="center"/>
              <w:rPr>
                <w:rFonts w:hint="eastAsia" w:asciiTheme="minorHAnsi" w:hAnsiTheme="minorHAnsi" w:eastAsiaTheme="minorEastAsia" w:cstheme="minorBidi"/>
                <w:kern w:val="2"/>
                <w:sz w:val="21"/>
                <w:szCs w:val="24"/>
                <w:lang w:val="en-US" w:eastAsia="zh-CN" w:bidi="ar-SA"/>
              </w:rPr>
            </w:pPr>
          </w:p>
        </w:tc>
        <w:tc>
          <w:tcPr>
            <w:tcW w:w="1060" w:type="pct"/>
            <w:shd w:val="clear"/>
            <w:vAlign w:val="center"/>
          </w:tcPr>
          <w:p w14:paraId="3E544E84">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6ED951F1">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已删除</w:t>
            </w:r>
          </w:p>
        </w:tc>
      </w:tr>
      <w:tr w14:paraId="7F7E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55D7EF3">
            <w:pPr>
              <w:spacing w:before="156" w:beforeLines="50" w:after="156" w:afterLines="50"/>
              <w:jc w:val="center"/>
              <w:rPr>
                <w:rFonts w:hint="default"/>
                <w:sz w:val="18"/>
                <w:szCs w:val="18"/>
                <w:lang w:val="en-US" w:eastAsia="zh-CN"/>
              </w:rPr>
            </w:pPr>
            <w:r>
              <w:rPr>
                <w:rFonts w:hint="eastAsia"/>
                <w:sz w:val="18"/>
                <w:szCs w:val="18"/>
                <w:lang w:val="en-US" w:eastAsia="zh-CN"/>
              </w:rPr>
              <w:t>20</w:t>
            </w:r>
          </w:p>
        </w:tc>
        <w:tc>
          <w:tcPr>
            <w:tcW w:w="640" w:type="pct"/>
            <w:shd w:val="clear" w:color="auto" w:fill="auto"/>
            <w:vAlign w:val="center"/>
          </w:tcPr>
          <w:p w14:paraId="093EFCFC">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引言</w:t>
            </w:r>
          </w:p>
        </w:tc>
        <w:tc>
          <w:tcPr>
            <w:tcW w:w="907" w:type="pct"/>
            <w:shd w:val="clear" w:color="auto" w:fill="auto"/>
            <w:vAlign w:val="center"/>
          </w:tcPr>
          <w:p w14:paraId="486E76EA">
            <w:pPr>
              <w:widowControl/>
              <w:jc w:val="center"/>
              <w:rPr>
                <w:rFonts w:hint="eastAsia" w:asciiTheme="minorHAnsi" w:hAnsiTheme="minorHAnsi" w:eastAsiaTheme="minorEastAsia" w:cstheme="minorBidi"/>
                <w:kern w:val="2"/>
                <w:sz w:val="21"/>
                <w:szCs w:val="22"/>
                <w:lang w:val="en-US" w:eastAsia="zh-CN" w:bidi="ar-SA"/>
              </w:rPr>
            </w:pPr>
            <w:r>
              <w:rPr>
                <w:rFonts w:hint="eastAsia"/>
              </w:rPr>
              <w:t>全产业链标准化程度低，</w:t>
            </w:r>
          </w:p>
        </w:tc>
        <w:tc>
          <w:tcPr>
            <w:tcW w:w="1406" w:type="pct"/>
            <w:shd w:val="clear" w:color="auto" w:fill="auto"/>
            <w:vAlign w:val="center"/>
          </w:tcPr>
          <w:p w14:paraId="6787CD9F">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特别是龙眼</w:t>
            </w:r>
            <w:r>
              <w:rPr>
                <w:rFonts w:hint="eastAsia"/>
              </w:rPr>
              <w:t>全产业链标准化程度低，</w:t>
            </w:r>
          </w:p>
        </w:tc>
        <w:tc>
          <w:tcPr>
            <w:tcW w:w="1060" w:type="pct"/>
            <w:shd w:val="clear"/>
            <w:vAlign w:val="center"/>
          </w:tcPr>
          <w:p w14:paraId="2070A081">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03091C2A">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66C5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shd w:val="clear"/>
            <w:vAlign w:val="center"/>
          </w:tcPr>
          <w:p w14:paraId="38A3767D">
            <w:pPr>
              <w:spacing w:before="156" w:beforeLines="50" w:after="156" w:afterLines="50"/>
              <w:jc w:val="center"/>
              <w:rPr>
                <w:rFonts w:hint="eastAsia" w:asciiTheme="minorHAnsi" w:hAnsiTheme="minorHAnsi" w:eastAsiaTheme="minorEastAsia" w:cstheme="minorBidi"/>
                <w:kern w:val="2"/>
                <w:sz w:val="18"/>
                <w:szCs w:val="18"/>
                <w:lang w:val="en-US" w:eastAsia="zh-CN" w:bidi="ar-SA"/>
              </w:rPr>
            </w:pPr>
            <w:r>
              <w:rPr>
                <w:rFonts w:hint="eastAsia"/>
                <w:sz w:val="18"/>
                <w:szCs w:val="18"/>
                <w:lang w:val="en-US" w:eastAsia="zh-CN"/>
              </w:rPr>
              <w:t>21</w:t>
            </w:r>
          </w:p>
        </w:tc>
        <w:tc>
          <w:tcPr>
            <w:tcW w:w="640" w:type="pct"/>
            <w:shd w:val="clear" w:color="auto" w:fill="auto"/>
            <w:vAlign w:val="center"/>
          </w:tcPr>
          <w:p w14:paraId="1A16D670">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3</w:t>
            </w:r>
          </w:p>
        </w:tc>
        <w:tc>
          <w:tcPr>
            <w:tcW w:w="907" w:type="pct"/>
            <w:shd w:val="clear" w:color="auto" w:fill="auto"/>
            <w:vAlign w:val="center"/>
          </w:tcPr>
          <w:p w14:paraId="2470DCD2">
            <w:pPr>
              <w:widowControl/>
              <w:spacing w:line="240" w:lineRule="auto"/>
              <w:jc w:val="left"/>
            </w:pPr>
            <w:r>
              <w:rPr>
                <w:rFonts w:hint="eastAsia"/>
                <w:lang w:val="en-US" w:eastAsia="zh-CN"/>
              </w:rPr>
              <w:t>下列</w:t>
            </w:r>
            <w:r>
              <w:rPr>
                <w:rFonts w:hint="eastAsia" w:ascii="宋体" w:hAnsi="宋体" w:cs="宋体"/>
                <w:kern w:val="0"/>
              </w:rPr>
              <w:t>术语和定义适用于本文件。</w:t>
            </w:r>
          </w:p>
          <w:p w14:paraId="70666C98">
            <w:pPr>
              <w:widowControl/>
              <w:jc w:val="center"/>
              <w:rPr>
                <w:rFonts w:hint="eastAsia" w:asciiTheme="minorHAnsi" w:hAnsiTheme="minorHAnsi" w:eastAsiaTheme="minorEastAsia" w:cstheme="minorBidi"/>
                <w:kern w:val="2"/>
                <w:sz w:val="21"/>
                <w:szCs w:val="24"/>
                <w:lang w:val="en-US" w:eastAsia="zh-CN" w:bidi="ar-SA"/>
              </w:rPr>
            </w:pPr>
          </w:p>
        </w:tc>
        <w:tc>
          <w:tcPr>
            <w:tcW w:w="1406" w:type="pct"/>
            <w:shd w:val="clear" w:color="auto" w:fill="auto"/>
            <w:vAlign w:val="center"/>
          </w:tcPr>
          <w:p w14:paraId="354B3EAF">
            <w:pPr>
              <w:widowControl/>
              <w:spacing w:line="240" w:lineRule="auto"/>
              <w:ind w:firstLine="420" w:firstLineChars="200"/>
              <w:jc w:val="left"/>
            </w:pPr>
            <w:r>
              <w:rPr>
                <w:rFonts w:hint="eastAsia"/>
                <w:highlight w:val="none"/>
              </w:rPr>
              <w:t>GB/T 31735</w:t>
            </w:r>
            <w:r>
              <w:rPr>
                <w:rFonts w:hint="eastAsia"/>
                <w:highlight w:val="none"/>
                <w:lang w:eastAsia="zh-CN"/>
              </w:rPr>
              <w:t>、</w:t>
            </w:r>
            <w:r>
              <w:rPr>
                <w:rFonts w:hint="eastAsia"/>
                <w:lang w:val="en-US" w:eastAsia="zh-CN"/>
              </w:rPr>
              <w:t>NY/T 1472界定的以及下列</w:t>
            </w:r>
            <w:r>
              <w:rPr>
                <w:rFonts w:hint="eastAsia" w:ascii="宋体" w:hAnsi="宋体" w:cs="宋体"/>
                <w:kern w:val="0"/>
              </w:rPr>
              <w:t>术语和定义适用于本文件。</w:t>
            </w:r>
          </w:p>
          <w:p w14:paraId="6F2B90F0">
            <w:pPr>
              <w:widowControl/>
              <w:jc w:val="center"/>
              <w:rPr>
                <w:rFonts w:hint="eastAsia" w:asciiTheme="minorHAnsi" w:hAnsiTheme="minorHAnsi" w:eastAsiaTheme="minorEastAsia" w:cstheme="minorBidi"/>
                <w:kern w:val="2"/>
                <w:sz w:val="21"/>
                <w:szCs w:val="24"/>
                <w:lang w:val="en-US" w:eastAsia="zh-CN" w:bidi="ar-SA"/>
              </w:rPr>
            </w:pPr>
          </w:p>
        </w:tc>
        <w:tc>
          <w:tcPr>
            <w:tcW w:w="1060" w:type="pct"/>
            <w:shd w:val="clear"/>
            <w:vAlign w:val="center"/>
          </w:tcPr>
          <w:p w14:paraId="4BB09670">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7E753337">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5ED3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shd w:val="clear"/>
            <w:vAlign w:val="center"/>
          </w:tcPr>
          <w:p w14:paraId="4F848692">
            <w:pPr>
              <w:spacing w:before="156" w:beforeLines="50" w:after="156" w:afterLines="50"/>
              <w:jc w:val="center"/>
              <w:rPr>
                <w:rFonts w:hint="eastAsia" w:asciiTheme="minorHAnsi" w:hAnsiTheme="minorHAnsi" w:eastAsiaTheme="minorEastAsia" w:cstheme="minorBidi"/>
                <w:kern w:val="2"/>
                <w:sz w:val="18"/>
                <w:szCs w:val="18"/>
                <w:lang w:val="en-US" w:eastAsia="zh-CN" w:bidi="ar-SA"/>
              </w:rPr>
            </w:pPr>
            <w:r>
              <w:rPr>
                <w:rFonts w:hint="eastAsia"/>
                <w:sz w:val="18"/>
                <w:szCs w:val="18"/>
                <w:lang w:val="en-US" w:eastAsia="zh-CN"/>
              </w:rPr>
              <w:t>22</w:t>
            </w:r>
          </w:p>
        </w:tc>
        <w:tc>
          <w:tcPr>
            <w:tcW w:w="640" w:type="pct"/>
            <w:shd w:val="clear" w:color="auto" w:fill="auto"/>
            <w:vAlign w:val="center"/>
          </w:tcPr>
          <w:p w14:paraId="29E8D1A3">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7.1.2.2</w:t>
            </w:r>
          </w:p>
        </w:tc>
        <w:tc>
          <w:tcPr>
            <w:tcW w:w="907" w:type="pct"/>
            <w:shd w:val="clear" w:color="auto" w:fill="auto"/>
            <w:vAlign w:val="center"/>
          </w:tcPr>
          <w:p w14:paraId="03BD4EFD">
            <w:pPr>
              <w:widowControl/>
              <w:jc w:val="cente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用清水浸泡</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2 ～ 3</w:t>
            </w:r>
            <w:r>
              <w:rPr>
                <w:rFonts w:hint="eastAsia"/>
                <w:color w:val="000000" w:themeColor="text1"/>
                <w:lang w:val="en-US" w:eastAsia="zh-CN"/>
                <w14:textFill>
                  <w14:solidFill>
                    <w14:schemeClr w14:val="tx1"/>
                  </w14:solidFill>
                </w14:textFill>
              </w:rPr>
              <w:t>d</w:t>
            </w:r>
          </w:p>
        </w:tc>
        <w:tc>
          <w:tcPr>
            <w:tcW w:w="1406" w:type="pct"/>
            <w:shd w:val="clear" w:color="auto" w:fill="auto"/>
            <w:vAlign w:val="center"/>
          </w:tcPr>
          <w:p w14:paraId="0E87AA45">
            <w:pPr>
              <w:widowControl/>
              <w:jc w:val="cente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用清水浸泡</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 xml:space="preserve"> ～ 3</w:t>
            </w:r>
            <w:r>
              <w:rPr>
                <w:rFonts w:hint="eastAsia"/>
                <w:color w:val="000000" w:themeColor="text1"/>
                <w:lang w:val="en-US" w:eastAsia="zh-CN"/>
                <w14:textFill>
                  <w14:solidFill>
                    <w14:schemeClr w14:val="tx1"/>
                  </w14:solidFill>
                </w14:textFill>
              </w:rPr>
              <w:t>d</w:t>
            </w:r>
          </w:p>
        </w:tc>
        <w:tc>
          <w:tcPr>
            <w:tcW w:w="1060" w:type="pct"/>
            <w:shd w:val="clear"/>
            <w:vAlign w:val="center"/>
          </w:tcPr>
          <w:p w14:paraId="238DA29B">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4A709507">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21C0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187FE4AB">
            <w:pPr>
              <w:spacing w:before="156" w:beforeLines="50" w:after="156" w:afterLines="50"/>
              <w:jc w:val="center"/>
              <w:rPr>
                <w:rFonts w:hint="default"/>
                <w:sz w:val="18"/>
                <w:szCs w:val="18"/>
                <w:lang w:val="en-US" w:eastAsia="zh-CN"/>
              </w:rPr>
            </w:pPr>
            <w:r>
              <w:rPr>
                <w:rFonts w:hint="eastAsia"/>
                <w:sz w:val="18"/>
                <w:szCs w:val="18"/>
                <w:lang w:val="en-US" w:eastAsia="zh-CN"/>
              </w:rPr>
              <w:t>23</w:t>
            </w:r>
          </w:p>
        </w:tc>
        <w:tc>
          <w:tcPr>
            <w:tcW w:w="640" w:type="pct"/>
            <w:shd w:val="clear" w:color="auto" w:fill="auto"/>
            <w:vAlign w:val="center"/>
          </w:tcPr>
          <w:p w14:paraId="3CF3E529">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7.1.3.4</w:t>
            </w:r>
          </w:p>
        </w:tc>
        <w:tc>
          <w:tcPr>
            <w:tcW w:w="907" w:type="pct"/>
            <w:shd w:val="clear" w:color="auto" w:fill="auto"/>
            <w:vAlign w:val="center"/>
          </w:tcPr>
          <w:p w14:paraId="134754B2">
            <w:pPr>
              <w:pStyle w:val="23"/>
              <w:ind w:firstLine="420" w:firstLineChars="200"/>
              <w:rPr>
                <w:rFonts w:hint="eastAsia" w:ascii="宋体" w:hAnsi="Times New Roman" w:eastAsia="宋体" w:cs="Times New Roman"/>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嫁接苗肥水管理和病虫害防治参照</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.1.2.</w:t>
            </w:r>
            <w:r>
              <w:rPr>
                <w:rFonts w:hint="eastAsia"/>
                <w:color w:val="000000" w:themeColor="text1"/>
                <w:lang w:val="en-US" w:eastAsia="zh-CN"/>
                <w14:textFill>
                  <w14:solidFill>
                    <w14:schemeClr w14:val="tx1"/>
                  </w14:solidFill>
                </w14:textFill>
              </w:rPr>
              <w:t xml:space="preserve">8 </w:t>
            </w:r>
            <w:r>
              <w:rPr>
                <w:rFonts w:hint="eastAsia"/>
                <w:color w:val="000000" w:themeColor="text1"/>
                <w14:textFill>
                  <w14:solidFill>
                    <w14:schemeClr w14:val="tx1"/>
                  </w14:solidFill>
                </w14:textFill>
              </w:rPr>
              <w:t>给出的要求。</w:t>
            </w:r>
          </w:p>
        </w:tc>
        <w:tc>
          <w:tcPr>
            <w:tcW w:w="1406" w:type="pct"/>
            <w:shd w:val="clear" w:color="auto" w:fill="auto"/>
            <w:vAlign w:val="center"/>
          </w:tcPr>
          <w:p w14:paraId="64F00AB9">
            <w:pPr>
              <w:pStyle w:val="23"/>
              <w:ind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删除：</w:t>
            </w:r>
            <w:r>
              <w:rPr>
                <w:rFonts w:hint="eastAsia"/>
                <w:color w:val="000000" w:themeColor="text1"/>
                <w14:textFill>
                  <w14:solidFill>
                    <w14:schemeClr w14:val="tx1"/>
                  </w14:solidFill>
                </w14:textFill>
              </w:rPr>
              <w:t>嫁接苗肥水管理和病虫害防治参照</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.1.2.</w:t>
            </w:r>
            <w:r>
              <w:rPr>
                <w:rFonts w:hint="eastAsia"/>
                <w:color w:val="000000" w:themeColor="text1"/>
                <w:lang w:val="en-US" w:eastAsia="zh-CN"/>
                <w14:textFill>
                  <w14:solidFill>
                    <w14:schemeClr w14:val="tx1"/>
                  </w14:solidFill>
                </w14:textFill>
              </w:rPr>
              <w:t xml:space="preserve">8 </w:t>
            </w:r>
            <w:r>
              <w:rPr>
                <w:rFonts w:hint="eastAsia"/>
                <w:color w:val="000000" w:themeColor="text1"/>
                <w14:textFill>
                  <w14:solidFill>
                    <w14:schemeClr w14:val="tx1"/>
                  </w14:solidFill>
                </w14:textFill>
              </w:rPr>
              <w:t>给出的要求。</w:t>
            </w:r>
          </w:p>
          <w:p w14:paraId="7FE8BBB2">
            <w:pPr>
              <w:widowControl/>
              <w:jc w:val="cente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tc>
        <w:tc>
          <w:tcPr>
            <w:tcW w:w="1060" w:type="pct"/>
            <w:shd w:val="clear"/>
            <w:vAlign w:val="center"/>
          </w:tcPr>
          <w:p w14:paraId="751ED629">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3A45E51A">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6A2D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14C038D3">
            <w:pPr>
              <w:spacing w:before="156" w:beforeLines="50" w:after="156" w:afterLines="50"/>
              <w:jc w:val="center"/>
              <w:rPr>
                <w:rFonts w:hint="default"/>
                <w:sz w:val="18"/>
                <w:szCs w:val="18"/>
                <w:lang w:val="en-US" w:eastAsia="zh-CN"/>
              </w:rPr>
            </w:pPr>
            <w:r>
              <w:rPr>
                <w:rFonts w:hint="eastAsia"/>
                <w:sz w:val="18"/>
                <w:szCs w:val="18"/>
                <w:lang w:val="en-US" w:eastAsia="zh-CN"/>
              </w:rPr>
              <w:t>24</w:t>
            </w:r>
          </w:p>
        </w:tc>
        <w:tc>
          <w:tcPr>
            <w:tcW w:w="640" w:type="pct"/>
            <w:shd w:val="clear" w:color="auto" w:fill="auto"/>
            <w:vAlign w:val="center"/>
          </w:tcPr>
          <w:p w14:paraId="0DF0EC8D">
            <w:pPr>
              <w:widowControl/>
              <w:jc w:val="center"/>
              <w:rPr>
                <w:rFonts w:hint="eastAsia"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10.3.5</w:t>
            </w:r>
          </w:p>
        </w:tc>
        <w:tc>
          <w:tcPr>
            <w:tcW w:w="907" w:type="pct"/>
            <w:shd w:val="clear" w:color="auto" w:fill="auto"/>
            <w:vAlign w:val="center"/>
          </w:tcPr>
          <w:p w14:paraId="48FC4231">
            <w:pPr>
              <w:widowControl/>
              <w:jc w:val="center"/>
              <w:rPr>
                <w:rFonts w:hint="eastAsia" w:asciiTheme="minorHAnsi" w:hAnsiTheme="minorHAnsi" w:eastAsiaTheme="minorEastAsia" w:cstheme="minorBidi"/>
                <w:kern w:val="2"/>
                <w:sz w:val="21"/>
                <w:szCs w:val="22"/>
                <w:lang w:val="en-US" w:eastAsia="zh-CN" w:bidi="ar-SA"/>
              </w:rPr>
            </w:pPr>
            <w:r>
              <w:rPr>
                <w:rFonts w:hint="eastAsia"/>
              </w:rPr>
              <w:t>见附录A</w:t>
            </w:r>
          </w:p>
        </w:tc>
        <w:tc>
          <w:tcPr>
            <w:tcW w:w="1406" w:type="pct"/>
            <w:shd w:val="clear" w:color="auto" w:fill="auto"/>
            <w:vAlign w:val="center"/>
          </w:tcPr>
          <w:p w14:paraId="2D537837">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参</w:t>
            </w:r>
            <w:r>
              <w:rPr>
                <w:rFonts w:hint="eastAsia"/>
              </w:rPr>
              <w:t>见附录A</w:t>
            </w:r>
          </w:p>
        </w:tc>
        <w:tc>
          <w:tcPr>
            <w:tcW w:w="1060" w:type="pct"/>
            <w:shd w:val="clear"/>
            <w:vAlign w:val="center"/>
          </w:tcPr>
          <w:p w14:paraId="2A1C18C8">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7D40E0C0">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4E61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5FDE263">
            <w:pPr>
              <w:spacing w:before="156" w:beforeLines="50" w:after="156" w:afterLines="50"/>
              <w:jc w:val="center"/>
              <w:rPr>
                <w:rFonts w:hint="default"/>
                <w:sz w:val="18"/>
                <w:szCs w:val="18"/>
                <w:lang w:val="en-US" w:eastAsia="zh-CN"/>
              </w:rPr>
            </w:pPr>
            <w:r>
              <w:rPr>
                <w:rFonts w:hint="eastAsia"/>
                <w:sz w:val="18"/>
                <w:szCs w:val="18"/>
                <w:lang w:val="en-US" w:eastAsia="zh-CN"/>
              </w:rPr>
              <w:t>25</w:t>
            </w:r>
          </w:p>
        </w:tc>
        <w:tc>
          <w:tcPr>
            <w:tcW w:w="640" w:type="pct"/>
            <w:shd w:val="clear"/>
            <w:vAlign w:val="center"/>
          </w:tcPr>
          <w:p w14:paraId="76526DED">
            <w:pPr>
              <w:widowControl/>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6.2</w:t>
            </w:r>
          </w:p>
        </w:tc>
        <w:tc>
          <w:tcPr>
            <w:tcW w:w="907" w:type="pct"/>
            <w:shd w:val="clear"/>
            <w:vAlign w:val="center"/>
          </w:tcPr>
          <w:p w14:paraId="269B450C">
            <w:pPr>
              <w:widowControl/>
              <w:jc w:val="center"/>
              <w:rPr>
                <w:rFonts w:hint="eastAsia" w:asciiTheme="minorHAnsi" w:hAnsiTheme="minorHAnsi" w:eastAsiaTheme="minorEastAsia" w:cstheme="minorBidi"/>
                <w:kern w:val="2"/>
                <w:sz w:val="21"/>
                <w:szCs w:val="24"/>
                <w:lang w:val="en-US" w:eastAsia="zh-CN" w:bidi="ar-SA"/>
              </w:rPr>
            </w:pPr>
            <w:r>
              <w:rPr>
                <w:rFonts w:hint="eastAsia"/>
              </w:rPr>
              <w:t xml:space="preserve"> 推荐</w:t>
            </w:r>
            <w:r>
              <w:rPr>
                <w:rFonts w:hint="eastAsia"/>
                <w:lang w:val="en-US" w:eastAsia="zh-CN"/>
              </w:rPr>
              <w:t>选用‘</w:t>
            </w:r>
            <w:r>
              <w:rPr>
                <w:rFonts w:hint="eastAsia"/>
              </w:rPr>
              <w:t>储良</w:t>
            </w:r>
            <w:r>
              <w:rPr>
                <w:rFonts w:hint="eastAsia"/>
                <w:lang w:val="en-US" w:eastAsia="zh-CN"/>
              </w:rPr>
              <w:t>’</w:t>
            </w:r>
            <w:r>
              <w:rPr>
                <w:rFonts w:hint="eastAsia"/>
              </w:rPr>
              <w:t>和</w:t>
            </w:r>
            <w:r>
              <w:rPr>
                <w:rFonts w:hint="eastAsia"/>
                <w:lang w:eastAsia="zh-CN"/>
              </w:rPr>
              <w:t>‘</w:t>
            </w:r>
            <w:r>
              <w:rPr>
                <w:rFonts w:hint="eastAsia"/>
              </w:rPr>
              <w:t>石硖</w:t>
            </w:r>
            <w:r>
              <w:rPr>
                <w:rFonts w:hint="eastAsia"/>
                <w:lang w:eastAsia="zh-CN"/>
              </w:rPr>
              <w:t>’</w:t>
            </w:r>
            <w:r>
              <w:rPr>
                <w:rFonts w:hint="eastAsia"/>
              </w:rPr>
              <w:t>等品种</w:t>
            </w:r>
            <w:r>
              <w:rPr>
                <w:rFonts w:hint="eastAsia"/>
                <w:lang w:eastAsia="zh-CN"/>
              </w:rPr>
              <w:t>（</w:t>
            </w:r>
            <w:r>
              <w:rPr>
                <w:rFonts w:hint="eastAsia"/>
                <w:lang w:val="en-US" w:eastAsia="zh-CN"/>
              </w:rPr>
              <w:t>见附录B</w:t>
            </w:r>
            <w:r>
              <w:rPr>
                <w:rFonts w:hint="eastAsia"/>
                <w:lang w:eastAsia="zh-CN"/>
              </w:rPr>
              <w:t>）</w:t>
            </w:r>
            <w:r>
              <w:rPr>
                <w:rFonts w:hint="eastAsia"/>
              </w:rPr>
              <w:t>。</w:t>
            </w:r>
          </w:p>
        </w:tc>
        <w:tc>
          <w:tcPr>
            <w:tcW w:w="1406" w:type="pct"/>
            <w:shd w:val="clear"/>
            <w:vAlign w:val="center"/>
          </w:tcPr>
          <w:p w14:paraId="63EF3DF8">
            <w:pPr>
              <w:widowControl/>
              <w:jc w:val="center"/>
              <w:rPr>
                <w:rFonts w:hint="eastAsia" w:asciiTheme="minorHAnsi" w:hAnsiTheme="minorHAnsi" w:eastAsiaTheme="minorEastAsia" w:cstheme="minorBidi"/>
                <w:kern w:val="2"/>
                <w:sz w:val="21"/>
                <w:szCs w:val="24"/>
                <w:lang w:val="en-US" w:eastAsia="zh-CN" w:bidi="ar-SA"/>
              </w:rPr>
            </w:pPr>
            <w:r>
              <w:rPr>
                <w:rFonts w:hint="eastAsia"/>
              </w:rPr>
              <w:t xml:space="preserve"> 推荐</w:t>
            </w:r>
            <w:r>
              <w:rPr>
                <w:rFonts w:hint="eastAsia"/>
                <w:lang w:val="en-US" w:eastAsia="zh-CN"/>
              </w:rPr>
              <w:t>选用‘</w:t>
            </w:r>
            <w:r>
              <w:rPr>
                <w:rFonts w:hint="eastAsia"/>
              </w:rPr>
              <w:t>储良</w:t>
            </w:r>
            <w:r>
              <w:rPr>
                <w:rFonts w:hint="eastAsia"/>
                <w:lang w:eastAsia="zh-CN"/>
              </w:rPr>
              <w:t>‘、’</w:t>
            </w:r>
            <w:r>
              <w:rPr>
                <w:rFonts w:hint="eastAsia"/>
              </w:rPr>
              <w:t>石硖</w:t>
            </w:r>
            <w:r>
              <w:rPr>
                <w:rFonts w:hint="eastAsia"/>
                <w:lang w:eastAsia="zh-CN"/>
              </w:rPr>
              <w:t>’</w:t>
            </w:r>
            <w:r>
              <w:rPr>
                <w:rFonts w:hint="eastAsia"/>
                <w:lang w:val="en-US" w:eastAsia="zh-CN"/>
              </w:rPr>
              <w:t>和’福早3号‘</w:t>
            </w:r>
            <w:r>
              <w:rPr>
                <w:rFonts w:hint="eastAsia"/>
                <w:lang w:eastAsia="zh-CN"/>
              </w:rPr>
              <w:t>（</w:t>
            </w:r>
            <w:r>
              <w:rPr>
                <w:rFonts w:hint="eastAsia"/>
                <w:lang w:val="en-US" w:eastAsia="zh-CN"/>
              </w:rPr>
              <w:t>参见附录B</w:t>
            </w:r>
            <w:r>
              <w:rPr>
                <w:rFonts w:hint="eastAsia"/>
                <w:lang w:eastAsia="zh-CN"/>
              </w:rPr>
              <w:t>）</w:t>
            </w:r>
            <w:r>
              <w:rPr>
                <w:rFonts w:hint="eastAsia"/>
              </w:rPr>
              <w:t>。</w:t>
            </w:r>
          </w:p>
        </w:tc>
        <w:tc>
          <w:tcPr>
            <w:tcW w:w="1060" w:type="pct"/>
            <w:shd w:val="clear"/>
            <w:vAlign w:val="center"/>
          </w:tcPr>
          <w:p w14:paraId="7E0094BB">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4EEC2098">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4BC0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10882A39">
            <w:pPr>
              <w:spacing w:before="156" w:beforeLines="50" w:after="156" w:afterLines="50"/>
              <w:jc w:val="center"/>
              <w:rPr>
                <w:rFonts w:hint="default"/>
                <w:sz w:val="18"/>
                <w:szCs w:val="18"/>
                <w:lang w:val="en-US" w:eastAsia="zh-CN"/>
              </w:rPr>
            </w:pPr>
            <w:r>
              <w:rPr>
                <w:rFonts w:hint="eastAsia"/>
                <w:sz w:val="18"/>
                <w:szCs w:val="18"/>
                <w:lang w:val="en-US" w:eastAsia="zh-CN"/>
              </w:rPr>
              <w:t>26</w:t>
            </w:r>
          </w:p>
        </w:tc>
        <w:tc>
          <w:tcPr>
            <w:tcW w:w="640" w:type="pct"/>
            <w:shd w:val="clear" w:color="auto" w:fill="auto"/>
            <w:vAlign w:val="center"/>
          </w:tcPr>
          <w:p w14:paraId="7C4A7AF4">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附录A</w:t>
            </w:r>
          </w:p>
        </w:tc>
        <w:tc>
          <w:tcPr>
            <w:tcW w:w="907" w:type="pct"/>
            <w:shd w:val="clear" w:color="auto" w:fill="auto"/>
            <w:vAlign w:val="center"/>
          </w:tcPr>
          <w:p w14:paraId="351ED8EE">
            <w:pPr>
              <w:widowControl/>
              <w:jc w:val="center"/>
              <w:rPr>
                <w:rFonts w:hint="eastAsia" w:ascii="宋体" w:hAnsi="宋体" w:eastAsia="宋体" w:cs="宋体"/>
                <w:lang w:eastAsia="zh-CN"/>
              </w:rPr>
            </w:pPr>
            <w:r>
              <w:rPr>
                <w:rFonts w:hint="eastAsia" w:ascii="宋体" w:hAnsi="宋体" w:eastAsia="宋体" w:cs="宋体"/>
              </w:rPr>
              <w:t>附录</w:t>
            </w:r>
            <w:r>
              <w:rPr>
                <w:rFonts w:hint="eastAsia" w:ascii="宋体" w:hAnsi="宋体" w:eastAsia="宋体" w:cs="宋体"/>
                <w:lang w:val="en-US" w:eastAsia="zh-CN"/>
              </w:rPr>
              <w:t>A</w:t>
            </w:r>
          </w:p>
          <w:p w14:paraId="429BE412">
            <w:pPr>
              <w:widowControl/>
              <w:jc w:val="center"/>
              <w:rPr>
                <w:rFonts w:hint="eastAsia" w:ascii="宋体" w:hAnsi="宋体" w:eastAsia="宋体" w:cs="宋体"/>
              </w:rPr>
            </w:pPr>
            <w:r>
              <w:rPr>
                <w:rFonts w:hint="eastAsia" w:ascii="宋体" w:hAnsi="宋体" w:eastAsia="宋体" w:cs="宋体"/>
              </w:rPr>
              <w:t>（资料性</w:t>
            </w:r>
            <w:r>
              <w:rPr>
                <w:rFonts w:hint="eastAsia" w:ascii="宋体" w:hAnsi="宋体" w:eastAsia="宋体" w:cs="宋体"/>
                <w:lang w:val="en-US"/>
              </w:rPr>
              <w:t>附录</w:t>
            </w:r>
            <w:r>
              <w:rPr>
                <w:rFonts w:hint="eastAsia" w:ascii="宋体" w:hAnsi="宋体" w:eastAsia="宋体" w:cs="宋体"/>
              </w:rPr>
              <w:t>）</w:t>
            </w:r>
          </w:p>
          <w:p w14:paraId="7D2AB798">
            <w:pPr>
              <w:widowControl/>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rPr>
              <w:t>龙眼主要病虫害药剂防治方法</w:t>
            </w:r>
            <w:r>
              <w:rPr>
                <w:rFonts w:hint="eastAsia" w:ascii="宋体" w:hAnsi="宋体" w:eastAsia="宋体" w:cs="宋体"/>
                <w:szCs w:val="21"/>
              </w:rPr>
              <w:t>见表A.1。</w:t>
            </w:r>
          </w:p>
        </w:tc>
        <w:tc>
          <w:tcPr>
            <w:tcW w:w="1406" w:type="pct"/>
            <w:shd w:val="clear" w:color="auto" w:fill="auto"/>
            <w:vAlign w:val="center"/>
          </w:tcPr>
          <w:p w14:paraId="550D0D69">
            <w:pPr>
              <w:pStyle w:val="52"/>
              <w:numPr>
                <w:ilvl w:val="0"/>
                <w:numId w:val="0"/>
              </w:numPr>
              <w:spacing w:before="0" w:afterLines="0"/>
              <w:rPr>
                <w:rFonts w:hint="eastAsia" w:eastAsia="黑体"/>
                <w:lang w:eastAsia="zh-CN"/>
              </w:rPr>
            </w:pPr>
            <w:r>
              <w:rPr>
                <w:rFonts w:hint="eastAsia"/>
              </w:rPr>
              <w:t>附录</w:t>
            </w:r>
            <w:r>
              <w:rPr>
                <w:rFonts w:hint="eastAsia"/>
                <w:lang w:val="en-US" w:eastAsia="zh-CN"/>
              </w:rPr>
              <w:t>A</w:t>
            </w:r>
          </w:p>
          <w:p w14:paraId="5DB72FA6">
            <w:pPr>
              <w:pStyle w:val="52"/>
              <w:numPr>
                <w:ilvl w:val="0"/>
                <w:numId w:val="0"/>
              </w:numPr>
              <w:spacing w:before="0" w:afterLines="0"/>
              <w:rPr>
                <w:rFonts w:hint="eastAsia"/>
              </w:rPr>
            </w:pPr>
            <w:r>
              <w:rPr>
                <w:rFonts w:hint="eastAsia"/>
              </w:rPr>
              <w:t>（</w:t>
            </w:r>
            <w:r>
              <w:rPr>
                <w:rFonts w:hint="eastAsia"/>
                <w:lang w:val="en-US" w:eastAsia="zh-CN"/>
              </w:rPr>
              <w:t>资料</w:t>
            </w:r>
            <w:r>
              <w:rPr>
                <w:rFonts w:hint="eastAsia"/>
              </w:rPr>
              <w:t>性）</w:t>
            </w:r>
          </w:p>
          <w:p w14:paraId="1AB0C389">
            <w:pPr>
              <w:pStyle w:val="52"/>
              <w:numPr>
                <w:ilvl w:val="0"/>
                <w:numId w:val="0"/>
              </w:numPr>
              <w:spacing w:before="0" w:afterLines="0"/>
              <w:ind w:left="0" w:leftChars="0" w:firstLine="0" w:firstLineChars="0"/>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szCs w:val="21"/>
              </w:rPr>
              <w:t>A.1</w:t>
            </w:r>
            <w:r>
              <w:rPr>
                <w:rFonts w:hint="eastAsia" w:ascii="宋体" w:hAnsi="宋体" w:eastAsia="宋体" w:cs="宋体"/>
                <w:szCs w:val="21"/>
                <w:lang w:val="en-US" w:eastAsia="zh-CN"/>
              </w:rPr>
              <w:t xml:space="preserve"> </w:t>
            </w:r>
            <w:r>
              <w:rPr>
                <w:rFonts w:hint="eastAsia" w:ascii="宋体" w:hAnsi="宋体" w:eastAsia="宋体" w:cs="宋体"/>
              </w:rPr>
              <w:t>龙眼主要病虫害药剂防治方法</w:t>
            </w:r>
            <w:r>
              <w:rPr>
                <w:rFonts w:hint="eastAsia" w:ascii="宋体" w:hAnsi="宋体" w:eastAsia="宋体" w:cs="宋体"/>
                <w:szCs w:val="21"/>
              </w:rPr>
              <w:t>。</w:t>
            </w:r>
          </w:p>
        </w:tc>
        <w:tc>
          <w:tcPr>
            <w:tcW w:w="1060" w:type="pct"/>
            <w:shd w:val="clear"/>
            <w:vAlign w:val="center"/>
          </w:tcPr>
          <w:p w14:paraId="39D0D155">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4C78F943">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4434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380BDA16">
            <w:pPr>
              <w:spacing w:before="156" w:beforeLines="50" w:after="156" w:afterLines="50"/>
              <w:jc w:val="center"/>
              <w:rPr>
                <w:rFonts w:hint="default"/>
                <w:sz w:val="18"/>
                <w:szCs w:val="18"/>
                <w:lang w:val="en-US" w:eastAsia="zh-CN"/>
              </w:rPr>
            </w:pPr>
            <w:r>
              <w:rPr>
                <w:rFonts w:hint="eastAsia"/>
                <w:sz w:val="18"/>
                <w:szCs w:val="18"/>
                <w:lang w:val="en-US" w:eastAsia="zh-CN"/>
              </w:rPr>
              <w:t>27</w:t>
            </w:r>
          </w:p>
        </w:tc>
        <w:tc>
          <w:tcPr>
            <w:tcW w:w="640" w:type="pct"/>
            <w:shd w:val="clear" w:color="auto" w:fill="auto"/>
            <w:vAlign w:val="center"/>
          </w:tcPr>
          <w:p w14:paraId="46424058">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附录B</w:t>
            </w:r>
          </w:p>
        </w:tc>
        <w:tc>
          <w:tcPr>
            <w:tcW w:w="907" w:type="pct"/>
            <w:shd w:val="clear" w:color="auto" w:fill="auto"/>
            <w:vAlign w:val="center"/>
          </w:tcPr>
          <w:p w14:paraId="01A41FB7">
            <w:pPr>
              <w:widowControl/>
              <w:jc w:val="both"/>
              <w:rPr>
                <w:rFonts w:hint="eastAsia"/>
                <w:lang w:val="en-US" w:eastAsia="zh-CN"/>
              </w:rPr>
            </w:pPr>
            <w:r>
              <w:rPr>
                <w:rFonts w:hint="eastAsia"/>
                <w:lang w:val="en-US" w:eastAsia="zh-CN"/>
              </w:rPr>
              <w:t>附录B</w:t>
            </w:r>
          </w:p>
          <w:p w14:paraId="09B8CD1C">
            <w:pPr>
              <w:widowControl/>
              <w:spacing w:before="156" w:beforeLines="50" w:after="156" w:afterLines="50" w:line="240" w:lineRule="auto"/>
              <w:jc w:val="left"/>
              <w:rPr>
                <w:rFonts w:hint="eastAsia" w:ascii="宋体" w:hAnsi="宋体" w:eastAsia="宋体" w:cs="宋体"/>
              </w:rPr>
            </w:pPr>
            <w:r>
              <w:rPr>
                <w:rFonts w:hint="eastAsia" w:ascii="宋体" w:hAnsi="宋体" w:eastAsia="宋体" w:cs="宋体"/>
              </w:rPr>
              <w:t>（资料性</w:t>
            </w:r>
            <w:r>
              <w:rPr>
                <w:rFonts w:hint="eastAsia" w:ascii="宋体" w:hAnsi="宋体" w:eastAsia="宋体" w:cs="宋体"/>
                <w:lang w:val="en-US"/>
              </w:rPr>
              <w:t>附录</w:t>
            </w:r>
            <w:r>
              <w:rPr>
                <w:rFonts w:hint="eastAsia" w:ascii="宋体" w:hAnsi="宋体" w:eastAsia="宋体" w:cs="宋体"/>
              </w:rPr>
              <w:t>）</w:t>
            </w:r>
          </w:p>
          <w:p w14:paraId="3182F9AE">
            <w:pPr>
              <w:widowControl/>
              <w:spacing w:before="156" w:beforeLines="50" w:after="156" w:afterLines="50" w:line="240" w:lineRule="auto"/>
              <w:jc w:val="left"/>
              <w:rPr>
                <w:rFonts w:hint="eastAsia" w:asciiTheme="minorHAnsi" w:hAnsiTheme="minorHAnsi" w:eastAsiaTheme="minorEastAsia" w:cstheme="minorBidi"/>
                <w:kern w:val="2"/>
                <w:sz w:val="21"/>
                <w:szCs w:val="22"/>
                <w:lang w:val="en-US" w:eastAsia="zh-CN" w:bidi="ar-SA"/>
              </w:rPr>
            </w:pPr>
            <w:r>
              <w:rPr>
                <w:rFonts w:hint="eastAsia" w:ascii="宋体" w:hAnsi="宋体" w:cs="宋体"/>
                <w:kern w:val="0"/>
                <w:u w:val="none"/>
              </w:rPr>
              <w:t>不同品种龙眼果实主要特征</w:t>
            </w:r>
            <w:r>
              <w:rPr>
                <w:rFonts w:hint="eastAsia" w:ascii="宋体" w:hAnsi="宋体" w:cs="宋体"/>
                <w:u w:val="none"/>
              </w:rPr>
              <w:t>见表B.1。</w:t>
            </w:r>
          </w:p>
        </w:tc>
        <w:tc>
          <w:tcPr>
            <w:tcW w:w="1406" w:type="pct"/>
            <w:shd w:val="clear" w:color="auto" w:fill="auto"/>
            <w:vAlign w:val="center"/>
          </w:tcPr>
          <w:p w14:paraId="293B4B0A">
            <w:pPr>
              <w:widowControl/>
              <w:spacing w:before="156" w:beforeLines="50" w:after="156" w:afterLines="50" w:line="240" w:lineRule="auto"/>
              <w:jc w:val="left"/>
              <w:rPr>
                <w:rFonts w:hint="eastAsia"/>
                <w:lang w:val="en-US" w:eastAsia="zh-CN"/>
              </w:rPr>
            </w:pPr>
            <w:r>
              <w:rPr>
                <w:rFonts w:hint="eastAsia"/>
                <w:lang w:val="en-US" w:eastAsia="zh-CN"/>
              </w:rPr>
              <w:t>附录B</w:t>
            </w:r>
          </w:p>
          <w:p w14:paraId="1E46078A">
            <w:pPr>
              <w:widowControl/>
              <w:spacing w:before="156" w:beforeLines="50" w:after="156" w:afterLines="50" w:line="240" w:lineRule="auto"/>
              <w:jc w:val="left"/>
              <w:rPr>
                <w:rFonts w:hint="eastAsia" w:ascii="宋体" w:hAnsi="宋体" w:eastAsia="宋体" w:cs="宋体"/>
              </w:rPr>
            </w:pPr>
            <w:r>
              <w:rPr>
                <w:rFonts w:hint="eastAsia" w:ascii="宋体" w:hAnsi="宋体" w:eastAsia="宋体" w:cs="宋体"/>
              </w:rPr>
              <w:t>（资料性）</w:t>
            </w:r>
          </w:p>
          <w:p w14:paraId="332E2FB1">
            <w:pPr>
              <w:widowControl/>
              <w:spacing w:before="156" w:beforeLines="50" w:after="156" w:afterLines="50" w:line="240" w:lineRule="auto"/>
              <w:ind w:firstLine="420" w:firstLineChars="200"/>
              <w:jc w:val="left"/>
              <w:rPr>
                <w:rFonts w:hint="eastAsia" w:asciiTheme="minorHAnsi" w:hAnsiTheme="minorHAnsi" w:eastAsiaTheme="minorEastAsia" w:cstheme="minorBidi"/>
                <w:kern w:val="2"/>
                <w:sz w:val="21"/>
                <w:szCs w:val="22"/>
                <w:lang w:val="en-US" w:eastAsia="zh-CN" w:bidi="ar-SA"/>
              </w:rPr>
            </w:pPr>
            <w:r>
              <w:rPr>
                <w:rFonts w:hint="eastAsia" w:ascii="宋体" w:hAnsi="宋体" w:cs="宋体"/>
                <w:u w:val="none"/>
              </w:rPr>
              <w:t>B.1</w:t>
            </w:r>
            <w:r>
              <w:rPr>
                <w:rFonts w:hint="eastAsia" w:ascii="宋体" w:hAnsi="宋体" w:cs="宋体"/>
                <w:u w:val="none"/>
                <w:lang w:val="en-US" w:eastAsia="zh-CN"/>
              </w:rPr>
              <w:t xml:space="preserve"> </w:t>
            </w:r>
            <w:r>
              <w:rPr>
                <w:rFonts w:hint="eastAsia" w:ascii="宋体" w:hAnsi="宋体" w:cs="宋体"/>
                <w:kern w:val="0"/>
                <w:u w:val="none"/>
              </w:rPr>
              <w:t>不同品种龙眼果实主要特征</w:t>
            </w:r>
            <w:r>
              <w:rPr>
                <w:rFonts w:hint="eastAsia" w:ascii="宋体" w:hAnsi="宋体" w:cs="宋体"/>
              </w:rPr>
              <w:t>。</w:t>
            </w:r>
          </w:p>
        </w:tc>
        <w:tc>
          <w:tcPr>
            <w:tcW w:w="1060" w:type="pct"/>
            <w:shd w:val="clear" w:color="auto" w:fill="auto"/>
            <w:vAlign w:val="center"/>
          </w:tcPr>
          <w:p w14:paraId="3CFB5E0C">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592A38B9">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30A1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741646DF">
            <w:pPr>
              <w:spacing w:before="156" w:beforeLines="50" w:after="156" w:afterLines="50"/>
              <w:jc w:val="center"/>
              <w:rPr>
                <w:rFonts w:hint="default"/>
                <w:sz w:val="18"/>
                <w:szCs w:val="18"/>
                <w:lang w:val="en-US" w:eastAsia="zh-CN"/>
              </w:rPr>
            </w:pPr>
            <w:r>
              <w:rPr>
                <w:rFonts w:hint="eastAsia"/>
                <w:sz w:val="18"/>
                <w:szCs w:val="18"/>
                <w:lang w:val="en-US" w:eastAsia="zh-CN"/>
              </w:rPr>
              <w:t>28</w:t>
            </w:r>
          </w:p>
        </w:tc>
        <w:tc>
          <w:tcPr>
            <w:tcW w:w="640" w:type="pct"/>
            <w:shd w:val="clear" w:color="auto" w:fill="auto"/>
            <w:vAlign w:val="center"/>
          </w:tcPr>
          <w:p w14:paraId="4BC17204">
            <w:pPr>
              <w:widowControl/>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附录C</w:t>
            </w:r>
          </w:p>
        </w:tc>
        <w:tc>
          <w:tcPr>
            <w:tcW w:w="907" w:type="pct"/>
            <w:shd w:val="clear" w:color="auto" w:fill="auto"/>
            <w:vAlign w:val="center"/>
          </w:tcPr>
          <w:p w14:paraId="4847B078">
            <w:pPr>
              <w:spacing w:line="240" w:lineRule="auto"/>
              <w:jc w:val="center"/>
              <w:outlineLvl w:val="0"/>
              <w:rPr>
                <w:rFonts w:ascii="黑体" w:hAnsi="Times New Roman" w:eastAsia="黑体"/>
                <w:color w:val="000000" w:themeColor="text1"/>
                <w:kern w:val="0"/>
                <w:szCs w:val="20"/>
                <w14:textFill>
                  <w14:solidFill>
                    <w14:schemeClr w14:val="tx1"/>
                  </w14:solidFill>
                </w14:textFill>
              </w:rPr>
            </w:pPr>
            <w:r>
              <w:rPr>
                <w:rFonts w:hint="eastAsia" w:ascii="黑体" w:hAnsi="Times New Roman" w:eastAsia="黑体"/>
                <w:color w:val="000000" w:themeColor="text1"/>
                <w:kern w:val="0"/>
                <w:szCs w:val="20"/>
                <w14:textFill>
                  <w14:solidFill>
                    <w14:schemeClr w14:val="tx1"/>
                  </w14:solidFill>
                </w14:textFill>
              </w:rPr>
              <w:t>附录C</w:t>
            </w:r>
          </w:p>
          <w:p w14:paraId="2E8572EE">
            <w:pPr>
              <w:pStyle w:val="52"/>
              <w:numPr>
                <w:ilvl w:val="0"/>
                <w:numId w:val="0"/>
              </w:numPr>
              <w:spacing w:before="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资料</w:t>
            </w:r>
            <w:r>
              <w:rPr>
                <w:rFonts w:hint="eastAsia"/>
                <w:color w:val="000000" w:themeColor="text1"/>
                <w14:textFill>
                  <w14:solidFill>
                    <w14:schemeClr w14:val="tx1"/>
                  </w14:solidFill>
                </w14:textFill>
              </w:rPr>
              <w:t>性</w:t>
            </w:r>
            <w:r>
              <w:rPr>
                <w:rFonts w:hint="eastAsia"/>
                <w:color w:val="000000" w:themeColor="text1"/>
                <w:lang w:val="en-US"/>
                <w14:textFill>
                  <w14:solidFill>
                    <w14:schemeClr w14:val="tx1"/>
                  </w14:solidFill>
                </w14:textFill>
              </w:rPr>
              <w:t>附录</w:t>
            </w:r>
            <w:r>
              <w:rPr>
                <w:rFonts w:hint="eastAsia"/>
                <w:color w:val="000000" w:themeColor="text1"/>
                <w14:textFill>
                  <w14:solidFill>
                    <w14:schemeClr w14:val="tx1"/>
                  </w14:solidFill>
                </w14:textFill>
              </w:rPr>
              <w:t>）</w:t>
            </w:r>
          </w:p>
          <w:p w14:paraId="605D4C96">
            <w:pPr>
              <w:widowControl/>
              <w:spacing w:line="240" w:lineRule="auto"/>
              <w:jc w:val="center"/>
              <w:outlineLvl w:val="0"/>
              <w:rPr>
                <w:rFonts w:hint="eastAsia" w:ascii="黑体" w:hAnsi="宋体" w:eastAsia="黑体" w:cs="黑体"/>
                <w:color w:val="000000" w:themeColor="text1"/>
                <w:kern w:val="0"/>
                <w14:textFill>
                  <w14:solidFill>
                    <w14:schemeClr w14:val="tx1"/>
                  </w14:solidFill>
                </w14:textFill>
              </w:rPr>
            </w:pPr>
            <w:r>
              <w:rPr>
                <w:rFonts w:hint="eastAsia" w:ascii="黑体" w:hAnsi="宋体" w:eastAsia="黑体" w:cs="黑体"/>
                <w:color w:val="000000" w:themeColor="text1"/>
                <w:kern w:val="0"/>
                <w14:textFill>
                  <w14:solidFill>
                    <w14:schemeClr w14:val="tx1"/>
                  </w14:solidFill>
                </w14:textFill>
              </w:rPr>
              <w:t>龙眼主栽</w:t>
            </w:r>
            <w:r>
              <w:rPr>
                <w:rFonts w:ascii="黑体" w:hAnsi="宋体" w:eastAsia="黑体" w:cs="黑体"/>
                <w:color w:val="000000" w:themeColor="text1"/>
                <w:kern w:val="0"/>
                <w14:textFill>
                  <w14:solidFill>
                    <w14:schemeClr w14:val="tx1"/>
                  </w14:solidFill>
                </w14:textFill>
              </w:rPr>
              <w:t>品种</w:t>
            </w:r>
            <w:r>
              <w:rPr>
                <w:rFonts w:hint="eastAsia" w:ascii="黑体" w:hAnsi="宋体" w:eastAsia="黑体" w:cs="黑体"/>
                <w:color w:val="000000" w:themeColor="text1"/>
                <w:kern w:val="0"/>
                <w14:textFill>
                  <w14:solidFill>
                    <w14:schemeClr w14:val="tx1"/>
                  </w14:solidFill>
                </w14:textFill>
              </w:rPr>
              <w:t>果实品质性状</w:t>
            </w:r>
          </w:p>
          <w:p w14:paraId="70B93E4E">
            <w:pPr>
              <w:widowControl/>
              <w:spacing w:before="156" w:beforeLines="50" w:after="156" w:afterLines="50" w:line="240" w:lineRule="auto"/>
              <w:jc w:val="left"/>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ascii="宋体" w:hAnsi="宋体" w:cs="宋体"/>
                <w:color w:val="000000" w:themeColor="text1"/>
                <w:kern w:val="0"/>
                <w:u w:val="single"/>
                <w14:textFill>
                  <w14:solidFill>
                    <w14:schemeClr w14:val="tx1"/>
                  </w14:solidFill>
                </w14:textFill>
              </w:rPr>
              <w:t>龙眼主栽品种果实品质性状见</w:t>
            </w:r>
            <w:r>
              <w:rPr>
                <w:rFonts w:hint="eastAsia" w:ascii="宋体" w:hAnsi="宋体" w:cs="宋体"/>
                <w:color w:val="000000" w:themeColor="text1"/>
                <w:kern w:val="0"/>
                <w:u w:val="single"/>
                <w:lang w:val="en-US" w:eastAsia="zh-CN"/>
                <w14:textFill>
                  <w14:solidFill>
                    <w14:schemeClr w14:val="tx1"/>
                  </w14:solidFill>
                </w14:textFill>
              </w:rPr>
              <w:t>表</w:t>
            </w:r>
            <w:r>
              <w:rPr>
                <w:rFonts w:hint="eastAsia" w:ascii="宋体" w:hAnsi="宋体" w:cs="宋体"/>
                <w:color w:val="000000" w:themeColor="text1"/>
                <w:kern w:val="0"/>
                <w:u w:val="single"/>
                <w14:textFill>
                  <w14:solidFill>
                    <w14:schemeClr w14:val="tx1"/>
                  </w14:solidFill>
                </w14:textFill>
              </w:rPr>
              <w:t>C.1</w:t>
            </w:r>
            <w:r>
              <w:rPr>
                <w:rFonts w:hint="eastAsia" w:ascii="宋体" w:hAnsi="宋体" w:cs="宋体"/>
                <w:color w:val="000000" w:themeColor="text1"/>
                <w:kern w:val="0"/>
                <w14:textFill>
                  <w14:solidFill>
                    <w14:schemeClr w14:val="tx1"/>
                  </w14:solidFill>
                </w14:textFill>
              </w:rPr>
              <w:t>。</w:t>
            </w:r>
          </w:p>
        </w:tc>
        <w:tc>
          <w:tcPr>
            <w:tcW w:w="1406" w:type="pct"/>
            <w:shd w:val="clear" w:color="auto" w:fill="auto"/>
            <w:vAlign w:val="center"/>
          </w:tcPr>
          <w:p w14:paraId="1A989F17">
            <w:pPr>
              <w:spacing w:line="240" w:lineRule="auto"/>
              <w:jc w:val="center"/>
              <w:outlineLvl w:val="0"/>
              <w:rPr>
                <w:rFonts w:ascii="黑体" w:hAnsi="Times New Roman" w:eastAsia="黑体"/>
                <w:color w:val="000000" w:themeColor="text1"/>
                <w:kern w:val="0"/>
                <w:szCs w:val="20"/>
                <w14:textFill>
                  <w14:solidFill>
                    <w14:schemeClr w14:val="tx1"/>
                  </w14:solidFill>
                </w14:textFill>
              </w:rPr>
            </w:pPr>
            <w:r>
              <w:rPr>
                <w:rFonts w:hint="eastAsia" w:ascii="黑体" w:hAnsi="Times New Roman" w:eastAsia="黑体"/>
                <w:color w:val="000000" w:themeColor="text1"/>
                <w:kern w:val="0"/>
                <w:szCs w:val="20"/>
                <w14:textFill>
                  <w14:solidFill>
                    <w14:schemeClr w14:val="tx1"/>
                  </w14:solidFill>
                </w14:textFill>
              </w:rPr>
              <w:t>附录C</w:t>
            </w:r>
          </w:p>
          <w:p w14:paraId="79560DD5">
            <w:pPr>
              <w:pStyle w:val="52"/>
              <w:numPr>
                <w:ilvl w:val="0"/>
                <w:numId w:val="0"/>
              </w:numPr>
              <w:spacing w:before="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资料</w:t>
            </w:r>
            <w:r>
              <w:rPr>
                <w:rFonts w:hint="eastAsia"/>
                <w:color w:val="000000" w:themeColor="text1"/>
                <w14:textFill>
                  <w14:solidFill>
                    <w14:schemeClr w14:val="tx1"/>
                  </w14:solidFill>
                </w14:textFill>
              </w:rPr>
              <w:t>性）</w:t>
            </w:r>
          </w:p>
          <w:p w14:paraId="3F953FE0">
            <w:pPr>
              <w:widowControl/>
              <w:spacing w:line="240" w:lineRule="auto"/>
              <w:jc w:val="center"/>
              <w:outlineLvl w:val="0"/>
              <w:rPr>
                <w:rFonts w:hint="eastAsia" w:ascii="黑体" w:hAnsi="宋体" w:eastAsia="黑体" w:cs="黑体"/>
                <w:color w:val="000000" w:themeColor="text1"/>
                <w:kern w:val="0"/>
                <w14:textFill>
                  <w14:solidFill>
                    <w14:schemeClr w14:val="tx1"/>
                  </w14:solidFill>
                </w14:textFill>
              </w:rPr>
            </w:pPr>
            <w:r>
              <w:rPr>
                <w:rFonts w:hint="eastAsia" w:ascii="黑体" w:hAnsi="宋体" w:eastAsia="黑体" w:cs="黑体"/>
                <w:color w:val="000000" w:themeColor="text1"/>
                <w:kern w:val="0"/>
                <w14:textFill>
                  <w14:solidFill>
                    <w14:schemeClr w14:val="tx1"/>
                  </w14:solidFill>
                </w14:textFill>
              </w:rPr>
              <w:t>龙眼主栽</w:t>
            </w:r>
            <w:r>
              <w:rPr>
                <w:rFonts w:ascii="黑体" w:hAnsi="宋体" w:eastAsia="黑体" w:cs="黑体"/>
                <w:color w:val="000000" w:themeColor="text1"/>
                <w:kern w:val="0"/>
                <w14:textFill>
                  <w14:solidFill>
                    <w14:schemeClr w14:val="tx1"/>
                  </w14:solidFill>
                </w14:textFill>
              </w:rPr>
              <w:t>品种</w:t>
            </w:r>
            <w:r>
              <w:rPr>
                <w:rFonts w:hint="eastAsia" w:ascii="黑体" w:hAnsi="宋体" w:eastAsia="黑体" w:cs="黑体"/>
                <w:color w:val="000000" w:themeColor="text1"/>
                <w:kern w:val="0"/>
                <w14:textFill>
                  <w14:solidFill>
                    <w14:schemeClr w14:val="tx1"/>
                  </w14:solidFill>
                </w14:textFill>
              </w:rPr>
              <w:t>果实品质性状</w:t>
            </w:r>
          </w:p>
          <w:p w14:paraId="5EE32397">
            <w:pPr>
              <w:widowControl/>
              <w:spacing w:before="156" w:beforeLines="50" w:after="156" w:afterLines="50" w:line="240" w:lineRule="auto"/>
              <w:ind w:firstLine="420" w:firstLineChars="200"/>
              <w:jc w:val="left"/>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ascii="宋体" w:hAnsi="宋体" w:cs="宋体"/>
                <w:color w:val="000000" w:themeColor="text1"/>
                <w:kern w:val="0"/>
                <w:u w:val="single"/>
                <w14:textFill>
                  <w14:solidFill>
                    <w14:schemeClr w14:val="tx1"/>
                  </w14:solidFill>
                </w14:textFill>
              </w:rPr>
              <w:t>C.1</w:t>
            </w:r>
            <w:r>
              <w:rPr>
                <w:rFonts w:hint="eastAsia" w:ascii="宋体" w:hAnsi="宋体" w:cs="宋体"/>
                <w:color w:val="000000" w:themeColor="text1"/>
                <w:kern w:val="0"/>
                <w:u w:val="single"/>
                <w:lang w:val="en-US" w:eastAsia="zh-CN"/>
                <w14:textFill>
                  <w14:solidFill>
                    <w14:schemeClr w14:val="tx1"/>
                  </w14:solidFill>
                </w14:textFill>
              </w:rPr>
              <w:t xml:space="preserve"> </w:t>
            </w:r>
            <w:r>
              <w:rPr>
                <w:rFonts w:hint="eastAsia" w:ascii="宋体" w:hAnsi="宋体" w:cs="宋体"/>
                <w:color w:val="000000" w:themeColor="text1"/>
                <w:kern w:val="0"/>
                <w:u w:val="single"/>
                <w14:textFill>
                  <w14:solidFill>
                    <w14:schemeClr w14:val="tx1"/>
                  </w14:solidFill>
                </w14:textFill>
              </w:rPr>
              <w:t>龙眼主栽品种果实品质性状</w:t>
            </w:r>
            <w:r>
              <w:rPr>
                <w:rFonts w:hint="eastAsia" w:ascii="宋体" w:hAnsi="宋体" w:cs="宋体"/>
                <w:color w:val="000000" w:themeColor="text1"/>
                <w:kern w:val="0"/>
                <w14:textFill>
                  <w14:solidFill>
                    <w14:schemeClr w14:val="tx1"/>
                  </w14:solidFill>
                </w14:textFill>
              </w:rPr>
              <w:t>。</w:t>
            </w:r>
          </w:p>
        </w:tc>
        <w:tc>
          <w:tcPr>
            <w:tcW w:w="1060" w:type="pct"/>
            <w:shd w:val="clear" w:color="auto" w:fill="auto"/>
            <w:vAlign w:val="center"/>
          </w:tcPr>
          <w:p w14:paraId="1CC546A3">
            <w:pPr>
              <w:widowControl/>
              <w:jc w:val="center"/>
              <w:rPr>
                <w:rFonts w:asciiTheme="minorHAnsi" w:hAnsiTheme="minorHAnsi" w:eastAsiaTheme="minorEastAsia" w:cstheme="minorBidi"/>
                <w:kern w:val="2"/>
                <w:sz w:val="18"/>
                <w:szCs w:val="18"/>
                <w:lang w:val="en-US" w:eastAsia="zh-CN" w:bidi="ar-SA"/>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5E5E0F07">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0F1F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3B843E25">
            <w:pPr>
              <w:spacing w:before="156" w:beforeLines="50" w:after="156" w:afterLines="50"/>
              <w:jc w:val="center"/>
              <w:rPr>
                <w:rFonts w:hint="default"/>
                <w:sz w:val="18"/>
                <w:szCs w:val="18"/>
                <w:lang w:val="en-US" w:eastAsia="zh-CN"/>
              </w:rPr>
            </w:pPr>
            <w:r>
              <w:rPr>
                <w:rFonts w:hint="eastAsia"/>
                <w:sz w:val="18"/>
                <w:szCs w:val="18"/>
                <w:lang w:val="en-US" w:eastAsia="zh-CN"/>
              </w:rPr>
              <w:t>29</w:t>
            </w:r>
          </w:p>
        </w:tc>
        <w:tc>
          <w:tcPr>
            <w:tcW w:w="640" w:type="pct"/>
            <w:shd w:val="clear" w:color="auto" w:fill="auto"/>
            <w:vAlign w:val="center"/>
          </w:tcPr>
          <w:p w14:paraId="79C70B0F">
            <w:pPr>
              <w:spacing w:line="240" w:lineRule="auto"/>
              <w:jc w:val="center"/>
              <w:outlineLvl w:val="0"/>
            </w:pPr>
            <w:r>
              <w:rPr>
                <w:rFonts w:hint="eastAsia" w:ascii="黑体" w:hAnsi="Times New Roman" w:eastAsia="黑体"/>
                <w:kern w:val="0"/>
                <w:szCs w:val="20"/>
              </w:rPr>
              <w:t>附录D</w:t>
            </w:r>
          </w:p>
          <w:p w14:paraId="439F9BEA">
            <w:pPr>
              <w:widowControl/>
              <w:jc w:val="center"/>
              <w:rPr>
                <w:rFonts w:hint="eastAsia" w:asciiTheme="minorHAnsi" w:hAnsiTheme="minorHAnsi" w:eastAsiaTheme="minorEastAsia" w:cstheme="minorBidi"/>
                <w:kern w:val="2"/>
                <w:sz w:val="21"/>
                <w:szCs w:val="22"/>
                <w:lang w:val="en-US" w:eastAsia="zh-CN" w:bidi="ar-SA"/>
              </w:rPr>
            </w:pPr>
          </w:p>
        </w:tc>
        <w:tc>
          <w:tcPr>
            <w:tcW w:w="907" w:type="pct"/>
            <w:shd w:val="clear" w:color="auto" w:fill="auto"/>
            <w:vAlign w:val="center"/>
          </w:tcPr>
          <w:p w14:paraId="14732B32">
            <w:pPr>
              <w:spacing w:line="240" w:lineRule="auto"/>
              <w:jc w:val="center"/>
              <w:outlineLvl w:val="0"/>
              <w:rPr>
                <w:rFonts w:ascii="黑体" w:hAnsi="Times New Roman" w:eastAsia="黑体"/>
                <w:kern w:val="0"/>
                <w:szCs w:val="20"/>
              </w:rPr>
            </w:pPr>
            <w:r>
              <w:rPr>
                <w:rFonts w:hint="eastAsia" w:ascii="黑体" w:hAnsi="Times New Roman" w:eastAsia="黑体"/>
                <w:kern w:val="0"/>
                <w:szCs w:val="20"/>
              </w:rPr>
              <w:t>附录D</w:t>
            </w:r>
          </w:p>
          <w:p w14:paraId="4C8A0B46">
            <w:pPr>
              <w:pStyle w:val="52"/>
              <w:numPr>
                <w:ilvl w:val="0"/>
                <w:numId w:val="0"/>
              </w:numPr>
              <w:spacing w:before="0" w:afterLines="0"/>
              <w:ind w:left="0" w:leftChars="0" w:firstLine="0" w:firstLineChars="0"/>
              <w:rPr>
                <w:rFonts w:hint="eastAsia" w:asciiTheme="minorHAnsi" w:hAnsiTheme="minorHAnsi" w:eastAsiaTheme="minorEastAsia" w:cstheme="minorBidi"/>
                <w:kern w:val="2"/>
                <w:sz w:val="21"/>
                <w:szCs w:val="22"/>
                <w:lang w:val="en-US" w:eastAsia="zh-CN" w:bidi="ar-SA"/>
              </w:rPr>
            </w:pPr>
            <w:r>
              <w:rPr>
                <w:rFonts w:hint="eastAsia"/>
              </w:rPr>
              <w:t>（资料性</w:t>
            </w:r>
            <w:r>
              <w:rPr>
                <w:rFonts w:hint="eastAsia"/>
                <w:lang w:val="en-US"/>
              </w:rPr>
              <w:t>附录</w:t>
            </w:r>
            <w:r>
              <w:rPr>
                <w:rFonts w:hint="eastAsia"/>
              </w:rPr>
              <w:t>）</w:t>
            </w:r>
          </w:p>
        </w:tc>
        <w:tc>
          <w:tcPr>
            <w:tcW w:w="1406" w:type="pct"/>
            <w:shd w:val="clear" w:color="auto" w:fill="auto"/>
            <w:vAlign w:val="center"/>
          </w:tcPr>
          <w:p w14:paraId="0ABE887F">
            <w:pPr>
              <w:spacing w:line="240" w:lineRule="auto"/>
              <w:jc w:val="center"/>
              <w:outlineLvl w:val="0"/>
              <w:rPr>
                <w:rFonts w:ascii="黑体" w:hAnsi="Times New Roman" w:eastAsia="黑体"/>
                <w:kern w:val="0"/>
                <w:szCs w:val="20"/>
              </w:rPr>
            </w:pPr>
            <w:r>
              <w:rPr>
                <w:rFonts w:hint="eastAsia" w:ascii="黑体" w:hAnsi="Times New Roman" w:eastAsia="黑体"/>
                <w:kern w:val="0"/>
                <w:szCs w:val="20"/>
              </w:rPr>
              <w:t>附录D</w:t>
            </w:r>
          </w:p>
          <w:p w14:paraId="2E0A4062">
            <w:pPr>
              <w:pStyle w:val="52"/>
              <w:numPr>
                <w:ilvl w:val="0"/>
                <w:numId w:val="0"/>
              </w:numPr>
              <w:spacing w:before="0" w:afterLines="0"/>
            </w:pPr>
            <w:r>
              <w:rPr>
                <w:rFonts w:hint="eastAsia"/>
              </w:rPr>
              <w:t>（资料性）</w:t>
            </w:r>
          </w:p>
          <w:p w14:paraId="009DBE0B">
            <w:pPr>
              <w:widowControl/>
              <w:spacing w:line="240" w:lineRule="auto"/>
              <w:jc w:val="center"/>
              <w:outlineLvl w:val="0"/>
              <w:rPr>
                <w:rFonts w:hint="eastAsia" w:asciiTheme="minorHAnsi" w:hAnsiTheme="minorHAnsi" w:eastAsiaTheme="minorEastAsia" w:cstheme="minorBidi"/>
                <w:kern w:val="2"/>
                <w:sz w:val="21"/>
                <w:szCs w:val="22"/>
                <w:lang w:val="en-US" w:eastAsia="zh-CN" w:bidi="ar-SA"/>
              </w:rPr>
            </w:pPr>
            <w:r>
              <w:rPr>
                <w:rFonts w:hint="eastAsia" w:ascii="黑体" w:hAnsi="宋体" w:eastAsia="黑体" w:cs="黑体"/>
                <w:kern w:val="0"/>
              </w:rPr>
              <w:t>龙眼果园生产管理档案记录</w:t>
            </w:r>
          </w:p>
        </w:tc>
        <w:tc>
          <w:tcPr>
            <w:tcW w:w="1060" w:type="pct"/>
            <w:vAlign w:val="center"/>
          </w:tcPr>
          <w:p w14:paraId="1FF858FF">
            <w:pPr>
              <w:jc w:val="center"/>
              <w:rPr>
                <w:sz w:val="18"/>
                <w:szCs w:val="18"/>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76D5E68B">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6207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00" w:type="pct"/>
            <w:vAlign w:val="center"/>
          </w:tcPr>
          <w:p w14:paraId="0ED5C72E">
            <w:pPr>
              <w:spacing w:before="156" w:beforeLines="50" w:after="156" w:afterLines="50"/>
              <w:jc w:val="center"/>
              <w:rPr>
                <w:rFonts w:hint="default"/>
                <w:sz w:val="18"/>
                <w:szCs w:val="18"/>
                <w:lang w:val="en-US" w:eastAsia="zh-CN"/>
              </w:rPr>
            </w:pPr>
            <w:r>
              <w:rPr>
                <w:rFonts w:hint="eastAsia"/>
                <w:sz w:val="18"/>
                <w:szCs w:val="18"/>
                <w:lang w:val="en-US" w:eastAsia="zh-CN"/>
              </w:rPr>
              <w:t>30</w:t>
            </w:r>
          </w:p>
        </w:tc>
        <w:tc>
          <w:tcPr>
            <w:tcW w:w="640" w:type="pct"/>
            <w:shd w:val="clear" w:color="auto" w:fill="auto"/>
            <w:vAlign w:val="center"/>
          </w:tcPr>
          <w:p w14:paraId="5DF0E4C8">
            <w:pPr>
              <w:spacing w:line="240" w:lineRule="auto"/>
              <w:jc w:val="center"/>
              <w:outlineLvl w:val="0"/>
              <w:rPr>
                <w:rFonts w:hint="eastAsia" w:asciiTheme="minorHAnsi" w:hAnsiTheme="minorHAnsi" w:eastAsiaTheme="minorEastAsia" w:cstheme="minorBidi"/>
                <w:kern w:val="2"/>
                <w:sz w:val="21"/>
                <w:szCs w:val="22"/>
                <w:lang w:val="en-US" w:eastAsia="zh-CN" w:bidi="ar-SA"/>
              </w:rPr>
            </w:pPr>
            <w:r>
              <w:rPr>
                <w:rFonts w:hint="eastAsia" w:ascii="黑体" w:hAnsi="Times New Roman" w:eastAsia="黑体"/>
                <w:kern w:val="0"/>
                <w:szCs w:val="20"/>
              </w:rPr>
              <w:t>附录</w:t>
            </w:r>
            <w:r>
              <w:rPr>
                <w:rFonts w:ascii="黑体" w:hAnsi="Times New Roman" w:eastAsia="黑体"/>
                <w:kern w:val="0"/>
                <w:szCs w:val="20"/>
              </w:rPr>
              <w:t>E</w:t>
            </w:r>
          </w:p>
        </w:tc>
        <w:tc>
          <w:tcPr>
            <w:tcW w:w="907" w:type="pct"/>
            <w:shd w:val="clear" w:color="auto" w:fill="auto"/>
            <w:vAlign w:val="center"/>
          </w:tcPr>
          <w:p w14:paraId="6894C735">
            <w:pPr>
              <w:widowControl/>
              <w:jc w:val="center"/>
              <w:rPr>
                <w:rFonts w:hint="eastAsia" w:asciiTheme="minorHAnsi" w:hAnsiTheme="minorHAnsi" w:eastAsiaTheme="minorEastAsia" w:cstheme="minorBidi"/>
                <w:kern w:val="2"/>
                <w:sz w:val="21"/>
                <w:szCs w:val="22"/>
                <w:lang w:val="en-US" w:eastAsia="zh-CN" w:bidi="ar-SA"/>
              </w:rPr>
            </w:pPr>
            <w:r>
              <w:rPr>
                <w:rFonts w:hint="eastAsia" w:hAnsi="宋体" w:cs="宋体"/>
              </w:rPr>
              <w:t>龙眼生产技术流程图见图</w:t>
            </w:r>
            <w:r>
              <w:rPr>
                <w:rFonts w:hAnsi="宋体" w:cs="宋体"/>
              </w:rPr>
              <w:t>E</w:t>
            </w:r>
            <w:r>
              <w:rPr>
                <w:rFonts w:hint="eastAsia" w:hAnsi="宋体" w:cs="宋体"/>
              </w:rPr>
              <w:t>.1。</w:t>
            </w:r>
          </w:p>
        </w:tc>
        <w:tc>
          <w:tcPr>
            <w:tcW w:w="1406" w:type="pct"/>
            <w:shd w:val="clear" w:color="auto" w:fill="auto"/>
            <w:vAlign w:val="center"/>
          </w:tcPr>
          <w:p w14:paraId="102781FD">
            <w:pPr>
              <w:widowControl/>
              <w:jc w:val="center"/>
              <w:rPr>
                <w:rFonts w:hint="eastAsia" w:asciiTheme="minorHAnsi" w:hAnsiTheme="minorHAnsi" w:eastAsiaTheme="minorEastAsia" w:cstheme="minorBidi"/>
                <w:kern w:val="2"/>
                <w:sz w:val="21"/>
                <w:szCs w:val="22"/>
                <w:lang w:val="en-US" w:eastAsia="zh-CN" w:bidi="ar-SA"/>
              </w:rPr>
            </w:pPr>
            <w:r>
              <w:rPr>
                <w:rFonts w:hAnsi="宋体" w:cs="宋体"/>
              </w:rPr>
              <w:t>E</w:t>
            </w:r>
            <w:r>
              <w:rPr>
                <w:rFonts w:hint="eastAsia" w:hAnsi="宋体" w:cs="宋体"/>
              </w:rPr>
              <w:t>.1龙眼生产技术流程图。</w:t>
            </w:r>
          </w:p>
        </w:tc>
        <w:tc>
          <w:tcPr>
            <w:tcW w:w="1060" w:type="pct"/>
            <w:vAlign w:val="center"/>
          </w:tcPr>
          <w:p w14:paraId="2B796F79">
            <w:pPr>
              <w:jc w:val="center"/>
              <w:rPr>
                <w:sz w:val="18"/>
                <w:szCs w:val="18"/>
              </w:rPr>
            </w:pPr>
            <w:r>
              <w:rPr>
                <w:rFonts w:hint="eastAsia"/>
                <w:lang w:val="en-US" w:eastAsia="zh-CN"/>
              </w:rPr>
              <w:t>省农业标准化技术委员会</w:t>
            </w:r>
            <w:r>
              <w:rPr>
                <w:rFonts w:hint="eastAsia"/>
              </w:rPr>
              <w:t xml:space="preserve"> </w:t>
            </w:r>
            <w:r>
              <w:rPr>
                <w:rFonts w:hint="eastAsia"/>
                <w:lang w:val="en-US" w:eastAsia="zh-CN"/>
              </w:rPr>
              <w:t>张华云</w:t>
            </w:r>
          </w:p>
        </w:tc>
        <w:tc>
          <w:tcPr>
            <w:tcW w:w="685" w:type="pct"/>
            <w:shd w:val="clear"/>
            <w:vAlign w:val="center"/>
          </w:tcPr>
          <w:p w14:paraId="712AD944">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已删除</w:t>
            </w:r>
          </w:p>
        </w:tc>
      </w:tr>
      <w:tr w14:paraId="3C5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0" w:type="auto"/>
          </w:tcPr>
          <w:p w14:paraId="53ED4666">
            <w:pPr>
              <w:spacing w:before="156" w:beforeLines="50" w:after="156" w:afterLines="50"/>
              <w:jc w:val="center"/>
              <w:rPr>
                <w:rFonts w:hint="default"/>
                <w:sz w:val="18"/>
                <w:szCs w:val="18"/>
                <w:lang w:val="en-US" w:eastAsia="zh-CN"/>
              </w:rPr>
            </w:pPr>
            <w:r>
              <w:rPr>
                <w:rFonts w:hint="eastAsia"/>
                <w:sz w:val="18"/>
                <w:szCs w:val="18"/>
                <w:lang w:val="en-US" w:eastAsia="zh-CN"/>
              </w:rPr>
              <w:t>31</w:t>
            </w:r>
          </w:p>
        </w:tc>
        <w:tc>
          <w:tcPr>
            <w:tcW w:w="640" w:type="pct"/>
            <w:shd w:val="clear"/>
            <w:vAlign w:val="center"/>
          </w:tcPr>
          <w:p w14:paraId="2685AF05">
            <w:pPr>
              <w:jc w:val="center"/>
              <w:rPr>
                <w:rFonts w:hint="eastAsia" w:asciiTheme="minorHAnsi" w:hAnsiTheme="minorHAnsi" w:eastAsiaTheme="minorEastAsia" w:cstheme="minorBidi"/>
                <w:kern w:val="2"/>
                <w:sz w:val="18"/>
                <w:szCs w:val="18"/>
                <w:lang w:val="en-US" w:eastAsia="zh-CN" w:bidi="ar-SA"/>
              </w:rPr>
            </w:pPr>
            <w:r>
              <w:rPr>
                <w:rFonts w:hint="eastAsia" w:asciiTheme="minorEastAsia" w:hAnsiTheme="minorEastAsia" w:eastAsiaTheme="minorEastAsia"/>
                <w:color w:val="auto"/>
                <w:kern w:val="2"/>
                <w:sz w:val="18"/>
                <w:szCs w:val="18"/>
                <w:highlight w:val="none"/>
                <w:lang w:val="en-US" w:eastAsia="zh-CN"/>
              </w:rPr>
              <w:t>9.1.2.1</w:t>
            </w:r>
          </w:p>
        </w:tc>
        <w:tc>
          <w:tcPr>
            <w:tcW w:w="907" w:type="pct"/>
            <w:shd w:val="clear"/>
            <w:vAlign w:val="center"/>
          </w:tcPr>
          <w:p w14:paraId="1D4D6DB1">
            <w:pPr>
              <w:jc w:val="center"/>
              <w:rPr>
                <w:rFonts w:hint="eastAsia" w:asciiTheme="minorHAnsi" w:hAnsiTheme="minorHAnsi" w:eastAsiaTheme="minorEastAsia" w:cstheme="minorBidi"/>
                <w:kern w:val="2"/>
                <w:sz w:val="18"/>
                <w:szCs w:val="18"/>
                <w:lang w:val="en-US" w:eastAsia="zh-CN" w:bidi="ar-SA"/>
              </w:rPr>
            </w:pPr>
            <w:r>
              <w:rPr>
                <w:rFonts w:hint="eastAsia"/>
                <w:sz w:val="18"/>
                <w:szCs w:val="18"/>
              </w:rPr>
              <w:t>可充分利用</w:t>
            </w:r>
            <w:r>
              <w:rPr>
                <w:rFonts w:hint="eastAsia"/>
                <w:sz w:val="18"/>
                <w:szCs w:val="18"/>
                <w:lang w:val="en-US" w:eastAsia="zh-CN"/>
              </w:rPr>
              <w:t>株行间土地</w:t>
            </w:r>
            <w:r>
              <w:rPr>
                <w:rFonts w:hint="eastAsia"/>
                <w:sz w:val="18"/>
                <w:szCs w:val="18"/>
              </w:rPr>
              <w:t>间种</w:t>
            </w:r>
            <w:r>
              <w:rPr>
                <w:rFonts w:hint="eastAsia"/>
                <w:sz w:val="18"/>
                <w:szCs w:val="18"/>
                <w:highlight w:val="none"/>
              </w:rPr>
              <w:t>豆科作物、绿肥</w:t>
            </w:r>
            <w:r>
              <w:rPr>
                <w:rFonts w:hint="eastAsia"/>
                <w:sz w:val="18"/>
                <w:szCs w:val="18"/>
                <w:highlight w:val="none"/>
                <w:lang w:eastAsia="zh-CN"/>
              </w:rPr>
              <w:t>、</w:t>
            </w:r>
            <w:r>
              <w:rPr>
                <w:rFonts w:hint="eastAsia"/>
                <w:sz w:val="18"/>
                <w:szCs w:val="18"/>
                <w:highlight w:val="none"/>
              </w:rPr>
              <w:t>菠萝或蔬菜等</w:t>
            </w:r>
          </w:p>
        </w:tc>
        <w:tc>
          <w:tcPr>
            <w:tcW w:w="0" w:type="auto"/>
            <w:shd w:val="clear"/>
            <w:vAlign w:val="center"/>
          </w:tcPr>
          <w:p w14:paraId="4928A297">
            <w:pPr>
              <w:jc w:val="center"/>
              <w:rPr>
                <w:rFonts w:hint="eastAsia" w:asciiTheme="minorHAnsi" w:hAnsiTheme="minorHAnsi" w:eastAsiaTheme="minorEastAsia" w:cstheme="minorBidi"/>
                <w:kern w:val="2"/>
                <w:sz w:val="18"/>
                <w:szCs w:val="18"/>
                <w:lang w:val="en-US" w:eastAsia="zh-CN" w:bidi="ar-SA"/>
              </w:rPr>
            </w:pPr>
            <w:r>
              <w:rPr>
                <w:rFonts w:hint="eastAsia" w:eastAsiaTheme="minorEastAsia"/>
                <w:sz w:val="18"/>
                <w:szCs w:val="18"/>
                <w:lang w:val="en-US" w:eastAsia="zh-CN"/>
              </w:rPr>
              <w:t>增加：</w:t>
            </w:r>
            <w:r>
              <w:rPr>
                <w:sz w:val="18"/>
                <w:szCs w:val="18"/>
              </w:rPr>
              <w:t>也可暂时作为育苗圃使用</w:t>
            </w:r>
          </w:p>
        </w:tc>
        <w:tc>
          <w:tcPr>
            <w:tcW w:w="0" w:type="auto"/>
            <w:shd w:val="clear"/>
            <w:vAlign w:val="center"/>
          </w:tcPr>
          <w:p w14:paraId="24BFD27E">
            <w:pPr>
              <w:jc w:val="center"/>
              <w:rPr>
                <w:rFonts w:asciiTheme="minorHAnsi" w:hAnsiTheme="minorHAnsi" w:eastAsiaTheme="minorEastAsia" w:cstheme="minorBidi"/>
                <w:kern w:val="2"/>
                <w:sz w:val="18"/>
                <w:szCs w:val="18"/>
                <w:lang w:val="en-US" w:eastAsia="zh-CN" w:bidi="ar-SA"/>
              </w:rPr>
            </w:pPr>
            <w:r>
              <w:rPr>
                <w:rFonts w:hint="eastAsia" w:asciiTheme="minorEastAsia" w:hAnsiTheme="minorEastAsia" w:eastAsiaTheme="minorEastAsia"/>
                <w:color w:val="auto"/>
                <w:kern w:val="2"/>
                <w:sz w:val="18"/>
                <w:szCs w:val="18"/>
                <w:highlight w:val="none"/>
                <w:lang w:val="en-US" w:eastAsia="zh-CN"/>
              </w:rPr>
              <w:t>热科院品</w:t>
            </w:r>
            <w:r>
              <w:rPr>
                <w:rFonts w:hint="eastAsia" w:asciiTheme="minorEastAsia" w:hAnsiTheme="minorEastAsia"/>
                <w:color w:val="auto"/>
                <w:kern w:val="2"/>
                <w:sz w:val="18"/>
                <w:szCs w:val="18"/>
                <w:highlight w:val="none"/>
                <w:lang w:val="en-US" w:eastAsia="zh-CN"/>
              </w:rPr>
              <w:t>资</w:t>
            </w:r>
            <w:r>
              <w:rPr>
                <w:rFonts w:hint="eastAsia" w:asciiTheme="minorEastAsia" w:hAnsiTheme="minorEastAsia" w:eastAsiaTheme="minorEastAsia"/>
                <w:color w:val="auto"/>
                <w:kern w:val="2"/>
                <w:sz w:val="18"/>
                <w:szCs w:val="18"/>
                <w:highlight w:val="none"/>
                <w:lang w:val="en-US" w:eastAsia="zh-CN"/>
              </w:rPr>
              <w:t xml:space="preserve">所  </w:t>
            </w:r>
            <w:r>
              <w:rPr>
                <w:rFonts w:hint="default" w:asciiTheme="minorEastAsia" w:hAnsiTheme="minorEastAsia" w:eastAsiaTheme="minorEastAsia"/>
                <w:color w:val="auto"/>
                <w:kern w:val="2"/>
                <w:sz w:val="18"/>
                <w:szCs w:val="18"/>
                <w:highlight w:val="none"/>
                <w:lang w:val="en-US" w:eastAsia="zh-CN"/>
              </w:rPr>
              <w:t>张蕾</w:t>
            </w:r>
          </w:p>
        </w:tc>
        <w:tc>
          <w:tcPr>
            <w:tcW w:w="0" w:type="auto"/>
            <w:shd w:val="clear"/>
            <w:vAlign w:val="center"/>
          </w:tcPr>
          <w:p w14:paraId="7DA772DA">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采纳</w:t>
            </w:r>
          </w:p>
        </w:tc>
      </w:tr>
      <w:tr w14:paraId="167C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0" w:type="auto"/>
          </w:tcPr>
          <w:p w14:paraId="6071D32A">
            <w:pPr>
              <w:spacing w:before="156" w:beforeLines="50" w:after="156" w:afterLines="50"/>
              <w:jc w:val="center"/>
              <w:rPr>
                <w:rFonts w:hint="default"/>
                <w:sz w:val="18"/>
                <w:szCs w:val="18"/>
                <w:lang w:val="en-US" w:eastAsia="zh-CN"/>
              </w:rPr>
            </w:pPr>
            <w:r>
              <w:rPr>
                <w:rFonts w:hint="eastAsia"/>
                <w:sz w:val="18"/>
                <w:szCs w:val="18"/>
                <w:lang w:val="en-US" w:eastAsia="zh-CN"/>
              </w:rPr>
              <w:t>32</w:t>
            </w:r>
          </w:p>
        </w:tc>
        <w:tc>
          <w:tcPr>
            <w:tcW w:w="640" w:type="pct"/>
            <w:shd w:val="clear"/>
            <w:vAlign w:val="center"/>
          </w:tcPr>
          <w:p w14:paraId="5F71A532">
            <w:pPr>
              <w:jc w:val="center"/>
              <w:rPr>
                <w:rFonts w:hint="eastAsia" w:asciiTheme="minorHAnsi" w:hAnsiTheme="minorHAnsi" w:eastAsiaTheme="minorEastAsia" w:cstheme="minorBidi"/>
                <w:kern w:val="2"/>
                <w:sz w:val="18"/>
                <w:szCs w:val="18"/>
                <w:lang w:val="en-US" w:eastAsia="zh-CN" w:bidi="ar-SA"/>
              </w:rPr>
            </w:pPr>
            <w:r>
              <w:rPr>
                <w:rFonts w:hint="eastAsia" w:asciiTheme="minorEastAsia" w:hAnsiTheme="minorEastAsia" w:eastAsiaTheme="minorEastAsia"/>
                <w:color w:val="auto"/>
                <w:kern w:val="2"/>
                <w:sz w:val="18"/>
                <w:szCs w:val="18"/>
                <w:highlight w:val="none"/>
                <w:lang w:val="en-US" w:eastAsia="zh-CN"/>
              </w:rPr>
              <w:t>9.1.2.3</w:t>
            </w:r>
          </w:p>
        </w:tc>
        <w:tc>
          <w:tcPr>
            <w:tcW w:w="907" w:type="pct"/>
            <w:shd w:val="clear"/>
            <w:vAlign w:val="center"/>
          </w:tcPr>
          <w:p w14:paraId="6E484F4B">
            <w:pPr>
              <w:jc w:val="center"/>
              <w:rPr>
                <w:rFonts w:hint="eastAsia" w:asciiTheme="minorHAnsi" w:hAnsiTheme="minorHAnsi" w:eastAsiaTheme="minorEastAsia" w:cstheme="minorBidi"/>
                <w:kern w:val="2"/>
                <w:sz w:val="18"/>
                <w:szCs w:val="18"/>
                <w:lang w:val="en-US" w:eastAsia="zh-CN" w:bidi="ar-SA"/>
              </w:rPr>
            </w:pPr>
            <w:r>
              <w:rPr>
                <w:rFonts w:hint="eastAsia"/>
                <w:color w:val="auto"/>
                <w:sz w:val="18"/>
                <w:szCs w:val="18"/>
                <w:highlight w:val="none"/>
              </w:rPr>
              <w:t>每3～4个月一次</w:t>
            </w:r>
          </w:p>
        </w:tc>
        <w:tc>
          <w:tcPr>
            <w:tcW w:w="0" w:type="auto"/>
            <w:shd w:val="clear"/>
            <w:vAlign w:val="center"/>
          </w:tcPr>
          <w:p w14:paraId="00E9374B">
            <w:pPr>
              <w:jc w:val="center"/>
              <w:rPr>
                <w:rFonts w:hint="eastAsia" w:asciiTheme="minorHAnsi" w:hAnsiTheme="minorHAnsi" w:eastAsiaTheme="minorEastAsia" w:cstheme="minorBidi"/>
                <w:kern w:val="2"/>
                <w:sz w:val="18"/>
                <w:szCs w:val="18"/>
                <w:lang w:val="en-US" w:eastAsia="zh-CN" w:bidi="ar-SA"/>
              </w:rPr>
            </w:pPr>
            <w:r>
              <w:rPr>
                <w:rFonts w:hint="eastAsia" w:asciiTheme="minorEastAsia" w:hAnsiTheme="minorEastAsia" w:eastAsiaTheme="minorEastAsia"/>
                <w:color w:val="auto"/>
                <w:kern w:val="2"/>
                <w:sz w:val="18"/>
                <w:szCs w:val="18"/>
                <w:highlight w:val="none"/>
                <w:lang w:val="en-US" w:eastAsia="zh-CN"/>
              </w:rPr>
              <w:t>间隔有点久吧？</w:t>
            </w:r>
          </w:p>
        </w:tc>
        <w:tc>
          <w:tcPr>
            <w:tcW w:w="0" w:type="auto"/>
            <w:shd w:val="clear"/>
            <w:vAlign w:val="center"/>
          </w:tcPr>
          <w:p w14:paraId="0C8EAAC0">
            <w:pPr>
              <w:jc w:val="center"/>
              <w:rPr>
                <w:rFonts w:asciiTheme="minorHAnsi" w:hAnsiTheme="minorHAnsi" w:eastAsiaTheme="minorEastAsia" w:cstheme="minorBidi"/>
                <w:kern w:val="2"/>
                <w:sz w:val="18"/>
                <w:szCs w:val="18"/>
                <w:lang w:val="en-US" w:eastAsia="zh-CN" w:bidi="ar-SA"/>
              </w:rPr>
            </w:pPr>
            <w:r>
              <w:rPr>
                <w:rFonts w:hint="eastAsia" w:asciiTheme="minorEastAsia" w:hAnsiTheme="minorEastAsia" w:eastAsiaTheme="minorEastAsia"/>
                <w:color w:val="auto"/>
                <w:kern w:val="2"/>
                <w:sz w:val="18"/>
                <w:szCs w:val="18"/>
                <w:highlight w:val="none"/>
                <w:lang w:val="en-US" w:eastAsia="zh-CN"/>
              </w:rPr>
              <w:t>热科院</w:t>
            </w:r>
            <w:r>
              <w:rPr>
                <w:rFonts w:hint="eastAsia" w:asciiTheme="minorEastAsia" w:hAnsiTheme="minorEastAsia"/>
                <w:color w:val="auto"/>
                <w:kern w:val="2"/>
                <w:sz w:val="18"/>
                <w:szCs w:val="18"/>
                <w:highlight w:val="none"/>
                <w:lang w:val="en-US" w:eastAsia="zh-CN"/>
              </w:rPr>
              <w:t>环植</w:t>
            </w:r>
            <w:r>
              <w:rPr>
                <w:rFonts w:hint="eastAsia" w:asciiTheme="minorEastAsia" w:hAnsiTheme="minorEastAsia" w:eastAsiaTheme="minorEastAsia"/>
                <w:color w:val="auto"/>
                <w:kern w:val="2"/>
                <w:sz w:val="18"/>
                <w:szCs w:val="18"/>
                <w:highlight w:val="none"/>
                <w:lang w:val="en-US" w:eastAsia="zh-CN"/>
              </w:rPr>
              <w:t xml:space="preserve">所  </w:t>
            </w:r>
            <w:r>
              <w:rPr>
                <w:rFonts w:hint="eastAsia" w:asciiTheme="minorEastAsia" w:hAnsiTheme="minorEastAsia"/>
                <w:color w:val="auto"/>
                <w:kern w:val="2"/>
                <w:sz w:val="18"/>
                <w:szCs w:val="18"/>
                <w:highlight w:val="none"/>
                <w:lang w:val="en-US" w:eastAsia="zh-CN"/>
              </w:rPr>
              <w:t>李焕苓</w:t>
            </w:r>
          </w:p>
        </w:tc>
        <w:tc>
          <w:tcPr>
            <w:tcW w:w="0" w:type="auto"/>
            <w:shd w:val="clear"/>
            <w:vAlign w:val="center"/>
          </w:tcPr>
          <w:p w14:paraId="51A0667F">
            <w:pPr>
              <w:widowControl/>
              <w:jc w:val="center"/>
              <w:rPr>
                <w:rFonts w:hint="eastAsia" w:asciiTheme="minorHAnsi" w:hAnsiTheme="minorHAnsi" w:eastAsiaTheme="minorEastAsia" w:cstheme="minorBidi"/>
                <w:bCs/>
                <w:kern w:val="2"/>
                <w:sz w:val="21"/>
                <w:szCs w:val="24"/>
                <w:lang w:val="en-US" w:eastAsia="zh-CN" w:bidi="ar-SA"/>
              </w:rPr>
            </w:pPr>
            <w:r>
              <w:rPr>
                <w:rFonts w:hint="eastAsia"/>
                <w:bCs/>
                <w:lang w:val="en-US" w:eastAsia="zh-CN"/>
              </w:rPr>
              <w:t>已修改</w:t>
            </w:r>
          </w:p>
        </w:tc>
      </w:tr>
    </w:tbl>
    <w:p w14:paraId="23129402">
      <w:pPr>
        <w:pStyle w:val="7"/>
        <w:ind w:left="0" w:leftChars="0" w:firstLine="0" w:firstLineChars="0"/>
      </w:pPr>
    </w:p>
    <w:p w14:paraId="197897B1">
      <w:pPr>
        <w:pStyle w:val="7"/>
        <w:ind w:left="0" w:leftChars="0" w:firstLine="0" w:firstLineChars="0"/>
      </w:pPr>
    </w:p>
    <w:p w14:paraId="20D5FF4B">
      <w:pPr>
        <w:widowControl/>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3661410" cy="2747010"/>
            <wp:effectExtent l="0" t="0" r="15240" b="15240"/>
            <wp:docPr id="1" name="图片 1" descr="IMG_20250220_15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0_152255"/>
                    <pic:cNvPicPr>
                      <a:picLocks noChangeAspect="1"/>
                    </pic:cNvPicPr>
                  </pic:nvPicPr>
                  <pic:blipFill>
                    <a:blip r:embed="rId11"/>
                    <a:stretch>
                      <a:fillRect/>
                    </a:stretch>
                  </pic:blipFill>
                  <pic:spPr>
                    <a:xfrm>
                      <a:off x="0" y="0"/>
                      <a:ext cx="3661410" cy="2747010"/>
                    </a:xfrm>
                    <a:prstGeom prst="rect">
                      <a:avLst/>
                    </a:prstGeom>
                  </pic:spPr>
                </pic:pic>
              </a:graphicData>
            </a:graphic>
          </wp:inline>
        </w:drawing>
      </w:r>
    </w:p>
    <w:p w14:paraId="7817E620">
      <w:pPr>
        <w:pStyle w:val="11"/>
        <w:widowControl/>
        <w:spacing w:beforeAutospacing="0" w:afterAutospacing="0" w:line="360" w:lineRule="auto"/>
        <w:jc w:val="center"/>
        <w:rPr>
          <w:rFonts w:ascii="Times New Roman" w:hAnsi="Times New Roman"/>
          <w:b/>
          <w:bCs/>
          <w:sz w:val="28"/>
          <w:szCs w:val="28"/>
        </w:rPr>
      </w:pPr>
      <w:r>
        <w:rPr>
          <w:rFonts w:ascii="Times New Roman" w:hAnsi="Times New Roman"/>
          <w:b/>
          <w:bCs/>
          <w:color w:val="000000"/>
          <w:sz w:val="28"/>
          <w:szCs w:val="28"/>
        </w:rPr>
        <w:t>图</w:t>
      </w:r>
      <w:r>
        <w:rPr>
          <w:rFonts w:hint="eastAsia" w:ascii="Times New Roman" w:hAnsi="Times New Roman"/>
          <w:b/>
          <w:bCs/>
          <w:color w:val="000000"/>
          <w:sz w:val="28"/>
          <w:szCs w:val="28"/>
          <w:lang w:val="en-US" w:eastAsia="zh-CN"/>
        </w:rPr>
        <w:t>2</w:t>
      </w:r>
      <w:r>
        <w:rPr>
          <w:rFonts w:ascii="Times New Roman" w:hAnsi="Times New Roman"/>
          <w:b/>
          <w:bCs/>
          <w:color w:val="000000"/>
          <w:sz w:val="28"/>
          <w:szCs w:val="28"/>
        </w:rPr>
        <w:t xml:space="preserve"> 征求意见会</w:t>
      </w:r>
    </w:p>
    <w:p w14:paraId="6F771621">
      <w:pPr>
        <w:spacing w:line="360" w:lineRule="auto"/>
        <w:rPr>
          <w:rFonts w:ascii="Times New Roman" w:hAnsi="Times New Roman" w:cs="Times New Roman"/>
          <w:b/>
          <w:bCs/>
          <w:sz w:val="28"/>
          <w:szCs w:val="28"/>
        </w:rPr>
      </w:pPr>
      <w:r>
        <w:rPr>
          <w:rFonts w:ascii="Times New Roman" w:hAnsi="Times New Roman" w:cs="Times New Roman"/>
          <w:b/>
          <w:bCs/>
          <w:sz w:val="28"/>
          <w:szCs w:val="28"/>
        </w:rPr>
        <w:t>（三）制定标准的原则和依据，与现行法律法规、标准的关系</w:t>
      </w:r>
    </w:p>
    <w:p w14:paraId="58FD72D5">
      <w:pPr>
        <w:spacing w:line="360" w:lineRule="auto"/>
        <w:ind w:firstLine="562" w:firstLineChars="200"/>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1.制定标准的原则</w:t>
      </w:r>
    </w:p>
    <w:p w14:paraId="7590E4E8">
      <w:pPr>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在标准编写过程中，工作组遵循</w:t>
      </w:r>
      <w:r>
        <w:rPr>
          <w:rFonts w:hint="eastAsia" w:ascii="宋体" w:hAnsi="宋体" w:eastAsia="宋体" w:cs="宋体"/>
          <w:kern w:val="0"/>
          <w:sz w:val="28"/>
          <w:szCs w:val="28"/>
          <w:lang w:bidi="ar"/>
        </w:rPr>
        <w:t>“科学性、统一性、协调性、适用性、一致性和规范性”的</w:t>
      </w:r>
      <w:r>
        <w:rPr>
          <w:rFonts w:ascii="Times New Roman" w:hAnsi="Times New Roman" w:cs="Times New Roman"/>
          <w:kern w:val="0"/>
          <w:sz w:val="28"/>
          <w:szCs w:val="28"/>
          <w:lang w:bidi="ar"/>
        </w:rPr>
        <w:t>原则。</w:t>
      </w:r>
    </w:p>
    <w:p w14:paraId="7EA3BED5">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（1）科学性。</w:t>
      </w:r>
      <w:r>
        <w:rPr>
          <w:rFonts w:ascii="Times New Roman" w:hAnsi="Times New Roman" w:cs="Times New Roman"/>
          <w:kern w:val="0"/>
          <w:sz w:val="28"/>
          <w:szCs w:val="28"/>
          <w:lang w:bidi="ar"/>
        </w:rPr>
        <w:t>在对</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全产业链过程开展实地调查，收集、记录数据并进行试验验证的基础上，结合品资所、省农科院多年在</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种苗繁育、栽培技术等方面前期研究基础和实践经验，结合起草单位制定相关国家标准、行业标准和</w:t>
      </w:r>
      <w:r>
        <w:rPr>
          <w:rFonts w:hint="eastAsia" w:ascii="Times New Roman" w:hAnsi="Times New Roman" w:cs="Times New Roman"/>
          <w:kern w:val="0"/>
          <w:sz w:val="28"/>
          <w:szCs w:val="28"/>
          <w:lang w:eastAsia="zh-CN" w:bidi="ar"/>
        </w:rPr>
        <w:t>地方</w:t>
      </w:r>
      <w:r>
        <w:rPr>
          <w:rFonts w:hint="eastAsia" w:ascii="Times New Roman" w:hAnsi="Times New Roman" w:cs="Times New Roman"/>
          <w:kern w:val="0"/>
          <w:sz w:val="28"/>
          <w:szCs w:val="28"/>
          <w:lang w:bidi="ar"/>
        </w:rPr>
        <w:t>标准</w:t>
      </w:r>
      <w:r>
        <w:rPr>
          <w:rFonts w:ascii="Times New Roman" w:hAnsi="Times New Roman" w:cs="Times New Roman"/>
          <w:kern w:val="0"/>
          <w:sz w:val="28"/>
          <w:szCs w:val="28"/>
          <w:lang w:bidi="ar"/>
        </w:rPr>
        <w:t>，确定本标准条款、技术参数等，确定本标准文件主要内容与主要指标。</w:t>
      </w:r>
    </w:p>
    <w:p w14:paraId="2C7F6E82">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（2）统一性。</w:t>
      </w:r>
      <w:r>
        <w:rPr>
          <w:rFonts w:ascii="Times New Roman" w:hAnsi="Times New Roman" w:cs="Times New Roman"/>
          <w:kern w:val="0"/>
          <w:sz w:val="28"/>
          <w:szCs w:val="28"/>
          <w:lang w:bidi="ar"/>
        </w:rPr>
        <w:t>本标准做到标准结构、文体、术语、形式的统一。</w:t>
      </w:r>
    </w:p>
    <w:p w14:paraId="79E6E450">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（3）协调性。</w:t>
      </w:r>
      <w:r>
        <w:rPr>
          <w:rFonts w:ascii="Times New Roman" w:hAnsi="Times New Roman" w:cs="Times New Roman"/>
          <w:kern w:val="0"/>
          <w:sz w:val="28"/>
          <w:szCs w:val="28"/>
          <w:lang w:bidi="ar"/>
        </w:rPr>
        <w:t>本标准内容符合国家法律、法规，与现行相关标准相协调。</w:t>
      </w:r>
    </w:p>
    <w:p w14:paraId="4ABA121A">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（4）适用性。</w:t>
      </w:r>
      <w:r>
        <w:rPr>
          <w:rFonts w:ascii="Times New Roman" w:hAnsi="Times New Roman" w:cs="Times New Roman"/>
          <w:kern w:val="0"/>
          <w:sz w:val="28"/>
          <w:szCs w:val="28"/>
          <w:lang w:bidi="ar"/>
        </w:rPr>
        <w:t>本标准内容以保障</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全产业链健康生产为目标，以配套协调、科学合理、易于操作、经济适用为原则，形成技术要求和技术规范，可操作性强，便于实施。</w:t>
      </w:r>
    </w:p>
    <w:p w14:paraId="0B452CAD">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（5）一致性。</w:t>
      </w:r>
      <w:r>
        <w:rPr>
          <w:rFonts w:ascii="Times New Roman" w:hAnsi="Times New Roman" w:cs="Times New Roman"/>
          <w:kern w:val="0"/>
          <w:sz w:val="28"/>
          <w:szCs w:val="28"/>
          <w:lang w:bidi="ar"/>
        </w:rPr>
        <w:t>本标准中技术指标均来自于多年积累的实践经验，并结合现行有关标准的要求确定，技术指标提出后经生产实践验证。</w:t>
      </w:r>
    </w:p>
    <w:p w14:paraId="36FA1144">
      <w:pPr>
        <w:spacing w:line="360" w:lineRule="auto"/>
        <w:ind w:firstLine="562" w:firstLineChars="200"/>
        <w:rPr>
          <w:rFonts w:ascii="Times New Roman" w:hAnsi="Times New Roman" w:cs="Times New Roman"/>
          <w:kern w:val="0"/>
          <w:sz w:val="28"/>
          <w:szCs w:val="28"/>
          <w:lang w:bidi="ar"/>
        </w:rPr>
      </w:pPr>
      <w:r>
        <w:rPr>
          <w:rFonts w:ascii="Times New Roman" w:hAnsi="Times New Roman" w:cs="Times New Roman"/>
          <w:b/>
          <w:kern w:val="0"/>
          <w:sz w:val="28"/>
          <w:szCs w:val="28"/>
          <w:lang w:bidi="ar"/>
        </w:rPr>
        <w:t>（6）规范性。</w:t>
      </w:r>
      <w:r>
        <w:rPr>
          <w:rFonts w:ascii="Times New Roman" w:hAnsi="Times New Roman" w:cs="Times New Roman"/>
          <w:kern w:val="0"/>
          <w:sz w:val="28"/>
          <w:szCs w:val="28"/>
          <w:lang w:bidi="ar"/>
        </w:rPr>
        <w:t>本标准严格按照GB/T 1.1—2020《标准化工作导则  第1部分：标准化文件的结构和起草规则》给出的规则和DB 46/T 74—2021《地方标准制 修订工作规范》进行起草，文本格式规范。</w:t>
      </w:r>
    </w:p>
    <w:p w14:paraId="6C055972">
      <w:pPr>
        <w:spacing w:line="360" w:lineRule="auto"/>
        <w:ind w:firstLine="562" w:firstLineChars="200"/>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2.制定标准的依据</w:t>
      </w:r>
    </w:p>
    <w:p w14:paraId="1345DF75">
      <w:pPr>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依据国家有关法律、法规和国家标准管理办法，严格按《标准化工作导则第1部分：标准的结构和编写规则》（GB/T 1.1）、《标准化工作导则 第2部分：标准中规范性技术要素内容的确定方法》（GB/T 1.2）</w:t>
      </w:r>
      <w:r>
        <w:rPr>
          <w:rFonts w:hint="eastAsia" w:ascii="Times New Roman" w:hAnsi="Times New Roman" w:cs="Times New Roman"/>
          <w:kern w:val="0"/>
          <w:sz w:val="28"/>
          <w:szCs w:val="28"/>
          <w:lang w:val="en-US" w:eastAsia="zh-CN" w:bidi="ar"/>
        </w:rPr>
        <w:t>、《GB/T 13016 标准体系构建原则和要求》</w:t>
      </w:r>
      <w:r>
        <w:rPr>
          <w:rFonts w:ascii="Times New Roman" w:hAnsi="Times New Roman" w:cs="Times New Roman"/>
          <w:kern w:val="0"/>
          <w:sz w:val="28"/>
          <w:szCs w:val="28"/>
          <w:lang w:bidi="ar"/>
        </w:rPr>
        <w:t>进行编写。在结合查阅资料及验证数据的基础之上，编制本标准。</w:t>
      </w:r>
    </w:p>
    <w:p w14:paraId="42917A5D">
      <w:pPr>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本标准的制定是按照</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生产、流通需求，依据现有相关国家及行业标准指标，从我省</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主产区的实际生产情况出发，以调研和实测数据以及广泛征求意见的基础上，同时结合了生产和市场现状，本标准具有较强的可操作性和实用性。</w:t>
      </w:r>
    </w:p>
    <w:p w14:paraId="63DD68DC">
      <w:pPr>
        <w:snapToGrid w:val="0"/>
        <w:spacing w:line="360" w:lineRule="auto"/>
        <w:ind w:firstLine="562" w:firstLineChars="200"/>
        <w:rPr>
          <w:rFonts w:ascii="Times New Roman" w:hAnsi="Times New Roman" w:cs="Times New Roman"/>
          <w:b/>
          <w:bCs/>
          <w:sz w:val="28"/>
          <w:szCs w:val="28"/>
        </w:rPr>
      </w:pPr>
      <w:r>
        <w:rPr>
          <w:rFonts w:ascii="Times New Roman" w:hAnsi="Times New Roman" w:cs="Times New Roman"/>
          <w:b/>
          <w:bCs/>
          <w:sz w:val="28"/>
          <w:szCs w:val="28"/>
        </w:rPr>
        <w:t>3.与现行法律法规、标准的关系</w:t>
      </w:r>
    </w:p>
    <w:p w14:paraId="4F24D0AC">
      <w:pPr>
        <w:pStyle w:val="23"/>
        <w:snapToGrid w:val="0"/>
        <w:spacing w:line="360" w:lineRule="auto"/>
        <w:ind w:firstLine="560"/>
        <w:rPr>
          <w:rFonts w:ascii="Times New Roman"/>
          <w:sz w:val="28"/>
          <w:szCs w:val="28"/>
          <w:lang w:bidi="ar"/>
        </w:rPr>
      </w:pPr>
      <w:r>
        <w:rPr>
          <w:rFonts w:hint="eastAsia" w:ascii="Times New Roman"/>
          <w:sz w:val="28"/>
          <w:szCs w:val="28"/>
          <w:lang w:bidi="ar"/>
        </w:rPr>
        <w:t>无</w:t>
      </w:r>
      <w:r>
        <w:rPr>
          <w:rFonts w:ascii="Times New Roman"/>
          <w:sz w:val="28"/>
          <w:szCs w:val="28"/>
        </w:rPr>
        <w:t>。</w:t>
      </w:r>
    </w:p>
    <w:p w14:paraId="6DF91F60">
      <w:pPr>
        <w:spacing w:line="360" w:lineRule="auto"/>
        <w:rPr>
          <w:rFonts w:ascii="Times New Roman" w:hAnsi="Times New Roman" w:cs="Times New Roman"/>
          <w:b/>
          <w:bCs/>
          <w:kern w:val="0"/>
          <w:sz w:val="28"/>
          <w:szCs w:val="28"/>
          <w:lang w:bidi="ar"/>
        </w:rPr>
      </w:pPr>
      <w:r>
        <w:rPr>
          <w:rFonts w:ascii="Times New Roman" w:hAnsi="Times New Roman" w:cs="Times New Roman"/>
          <w:b/>
          <w:bCs/>
          <w:kern w:val="0"/>
          <w:sz w:val="28"/>
          <w:szCs w:val="28"/>
          <w:lang w:bidi="ar"/>
        </w:rPr>
        <w:t>（四）</w:t>
      </w:r>
      <w:r>
        <w:rPr>
          <w:rFonts w:ascii="Times New Roman" w:hAnsi="Times New Roman" w:cs="Times New Roman"/>
          <w:b/>
          <w:color w:val="000000"/>
          <w:sz w:val="28"/>
          <w:szCs w:val="28"/>
        </w:rPr>
        <w:t>主要条款的说明，主要技术指标、参数、试验验证的论述</w:t>
      </w:r>
    </w:p>
    <w:p w14:paraId="720B7DA7">
      <w:pPr>
        <w:snapToGrid w:val="0"/>
        <w:spacing w:line="360" w:lineRule="auto"/>
        <w:ind w:firstLine="551" w:firstLineChars="196"/>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Pr>
          <w:rFonts w:hint="eastAsia" w:ascii="Times New Roman" w:hAnsi="Times New Roman" w:cs="Times New Roman"/>
          <w:b/>
          <w:bCs/>
          <w:color w:val="000000"/>
          <w:sz w:val="28"/>
          <w:szCs w:val="28"/>
          <w:lang w:eastAsia="zh-CN"/>
        </w:rPr>
        <w:t>、</w:t>
      </w:r>
      <w:r>
        <w:rPr>
          <w:rFonts w:ascii="Times New Roman" w:hAnsi="Times New Roman" w:cs="Times New Roman"/>
          <w:b/>
          <w:bCs/>
          <w:color w:val="000000"/>
          <w:sz w:val="28"/>
          <w:szCs w:val="28"/>
        </w:rPr>
        <w:t>主要</w:t>
      </w:r>
      <w:r>
        <w:rPr>
          <w:b/>
          <w:bCs/>
          <w:color w:val="000000"/>
          <w:sz w:val="28"/>
          <w:szCs w:val="28"/>
        </w:rPr>
        <w:t>条款</w:t>
      </w:r>
    </w:p>
    <w:p w14:paraId="0A59B381">
      <w:pPr>
        <w:spacing w:line="360" w:lineRule="auto"/>
        <w:ind w:firstLine="560" w:firstLineChars="200"/>
        <w:rPr>
          <w:rFonts w:ascii="Times New Roman" w:hAnsi="Times New Roman" w:cs="Times New Roman"/>
          <w:b/>
          <w:bCs/>
          <w:kern w:val="0"/>
          <w:sz w:val="28"/>
          <w:szCs w:val="28"/>
          <w:lang w:bidi="ar"/>
        </w:rPr>
      </w:pPr>
      <w:r>
        <w:rPr>
          <w:rFonts w:ascii="Times New Roman" w:hAnsi="Times New Roman" w:cs="Times New Roman"/>
          <w:kern w:val="0"/>
          <w:sz w:val="28"/>
          <w:szCs w:val="28"/>
          <w:lang w:bidi="ar"/>
        </w:rPr>
        <w:t>本标准编制工作组对标准的整体框架结构进行了研究，并对标准的关键性内容进行充分的调研与探讨。经过研究，标准的主体内容确定为</w:t>
      </w:r>
      <w:r>
        <w:rPr>
          <w:rFonts w:ascii="Times New Roman" w:hAnsi="Times New Roman" w:cs="Times New Roman"/>
          <w:sz w:val="28"/>
          <w:szCs w:val="28"/>
        </w:rPr>
        <w:t xml:space="preserve">《农产品全产业链生产规范 </w:t>
      </w:r>
      <w:r>
        <w:rPr>
          <w:rFonts w:hint="eastAsia" w:ascii="Times New Roman" w:hAnsi="Times New Roman" w:cs="Times New Roman"/>
          <w:sz w:val="28"/>
          <w:szCs w:val="28"/>
          <w:lang w:eastAsia="zh-CN"/>
        </w:rPr>
        <w:t>龙眼</w:t>
      </w:r>
      <w:r>
        <w:rPr>
          <w:rFonts w:ascii="Times New Roman" w:hAnsi="Times New Roman" w:cs="Times New Roman"/>
          <w:sz w:val="28"/>
          <w:szCs w:val="28"/>
        </w:rPr>
        <w:t>》标准</w:t>
      </w:r>
      <w:r>
        <w:rPr>
          <w:rFonts w:ascii="Times New Roman" w:hAnsi="Times New Roman" w:cs="Times New Roman"/>
          <w:kern w:val="0"/>
          <w:sz w:val="28"/>
          <w:szCs w:val="28"/>
          <w:lang w:bidi="ar"/>
        </w:rPr>
        <w:t>的术语和定义、产地环境、投入品管理、品种选择、种苗、果园建立、田间管理、病虫害绿色防控、采收与采后处理、果品质量、包装标识、贮藏运输、</w:t>
      </w:r>
      <w:r>
        <w:rPr>
          <w:rFonts w:ascii="Times New Roman" w:hAnsi="Times New Roman" w:cs="Times New Roman"/>
          <w:kern w:val="0"/>
          <w:sz w:val="28"/>
          <w:szCs w:val="28"/>
        </w:rPr>
        <w:t>产品检测与准出</w:t>
      </w:r>
      <w:r>
        <w:rPr>
          <w:rFonts w:hint="eastAsia" w:ascii="Times New Roman" w:hAnsi="Times New Roman" w:cs="Times New Roman" w:eastAsiaTheme="minorEastAsia"/>
          <w:kern w:val="0"/>
          <w:sz w:val="28"/>
          <w:szCs w:val="28"/>
          <w:lang w:val="en-US" w:eastAsia="zh-CN" w:bidi="ar-SA"/>
        </w:rPr>
        <w:t>管理</w:t>
      </w:r>
      <w:r>
        <w:rPr>
          <w:rFonts w:ascii="Times New Roman" w:hAnsi="Times New Roman" w:cs="Times New Roman"/>
          <w:kern w:val="0"/>
          <w:sz w:val="28"/>
          <w:szCs w:val="28"/>
        </w:rPr>
        <w:t>、溯源管理、农业社会化服务、品牌建设和生产档案管理</w:t>
      </w:r>
      <w:r>
        <w:rPr>
          <w:rFonts w:ascii="Times New Roman" w:hAnsi="Times New Roman" w:cs="Times New Roman"/>
          <w:kern w:val="0"/>
          <w:sz w:val="28"/>
          <w:szCs w:val="28"/>
          <w:lang w:val="zh-CN" w:bidi="ar"/>
        </w:rPr>
        <w:t>。</w:t>
      </w:r>
    </w:p>
    <w:p w14:paraId="0B2153B4">
      <w:pPr>
        <w:snapToGrid w:val="0"/>
        <w:spacing w:line="360" w:lineRule="auto"/>
        <w:ind w:firstLine="551" w:firstLineChars="196"/>
        <w:rPr>
          <w:b/>
          <w:bCs/>
          <w:color w:val="000000"/>
          <w:sz w:val="28"/>
          <w:szCs w:val="28"/>
        </w:rPr>
      </w:pPr>
      <w:r>
        <w:rPr>
          <w:b/>
          <w:bCs/>
          <w:color w:val="000000"/>
          <w:sz w:val="28"/>
          <w:szCs w:val="28"/>
        </w:rPr>
        <w:t>2</w:t>
      </w:r>
      <w:r>
        <w:rPr>
          <w:rFonts w:hint="eastAsia"/>
          <w:b/>
          <w:bCs/>
          <w:color w:val="000000"/>
          <w:sz w:val="28"/>
          <w:szCs w:val="28"/>
          <w:lang w:eastAsia="zh-CN"/>
        </w:rPr>
        <w:t>、</w:t>
      </w:r>
      <w:r>
        <w:rPr>
          <w:b/>
          <w:bCs/>
          <w:color w:val="000000"/>
          <w:sz w:val="28"/>
          <w:szCs w:val="28"/>
        </w:rPr>
        <w:t>主要技术指标、参数</w:t>
      </w:r>
    </w:p>
    <w:p w14:paraId="36C1FA9D">
      <w:pPr>
        <w:pStyle w:val="5"/>
        <w:tabs>
          <w:tab w:val="left" w:pos="435"/>
        </w:tabs>
        <w:spacing w:before="36" w:line="360" w:lineRule="auto"/>
        <w:ind w:right="3985"/>
        <w:rPr>
          <w:rFonts w:hint="eastAsia" w:ascii="Times New Roman" w:hAnsi="Times New Roman" w:cs="Times New Roman" w:eastAsiaTheme="minorEastAsia"/>
          <w:b/>
          <w:bCs/>
          <w:kern w:val="0"/>
          <w:lang w:val="en-US" w:eastAsia="zh-CN" w:bidi="ar"/>
        </w:rPr>
      </w:pPr>
      <w:r>
        <w:rPr>
          <w:rFonts w:hint="eastAsia" w:ascii="Times New Roman" w:hAnsi="Times New Roman" w:cs="Times New Roman" w:eastAsiaTheme="minorEastAsia"/>
          <w:b/>
          <w:bCs/>
          <w:kern w:val="0"/>
          <w:lang w:val="en-US" w:eastAsia="zh-CN" w:bidi="ar"/>
        </w:rPr>
        <w:t>（1）产地环境</w:t>
      </w:r>
    </w:p>
    <w:p w14:paraId="2007FC5A">
      <w:pPr>
        <w:spacing w:line="360" w:lineRule="auto"/>
        <w:ind w:firstLine="560" w:firstLineChars="200"/>
        <w:rPr>
          <w:rFonts w:hint="eastAsia" w:ascii="Times New Roman" w:hAnsi="Times New Roman" w:cs="Times New Roman" w:eastAsiaTheme="minorEastAsia"/>
          <w:kern w:val="0"/>
          <w:sz w:val="28"/>
          <w:szCs w:val="28"/>
          <w:highlight w:val="none"/>
          <w:lang w:val="en-US" w:eastAsia="zh-CN" w:bidi="ar-SA"/>
        </w:rPr>
      </w:pPr>
      <w:r>
        <w:rPr>
          <w:rFonts w:hint="eastAsia" w:ascii="Times New Roman" w:hAnsi="Times New Roman" w:cs="Times New Roman" w:eastAsiaTheme="minorEastAsia"/>
          <w:kern w:val="0"/>
          <w:sz w:val="28"/>
          <w:szCs w:val="28"/>
          <w:highlight w:val="none"/>
          <w:lang w:val="en-US" w:eastAsia="zh-CN" w:bidi="ar-SA"/>
        </w:rPr>
        <w:t>选择冬季最低气温不低于7℃，年平均雨量为1500mm~2500 mm。台风频繁登陆的地区不适宜种植。选择交通便利、地势开阔、土层深厚、土质疏松肥沃、光照充足、水源充沛、≤15°的缓坡或平地建园，＞10°的缓坡地应修建梯带。土壤类型为红壤土或砂壤土，质地良好，疏松透气，有机质含量≥1.0%，土壤pH 为4.8～6.5，土层厚度在80 cm以上。土壤环境质量应符合 GB 15618 的规定。环境空气质量应符合 GB 3095 的规定。果园灌溉水质应符合 GB 5084 的规定。</w:t>
      </w:r>
    </w:p>
    <w:p w14:paraId="59FDCBF3">
      <w:pPr>
        <w:spacing w:line="360" w:lineRule="auto"/>
        <w:ind w:firstLine="560" w:firstLineChars="200"/>
        <w:rPr>
          <w:rFonts w:hint="eastAsia" w:ascii="Times New Roman" w:hAnsi="Times New Roman" w:cs="Times New Roman" w:eastAsiaTheme="minorEastAsia"/>
          <w:kern w:val="0"/>
          <w:sz w:val="28"/>
          <w:szCs w:val="28"/>
          <w:highlight w:val="none"/>
          <w:lang w:val="en-US" w:eastAsia="zh-CN" w:bidi="ar-SA"/>
        </w:rPr>
        <w:sectPr>
          <w:footerReference r:id="rId3" w:type="default"/>
          <w:type w:val="continuous"/>
          <w:pgSz w:w="11906" w:h="16838"/>
          <w:pgMar w:top="1440" w:right="1800" w:bottom="1440" w:left="1800" w:header="851" w:footer="992" w:gutter="0"/>
          <w:cols w:space="425" w:num="1"/>
          <w:docGrid w:type="lines" w:linePitch="312" w:charSpace="0"/>
        </w:sectPr>
      </w:pPr>
    </w:p>
    <w:p w14:paraId="4270AC82">
      <w:pPr>
        <w:pStyle w:val="5"/>
        <w:tabs>
          <w:tab w:val="left" w:pos="435"/>
        </w:tabs>
        <w:spacing w:before="36" w:line="360" w:lineRule="auto"/>
        <w:ind w:right="3985"/>
        <w:rPr>
          <w:rFonts w:ascii="Times New Roman" w:hAnsi="Times New Roman" w:cs="Times New Roman" w:eastAsiaTheme="minorEastAsia"/>
        </w:rPr>
      </w:pPr>
      <w:r>
        <w:rPr>
          <w:rFonts w:hint="eastAsia" w:ascii="Times New Roman" w:hAnsi="Times New Roman" w:cs="Times New Roman" w:eastAsiaTheme="minorEastAsia"/>
          <w:b/>
          <w:bCs/>
          <w:kern w:val="0"/>
          <w:lang w:bidi="ar"/>
        </w:rPr>
        <w:t>（2）</w:t>
      </w:r>
      <w:r>
        <w:rPr>
          <w:rFonts w:ascii="Times New Roman" w:hAnsi="Times New Roman" w:cs="Times New Roman" w:eastAsiaTheme="minorEastAsia"/>
          <w:b/>
          <w:bCs/>
          <w:kern w:val="0"/>
          <w:lang w:bidi="ar"/>
        </w:rPr>
        <w:t>投入品管理</w:t>
      </w:r>
    </w:p>
    <w:p w14:paraId="1327FFF3">
      <w:pPr>
        <w:pStyle w:val="7"/>
        <w:spacing w:line="360" w:lineRule="auto"/>
        <w:ind w:left="0" w:leftChars="0" w:right="105" w:rightChars="50" w:firstLine="560" w:firstLineChars="200"/>
        <w:rPr>
          <w:rFonts w:ascii="Times New Roman" w:hAnsi="Times New Roman" w:cs="Times New Roman"/>
        </w:rPr>
      </w:pPr>
      <w:r>
        <w:rPr>
          <w:rFonts w:ascii="Times New Roman" w:hAnsi="Times New Roman" w:cs="Times New Roman"/>
          <w:kern w:val="0"/>
          <w:sz w:val="28"/>
          <w:szCs w:val="28"/>
          <w:lang w:bidi="ar"/>
        </w:rPr>
        <w:t>本标准主要依据</w:t>
      </w:r>
      <w:r>
        <w:rPr>
          <w:rFonts w:hint="eastAsia" w:ascii="Times New Roman" w:hAnsi="Times New Roman" w:cs="Times New Roman"/>
          <w:kern w:val="0"/>
          <w:sz w:val="28"/>
          <w:szCs w:val="28"/>
          <w:lang w:bidi="ar"/>
        </w:rPr>
        <w:t>肥料</w:t>
      </w:r>
      <w:r>
        <w:rPr>
          <w:rFonts w:ascii="Times New Roman" w:hAnsi="Times New Roman" w:cs="Times New Roman"/>
          <w:kern w:val="0"/>
          <w:sz w:val="28"/>
          <w:szCs w:val="28"/>
          <w:lang w:bidi="ar"/>
        </w:rPr>
        <w:t>、农药、</w:t>
      </w:r>
      <w:r>
        <w:rPr>
          <w:rFonts w:hint="eastAsia" w:ascii="Times New Roman" w:hAnsi="Times New Roman" w:cs="Times New Roman"/>
          <w:kern w:val="0"/>
          <w:sz w:val="28"/>
          <w:szCs w:val="28"/>
          <w:lang w:bidi="ar"/>
        </w:rPr>
        <w:t>包装材料和废弃物处理</w:t>
      </w:r>
      <w:r>
        <w:rPr>
          <w:rFonts w:ascii="Times New Roman" w:hAnsi="Times New Roman" w:cs="Times New Roman"/>
          <w:kern w:val="0"/>
          <w:sz w:val="28"/>
          <w:szCs w:val="28"/>
          <w:lang w:bidi="ar"/>
        </w:rPr>
        <w:t>等农业投入品相关法律法规及</w:t>
      </w:r>
      <w:r>
        <w:rPr>
          <w:rFonts w:hint="eastAsia" w:ascii="Times New Roman" w:hAnsi="Times New Roman" w:cs="Times New Roman"/>
          <w:kern w:val="0"/>
          <w:sz w:val="28"/>
          <w:szCs w:val="28"/>
          <w:lang w:val="en-US" w:eastAsia="zh-CN" w:bidi="ar"/>
        </w:rPr>
        <w:t xml:space="preserve"> </w:t>
      </w:r>
      <w:r>
        <w:rPr>
          <w:rFonts w:ascii="Times New Roman" w:hAnsi="Times New Roman" w:cs="Times New Roman"/>
          <w:kern w:val="0"/>
          <w:sz w:val="28"/>
          <w:szCs w:val="28"/>
          <w:lang w:bidi="ar"/>
        </w:rPr>
        <w:t>GB 38400</w:t>
      </w:r>
      <w:r>
        <w:rPr>
          <w:rFonts w:hint="eastAsia" w:ascii="Times New Roman" w:hAnsi="Times New Roman" w:cs="Times New Roman"/>
          <w:kern w:val="0"/>
          <w:sz w:val="28"/>
          <w:szCs w:val="28"/>
          <w:lang w:val="en-US" w:eastAsia="zh-CN" w:bidi="ar"/>
        </w:rPr>
        <w:t>、</w:t>
      </w:r>
      <w:r>
        <w:rPr>
          <w:rFonts w:ascii="Times New Roman" w:hAnsi="Times New Roman" w:cs="Times New Roman"/>
          <w:kern w:val="0"/>
          <w:sz w:val="28"/>
          <w:szCs w:val="28"/>
          <w:lang w:bidi="ar"/>
        </w:rPr>
        <w:t>NY/T 496</w:t>
      </w:r>
      <w:r>
        <w:rPr>
          <w:rFonts w:hint="eastAsia" w:ascii="Times New Roman" w:hAnsi="Times New Roman" w:cs="Times New Roman"/>
          <w:kern w:val="0"/>
          <w:sz w:val="28"/>
          <w:szCs w:val="28"/>
          <w:lang w:val="en-US" w:eastAsia="zh-CN" w:bidi="ar"/>
        </w:rPr>
        <w:t>、</w:t>
      </w:r>
      <w:r>
        <w:rPr>
          <w:rFonts w:ascii="Times New Roman" w:hAnsi="Times New Roman" w:cs="Times New Roman"/>
          <w:kern w:val="0"/>
          <w:sz w:val="28"/>
          <w:szCs w:val="28"/>
          <w:lang w:bidi="ar"/>
        </w:rPr>
        <w:t>NY/T 525</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NY/T 1868</w:t>
      </w:r>
      <w:r>
        <w:rPr>
          <w:rFonts w:hint="eastAsia" w:ascii="Times New Roman" w:hAnsi="Times New Roman" w:cs="Times New Roman"/>
          <w:kern w:val="0"/>
          <w:sz w:val="28"/>
          <w:szCs w:val="28"/>
          <w:lang w:val="en-US" w:eastAsia="zh-CN" w:bidi="ar"/>
        </w:rPr>
        <w:t>、</w:t>
      </w:r>
      <w:r>
        <w:rPr>
          <w:rFonts w:ascii="Times New Roman" w:hAnsi="Times New Roman" w:cs="Times New Roman"/>
          <w:kern w:val="0"/>
          <w:sz w:val="28"/>
          <w:szCs w:val="28"/>
          <w:lang w:bidi="ar"/>
        </w:rPr>
        <w:t>NY/T 798</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NY/T 1535</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bidi="ar"/>
        </w:rPr>
        <w:t>NY/T 1105</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NY/T 1869</w:t>
      </w:r>
      <w:r>
        <w:rPr>
          <w:rFonts w:hint="eastAsia" w:ascii="Times New Roman" w:hAnsi="Times New Roman" w:cs="Times New Roman"/>
          <w:kern w:val="0"/>
          <w:sz w:val="28"/>
          <w:szCs w:val="28"/>
          <w:lang w:val="en-US" w:eastAsia="zh-CN" w:bidi="ar"/>
        </w:rPr>
        <w:t>、</w:t>
      </w:r>
      <w:r>
        <w:rPr>
          <w:rFonts w:ascii="Times New Roman" w:hAnsi="Times New Roman" w:cs="Times New Roman"/>
          <w:kern w:val="0"/>
          <w:sz w:val="28"/>
          <w:szCs w:val="28"/>
          <w:lang w:bidi="ar"/>
        </w:rPr>
        <w:t>GB/T 17419</w:t>
      </w:r>
      <w:r>
        <w:rPr>
          <w:rFonts w:hint="eastAsia" w:ascii="Times New Roman" w:hAnsi="Times New Roman" w:cs="Times New Roman"/>
          <w:kern w:val="0"/>
          <w:sz w:val="28"/>
          <w:szCs w:val="28"/>
          <w:lang w:val="en-US" w:eastAsia="zh-CN" w:bidi="ar"/>
        </w:rPr>
        <w:t>、</w:t>
      </w:r>
      <w:r>
        <w:rPr>
          <w:rFonts w:ascii="Times New Roman" w:hAnsi="Times New Roman" w:cs="Times New Roman"/>
          <w:kern w:val="0"/>
          <w:sz w:val="28"/>
          <w:szCs w:val="28"/>
          <w:lang w:bidi="ar"/>
        </w:rPr>
        <w:t>GB/T 17420</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GB/T</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8321（所有部分）、</w:t>
      </w:r>
      <w:r>
        <w:rPr>
          <w:rFonts w:ascii="Times New Roman" w:hAnsi="Times New Roman" w:cs="Times New Roman"/>
          <w:kern w:val="0"/>
          <w:sz w:val="28"/>
          <w:szCs w:val="28"/>
          <w:lang w:bidi="ar"/>
        </w:rPr>
        <w:t>NY/T 1276</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bidi="ar"/>
        </w:rPr>
        <w:t>GB/T 34344</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GB/T</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5737</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GB/T 6543</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GB/T 28117</w:t>
      </w:r>
      <w:r>
        <w:rPr>
          <w:rFonts w:hint="eastAsia" w:ascii="Times New Roman" w:hAnsi="Times New Roman" w:cs="Times New Roman"/>
          <w:kern w:val="0"/>
          <w:sz w:val="28"/>
          <w:szCs w:val="28"/>
          <w:lang w:val="en-US" w:eastAsia="zh-CN" w:bidi="ar"/>
        </w:rPr>
        <w:t>、</w:t>
      </w:r>
      <w:r>
        <w:rPr>
          <w:rFonts w:hint="eastAsia" w:ascii="Times New Roman" w:hAnsi="Times New Roman" w:cs="Times New Roman"/>
          <w:kern w:val="0"/>
          <w:sz w:val="28"/>
          <w:szCs w:val="28"/>
          <w:lang w:bidi="ar"/>
        </w:rPr>
        <w:t>GB/T 16716.1等</w:t>
      </w:r>
      <w:r>
        <w:rPr>
          <w:rFonts w:ascii="Times New Roman" w:hAnsi="Times New Roman" w:cs="Times New Roman"/>
          <w:kern w:val="0"/>
          <w:sz w:val="28"/>
          <w:szCs w:val="28"/>
          <w:lang w:bidi="ar"/>
        </w:rPr>
        <w:t>标准确定了生产所需农业投入品的选择、使用和管理要求。</w:t>
      </w:r>
    </w:p>
    <w:p w14:paraId="4E756E4F">
      <w:pPr>
        <w:pStyle w:val="5"/>
        <w:tabs>
          <w:tab w:val="left" w:pos="435"/>
        </w:tabs>
        <w:spacing w:before="36" w:line="360" w:lineRule="auto"/>
        <w:ind w:right="3985"/>
        <w:rPr>
          <w:rFonts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t>（3）品种选择</w:t>
      </w:r>
    </w:p>
    <w:p w14:paraId="0E0AB86C">
      <w:pPr>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w:t>
      </w:r>
      <w:r>
        <w:rPr>
          <w:rFonts w:hint="eastAsia" w:ascii="Times New Roman" w:hAnsi="Times New Roman" w:cs="Times New Roman"/>
          <w:kern w:val="0"/>
          <w:sz w:val="28"/>
          <w:szCs w:val="28"/>
          <w:lang w:bidi="ar"/>
        </w:rPr>
        <w:t>依据品种适应性和市场需求，选择最适宜当地发展的优良品种</w:t>
      </w:r>
      <w:r>
        <w:rPr>
          <w:rFonts w:ascii="Times New Roman" w:hAnsi="Times New Roman" w:cs="Times New Roman"/>
          <w:kern w:val="0"/>
          <w:sz w:val="28"/>
          <w:szCs w:val="28"/>
          <w:lang w:bidi="ar"/>
        </w:rPr>
        <w:t>。</w:t>
      </w:r>
    </w:p>
    <w:p w14:paraId="4F576300">
      <w:pPr>
        <w:spacing w:line="360" w:lineRule="auto"/>
        <w:ind w:firstLine="560" w:firstLineChars="200"/>
        <w:rPr>
          <w:rFonts w:ascii="Times New Roman" w:hAnsi="Times New Roman" w:cs="Times New Roman"/>
          <w:kern w:val="0"/>
          <w:sz w:val="28"/>
          <w:szCs w:val="28"/>
          <w:highlight w:val="yellow"/>
          <w:lang w:bidi="ar"/>
        </w:rPr>
      </w:pPr>
      <w:r>
        <w:rPr>
          <w:rFonts w:ascii="Times New Roman" w:hAnsi="Times New Roman" w:cs="Times New Roman"/>
          <w:kern w:val="0"/>
          <w:sz w:val="28"/>
          <w:szCs w:val="28"/>
          <w:lang w:bidi="ar"/>
        </w:rPr>
        <w:t>海南岛年均气温高，雨量充沛，土壤肥沃，因地理位置优势，</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生产具有天然环境优势。</w:t>
      </w:r>
      <w:r>
        <w:rPr>
          <w:rFonts w:hint="eastAsia" w:ascii="Times New Roman" w:hAnsi="Times New Roman" w:cs="Times New Roman"/>
          <w:kern w:val="0"/>
          <w:sz w:val="28"/>
          <w:szCs w:val="28"/>
          <w:lang w:val="en-US" w:eastAsia="zh-CN" w:bidi="ar"/>
        </w:rPr>
        <w:t>主要适宜推广的品种有‘储良’和‘石硖’等</w:t>
      </w:r>
      <w:r>
        <w:rPr>
          <w:rFonts w:ascii="Times New Roman" w:hAnsi="Times New Roman" w:cs="Times New Roman"/>
          <w:kern w:val="0"/>
          <w:sz w:val="28"/>
          <w:szCs w:val="28"/>
          <w:lang w:bidi="ar"/>
        </w:rPr>
        <w:t>。</w:t>
      </w:r>
    </w:p>
    <w:p w14:paraId="30D6C358">
      <w:pPr>
        <w:pStyle w:val="7"/>
        <w:ind w:left="1470" w:right="1470"/>
        <w:rPr>
          <w:lang w:bidi="ar"/>
        </w:rPr>
      </w:pPr>
    </w:p>
    <w:p w14:paraId="73F1E689">
      <w:pPr>
        <w:rPr>
          <w:rFonts w:hint="eastAsia" w:ascii="Times New Roman" w:hAnsi="Times New Roman" w:cs="Times New Roman"/>
          <w:b/>
          <w:bCs/>
          <w:kern w:val="0"/>
          <w:sz w:val="24"/>
          <w:lang w:bidi="ar"/>
        </w:rPr>
      </w:pPr>
      <w:r>
        <w:rPr>
          <w:rFonts w:hint="eastAsia" w:ascii="Times New Roman" w:hAnsi="Times New Roman" w:cs="Times New Roman"/>
          <w:b/>
          <w:bCs/>
          <w:kern w:val="0"/>
          <w:sz w:val="24"/>
          <w:lang w:bidi="ar"/>
        </w:rPr>
        <w:br w:type="page"/>
      </w:r>
    </w:p>
    <w:p w14:paraId="4C18D9F0">
      <w:pPr>
        <w:widowControl/>
        <w:spacing w:line="360" w:lineRule="auto"/>
        <w:jc w:val="center"/>
        <w:rPr>
          <w:rFonts w:hint="eastAsia" w:ascii="Times New Roman" w:hAnsi="Times New Roman" w:cs="Times New Roman"/>
          <w:b/>
          <w:bCs/>
          <w:kern w:val="0"/>
          <w:sz w:val="24"/>
          <w:lang w:bidi="ar"/>
        </w:rPr>
        <w:sectPr>
          <w:type w:val="continuous"/>
          <w:pgSz w:w="11906" w:h="16838"/>
          <w:pgMar w:top="1440" w:right="1800" w:bottom="1440" w:left="1800" w:header="851" w:footer="992" w:gutter="0"/>
          <w:cols w:space="425" w:num="1"/>
          <w:docGrid w:type="lines" w:linePitch="312" w:charSpace="0"/>
        </w:sectPr>
      </w:pPr>
    </w:p>
    <w:p w14:paraId="0FCE8BE1">
      <w:pPr>
        <w:widowControl/>
        <w:spacing w:line="360" w:lineRule="auto"/>
        <w:jc w:val="center"/>
        <w:rPr>
          <w:lang w:bidi="ar"/>
        </w:rPr>
      </w:pPr>
      <w:r>
        <w:rPr>
          <w:rFonts w:hint="eastAsia" w:ascii="Times New Roman" w:hAnsi="Times New Roman" w:cs="Times New Roman"/>
          <w:b/>
          <w:bCs/>
          <w:kern w:val="0"/>
          <w:sz w:val="24"/>
          <w:lang w:bidi="ar"/>
        </w:rPr>
        <w:t>表</w:t>
      </w:r>
      <w:r>
        <w:rPr>
          <w:rFonts w:hint="eastAsia" w:ascii="Times New Roman" w:hAnsi="Times New Roman" w:cs="Times New Roman"/>
          <w:b/>
          <w:bCs/>
          <w:kern w:val="0"/>
          <w:sz w:val="24"/>
          <w:lang w:val="en-US" w:eastAsia="zh-CN" w:bidi="ar"/>
        </w:rPr>
        <w:t>3</w:t>
      </w:r>
      <w:r>
        <w:rPr>
          <w:rFonts w:ascii="Times New Roman" w:hAnsi="Times New Roman" w:cs="Times New Roman"/>
          <w:b/>
          <w:bCs/>
          <w:kern w:val="0"/>
          <w:sz w:val="24"/>
          <w:lang w:bidi="ar"/>
        </w:rPr>
        <w:t xml:space="preserve"> </w:t>
      </w:r>
      <w:r>
        <w:rPr>
          <w:rFonts w:hint="eastAsia" w:ascii="Times New Roman" w:hAnsi="Times New Roman" w:cs="Times New Roman"/>
          <w:b/>
          <w:bCs/>
          <w:kern w:val="0"/>
          <w:sz w:val="24"/>
          <w:lang w:eastAsia="zh-CN" w:bidi="ar"/>
        </w:rPr>
        <w:t>龙眼</w:t>
      </w:r>
      <w:r>
        <w:rPr>
          <w:rFonts w:hint="eastAsia" w:ascii="Times New Roman" w:hAnsi="Times New Roman" w:cs="Times New Roman"/>
          <w:b/>
          <w:bCs/>
          <w:kern w:val="0"/>
          <w:sz w:val="24"/>
          <w:lang w:bidi="ar"/>
        </w:rPr>
        <w:t>品种果实主要特征</w:t>
      </w:r>
    </w:p>
    <w:tbl>
      <w:tblPr>
        <w:tblStyle w:val="14"/>
        <w:tblW w:w="47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2564"/>
        <w:gridCol w:w="1389"/>
        <w:gridCol w:w="1340"/>
        <w:gridCol w:w="1078"/>
        <w:gridCol w:w="1179"/>
        <w:gridCol w:w="1166"/>
        <w:gridCol w:w="948"/>
        <w:gridCol w:w="1078"/>
        <w:gridCol w:w="842"/>
        <w:gridCol w:w="655"/>
      </w:tblGrid>
      <w:tr w14:paraId="1B9BD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15" w:type="pct"/>
            <w:tcBorders>
              <w:bottom w:val="single" w:color="auto" w:sz="8" w:space="0"/>
            </w:tcBorders>
            <w:vAlign w:val="center"/>
          </w:tcPr>
          <w:p w14:paraId="0B56BC5A">
            <w:pPr>
              <w:spacing w:line="240" w:lineRule="auto"/>
              <w:jc w:val="center"/>
              <w:rPr>
                <w:rFonts w:hint="eastAsia" w:ascii="宋体" w:hAnsi="宋体" w:cs="宋体"/>
                <w:sz w:val="18"/>
                <w:szCs w:val="18"/>
              </w:rPr>
            </w:pPr>
            <w:r>
              <w:rPr>
                <w:rFonts w:hint="eastAsia" w:ascii="宋体" w:hAnsi="宋体" w:cs="宋体"/>
                <w:sz w:val="18"/>
                <w:szCs w:val="18"/>
              </w:rPr>
              <w:t>品种</w:t>
            </w:r>
          </w:p>
        </w:tc>
        <w:tc>
          <w:tcPr>
            <w:tcW w:w="961" w:type="pct"/>
            <w:tcBorders>
              <w:bottom w:val="single" w:color="auto" w:sz="8" w:space="0"/>
            </w:tcBorders>
            <w:vAlign w:val="center"/>
          </w:tcPr>
          <w:p w14:paraId="198484CA">
            <w:pPr>
              <w:spacing w:line="240" w:lineRule="auto"/>
              <w:jc w:val="center"/>
              <w:rPr>
                <w:rFonts w:hint="eastAsia" w:ascii="宋体" w:hAnsi="宋体" w:cs="宋体"/>
                <w:sz w:val="18"/>
                <w:szCs w:val="18"/>
              </w:rPr>
            </w:pPr>
            <w:r>
              <w:rPr>
                <w:rFonts w:hint="eastAsia" w:ascii="宋体" w:hAnsi="宋体" w:cs="宋体"/>
                <w:sz w:val="18"/>
                <w:szCs w:val="18"/>
              </w:rPr>
              <w:t>成熟果实实物图</w:t>
            </w:r>
          </w:p>
        </w:tc>
        <w:tc>
          <w:tcPr>
            <w:tcW w:w="520" w:type="pct"/>
            <w:tcBorders>
              <w:bottom w:val="single" w:color="auto" w:sz="8" w:space="0"/>
            </w:tcBorders>
            <w:vAlign w:val="center"/>
          </w:tcPr>
          <w:p w14:paraId="0BE706CA">
            <w:pPr>
              <w:spacing w:line="240" w:lineRule="auto"/>
              <w:jc w:val="center"/>
              <w:rPr>
                <w:rFonts w:hint="eastAsia" w:ascii="宋体" w:hAnsi="宋体" w:cs="宋体"/>
                <w:sz w:val="18"/>
                <w:szCs w:val="18"/>
              </w:rPr>
            </w:pPr>
            <w:r>
              <w:rPr>
                <w:rFonts w:hint="eastAsia" w:ascii="宋体" w:hAnsi="宋体" w:cs="宋体"/>
                <w:sz w:val="18"/>
                <w:szCs w:val="18"/>
              </w:rPr>
              <w:t>果形</w:t>
            </w:r>
          </w:p>
        </w:tc>
        <w:tc>
          <w:tcPr>
            <w:tcW w:w="501" w:type="pct"/>
            <w:tcBorders>
              <w:bottom w:val="single" w:color="auto" w:sz="8" w:space="0"/>
            </w:tcBorders>
            <w:vAlign w:val="center"/>
          </w:tcPr>
          <w:p w14:paraId="38FC18D9">
            <w:pPr>
              <w:spacing w:line="240" w:lineRule="auto"/>
              <w:jc w:val="center"/>
              <w:rPr>
                <w:rFonts w:hint="eastAsia" w:ascii="宋体" w:hAnsi="宋体" w:cs="宋体"/>
                <w:sz w:val="18"/>
                <w:szCs w:val="18"/>
              </w:rPr>
            </w:pPr>
            <w:r>
              <w:rPr>
                <w:rFonts w:hint="eastAsia" w:ascii="宋体" w:hAnsi="宋体" w:cs="宋体"/>
                <w:sz w:val="18"/>
                <w:szCs w:val="18"/>
              </w:rPr>
              <w:t>果色</w:t>
            </w:r>
          </w:p>
        </w:tc>
        <w:tc>
          <w:tcPr>
            <w:tcW w:w="403" w:type="pct"/>
            <w:tcBorders>
              <w:bottom w:val="single" w:color="auto" w:sz="8" w:space="0"/>
            </w:tcBorders>
            <w:vAlign w:val="center"/>
          </w:tcPr>
          <w:p w14:paraId="3A520FC7">
            <w:pPr>
              <w:spacing w:line="240" w:lineRule="auto"/>
              <w:jc w:val="center"/>
              <w:rPr>
                <w:rFonts w:hint="eastAsia" w:ascii="宋体" w:hAnsi="宋体" w:cs="宋体"/>
                <w:sz w:val="18"/>
                <w:szCs w:val="18"/>
              </w:rPr>
            </w:pPr>
            <w:r>
              <w:rPr>
                <w:rFonts w:hint="eastAsia" w:ascii="宋体" w:hAnsi="宋体" w:cs="宋体"/>
                <w:sz w:val="18"/>
                <w:szCs w:val="18"/>
              </w:rPr>
              <w:t>果肩</w:t>
            </w:r>
          </w:p>
        </w:tc>
        <w:tc>
          <w:tcPr>
            <w:tcW w:w="441" w:type="pct"/>
            <w:tcBorders>
              <w:bottom w:val="single" w:color="auto" w:sz="8" w:space="0"/>
            </w:tcBorders>
            <w:vAlign w:val="center"/>
          </w:tcPr>
          <w:p w14:paraId="7934220D">
            <w:pPr>
              <w:spacing w:line="240" w:lineRule="auto"/>
              <w:jc w:val="center"/>
              <w:rPr>
                <w:rFonts w:hint="eastAsia" w:ascii="宋体" w:hAnsi="宋体" w:cs="宋体"/>
                <w:sz w:val="18"/>
                <w:szCs w:val="18"/>
              </w:rPr>
            </w:pPr>
            <w:r>
              <w:rPr>
                <w:rFonts w:hint="eastAsia" w:ascii="宋体" w:hAnsi="宋体" w:cs="宋体"/>
                <w:sz w:val="18"/>
                <w:szCs w:val="18"/>
              </w:rPr>
              <w:t>果顶</w:t>
            </w:r>
          </w:p>
        </w:tc>
        <w:tc>
          <w:tcPr>
            <w:tcW w:w="436" w:type="pct"/>
            <w:tcBorders>
              <w:bottom w:val="single" w:color="auto" w:sz="8" w:space="0"/>
            </w:tcBorders>
            <w:vAlign w:val="center"/>
          </w:tcPr>
          <w:p w14:paraId="600B47FA">
            <w:pPr>
              <w:spacing w:line="240" w:lineRule="auto"/>
              <w:jc w:val="center"/>
              <w:rPr>
                <w:rFonts w:hint="eastAsia" w:ascii="宋体" w:hAnsi="宋体" w:cs="宋体"/>
                <w:sz w:val="18"/>
                <w:szCs w:val="18"/>
              </w:rPr>
            </w:pPr>
            <w:r>
              <w:rPr>
                <w:rFonts w:hint="eastAsia" w:ascii="宋体" w:hAnsi="宋体" w:cs="宋体"/>
                <w:sz w:val="18"/>
                <w:szCs w:val="18"/>
              </w:rPr>
              <w:t>龟</w:t>
            </w:r>
            <w:r>
              <w:rPr>
                <w:rFonts w:hint="eastAsia" w:ascii="宋体" w:hAnsi="宋体" w:cs="宋体"/>
                <w:sz w:val="18"/>
                <w:szCs w:val="18"/>
                <w:lang w:val="en-US" w:eastAsia="zh-CN"/>
              </w:rPr>
              <w:t>状</w:t>
            </w:r>
            <w:r>
              <w:rPr>
                <w:rFonts w:hint="eastAsia" w:ascii="宋体" w:hAnsi="宋体" w:cs="宋体"/>
                <w:sz w:val="18"/>
                <w:szCs w:val="18"/>
              </w:rPr>
              <w:t>纹及疣状突起</w:t>
            </w:r>
          </w:p>
        </w:tc>
        <w:tc>
          <w:tcPr>
            <w:tcW w:w="355" w:type="pct"/>
            <w:tcBorders>
              <w:bottom w:val="single" w:color="auto" w:sz="8" w:space="0"/>
            </w:tcBorders>
            <w:vAlign w:val="center"/>
          </w:tcPr>
          <w:p w14:paraId="2E2D7F0B">
            <w:pPr>
              <w:spacing w:line="240" w:lineRule="auto"/>
              <w:jc w:val="center"/>
              <w:rPr>
                <w:rFonts w:hint="eastAsia" w:ascii="宋体" w:hAnsi="宋体" w:cs="宋体"/>
                <w:sz w:val="18"/>
                <w:szCs w:val="18"/>
              </w:rPr>
            </w:pPr>
            <w:r>
              <w:rPr>
                <w:rFonts w:hint="eastAsia" w:ascii="宋体" w:hAnsi="宋体" w:cs="宋体"/>
                <w:sz w:val="18"/>
                <w:szCs w:val="18"/>
              </w:rPr>
              <w:t>果肉</w:t>
            </w:r>
          </w:p>
        </w:tc>
        <w:tc>
          <w:tcPr>
            <w:tcW w:w="403" w:type="pct"/>
            <w:tcBorders>
              <w:bottom w:val="single" w:color="auto" w:sz="8" w:space="0"/>
            </w:tcBorders>
            <w:vAlign w:val="center"/>
          </w:tcPr>
          <w:p w14:paraId="226FA0BD">
            <w:pPr>
              <w:spacing w:line="240" w:lineRule="auto"/>
              <w:jc w:val="center"/>
              <w:rPr>
                <w:rFonts w:hint="eastAsia" w:ascii="宋体" w:hAnsi="宋体" w:cs="宋体"/>
                <w:sz w:val="18"/>
                <w:szCs w:val="18"/>
              </w:rPr>
            </w:pPr>
            <w:r>
              <w:rPr>
                <w:rFonts w:hint="eastAsia" w:ascii="宋体" w:hAnsi="宋体" w:cs="宋体"/>
                <w:sz w:val="18"/>
                <w:szCs w:val="18"/>
              </w:rPr>
              <w:t>质地</w:t>
            </w:r>
          </w:p>
        </w:tc>
        <w:tc>
          <w:tcPr>
            <w:tcW w:w="315" w:type="pct"/>
            <w:tcBorders>
              <w:bottom w:val="single" w:color="auto" w:sz="8" w:space="0"/>
            </w:tcBorders>
            <w:vAlign w:val="center"/>
          </w:tcPr>
          <w:p w14:paraId="2F764109">
            <w:pPr>
              <w:spacing w:line="240" w:lineRule="auto"/>
              <w:jc w:val="center"/>
              <w:rPr>
                <w:rFonts w:hint="eastAsia" w:ascii="宋体" w:hAnsi="宋体" w:cs="宋体"/>
                <w:sz w:val="18"/>
                <w:szCs w:val="18"/>
              </w:rPr>
            </w:pPr>
            <w:r>
              <w:rPr>
                <w:rFonts w:hint="eastAsia" w:ascii="宋体" w:hAnsi="宋体" w:cs="宋体"/>
                <w:sz w:val="18"/>
                <w:szCs w:val="18"/>
              </w:rPr>
              <w:t>风味</w:t>
            </w:r>
          </w:p>
        </w:tc>
        <w:tc>
          <w:tcPr>
            <w:tcW w:w="245" w:type="pct"/>
            <w:tcBorders>
              <w:bottom w:val="single" w:color="auto" w:sz="8" w:space="0"/>
            </w:tcBorders>
            <w:vAlign w:val="center"/>
          </w:tcPr>
          <w:p w14:paraId="66A9CFF5">
            <w:pPr>
              <w:spacing w:line="240" w:lineRule="auto"/>
              <w:jc w:val="center"/>
              <w:rPr>
                <w:rFonts w:hint="eastAsia" w:ascii="宋体" w:hAnsi="宋体" w:cs="宋体"/>
                <w:sz w:val="18"/>
                <w:szCs w:val="18"/>
              </w:rPr>
            </w:pPr>
            <w:r>
              <w:rPr>
                <w:rFonts w:hint="eastAsia" w:ascii="宋体" w:hAnsi="宋体" w:cs="宋体"/>
                <w:sz w:val="18"/>
                <w:szCs w:val="18"/>
              </w:rPr>
              <w:t>种核</w:t>
            </w:r>
          </w:p>
        </w:tc>
      </w:tr>
      <w:tr w14:paraId="238B2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415" w:type="pct"/>
            <w:tcBorders>
              <w:top w:val="single" w:color="auto" w:sz="8" w:space="0"/>
            </w:tcBorders>
            <w:vAlign w:val="center"/>
          </w:tcPr>
          <w:p w14:paraId="4424CB14">
            <w:pPr>
              <w:spacing w:line="240" w:lineRule="auto"/>
              <w:jc w:val="center"/>
              <w:rPr>
                <w:rFonts w:hint="eastAsia" w:ascii="宋体" w:hAnsi="宋体" w:cs="宋体"/>
                <w:sz w:val="18"/>
                <w:szCs w:val="18"/>
              </w:rPr>
            </w:pPr>
            <w:r>
              <w:rPr>
                <w:rFonts w:hint="eastAsia" w:ascii="宋体" w:hAnsi="宋体" w:cs="宋体"/>
                <w:sz w:val="18"/>
                <w:szCs w:val="18"/>
              </w:rPr>
              <w:t>石硖</w:t>
            </w:r>
          </w:p>
        </w:tc>
        <w:tc>
          <w:tcPr>
            <w:tcW w:w="961" w:type="pct"/>
            <w:tcBorders>
              <w:top w:val="single" w:color="auto" w:sz="8" w:space="0"/>
            </w:tcBorders>
          </w:tcPr>
          <w:p w14:paraId="528F8BBE">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73835" cy="1104900"/>
                  <wp:effectExtent l="0" t="0" r="12065" b="0"/>
                  <wp:docPr id="647195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5196"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73835" cy="1104900"/>
                          </a:xfrm>
                          <a:prstGeom prst="rect">
                            <a:avLst/>
                          </a:prstGeom>
                          <a:noFill/>
                          <a:ln>
                            <a:noFill/>
                          </a:ln>
                        </pic:spPr>
                      </pic:pic>
                    </a:graphicData>
                  </a:graphic>
                </wp:inline>
              </w:drawing>
            </w:r>
          </w:p>
        </w:tc>
        <w:tc>
          <w:tcPr>
            <w:tcW w:w="520" w:type="pct"/>
            <w:tcBorders>
              <w:top w:val="single" w:color="auto" w:sz="8" w:space="0"/>
            </w:tcBorders>
            <w:vAlign w:val="center"/>
          </w:tcPr>
          <w:p w14:paraId="67F0CAD1">
            <w:pPr>
              <w:spacing w:line="240" w:lineRule="auto"/>
              <w:jc w:val="center"/>
              <w:rPr>
                <w:rFonts w:hint="eastAsia" w:ascii="宋体" w:hAnsi="宋体" w:cs="宋体"/>
                <w:sz w:val="18"/>
                <w:szCs w:val="18"/>
              </w:rPr>
            </w:pPr>
            <w:r>
              <w:rPr>
                <w:rFonts w:hint="eastAsia" w:ascii="宋体" w:hAnsi="宋体" w:cs="宋体"/>
                <w:sz w:val="18"/>
                <w:szCs w:val="18"/>
              </w:rPr>
              <w:t>近圆形或扁圆形略歪</w:t>
            </w:r>
          </w:p>
        </w:tc>
        <w:tc>
          <w:tcPr>
            <w:tcW w:w="501" w:type="pct"/>
            <w:tcBorders>
              <w:top w:val="single" w:color="auto" w:sz="8" w:space="0"/>
            </w:tcBorders>
            <w:vAlign w:val="center"/>
          </w:tcPr>
          <w:p w14:paraId="1BA1A91E">
            <w:pPr>
              <w:spacing w:line="240" w:lineRule="auto"/>
              <w:jc w:val="center"/>
              <w:rPr>
                <w:rFonts w:hint="eastAsia" w:ascii="宋体" w:hAnsi="宋体" w:cs="宋体"/>
                <w:sz w:val="18"/>
                <w:szCs w:val="18"/>
              </w:rPr>
            </w:pPr>
            <w:r>
              <w:rPr>
                <w:rFonts w:hint="eastAsia" w:ascii="宋体" w:hAnsi="宋体" w:cs="宋体"/>
                <w:sz w:val="18"/>
                <w:szCs w:val="18"/>
              </w:rPr>
              <w:t>黄褐色或黄褐色带绿色</w:t>
            </w:r>
          </w:p>
        </w:tc>
        <w:tc>
          <w:tcPr>
            <w:tcW w:w="403" w:type="pct"/>
            <w:tcBorders>
              <w:top w:val="single" w:color="auto" w:sz="8" w:space="0"/>
            </w:tcBorders>
            <w:vAlign w:val="center"/>
          </w:tcPr>
          <w:p w14:paraId="23E19AAC">
            <w:pPr>
              <w:spacing w:line="240" w:lineRule="auto"/>
              <w:jc w:val="center"/>
              <w:rPr>
                <w:rFonts w:hint="eastAsia" w:ascii="宋体" w:hAnsi="宋体" w:cs="宋体"/>
                <w:sz w:val="18"/>
                <w:szCs w:val="18"/>
              </w:rPr>
            </w:pPr>
            <w:r>
              <w:rPr>
                <w:rFonts w:hint="eastAsia" w:ascii="宋体" w:hAnsi="宋体" w:cs="宋体"/>
                <w:sz w:val="18"/>
                <w:szCs w:val="18"/>
              </w:rPr>
              <w:t>稍突起</w:t>
            </w:r>
          </w:p>
        </w:tc>
        <w:tc>
          <w:tcPr>
            <w:tcW w:w="441" w:type="pct"/>
            <w:tcBorders>
              <w:top w:val="single" w:color="auto" w:sz="8" w:space="0"/>
            </w:tcBorders>
            <w:vAlign w:val="center"/>
          </w:tcPr>
          <w:p w14:paraId="20F789DC">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tcBorders>
              <w:top w:val="single" w:color="auto" w:sz="8" w:space="0"/>
            </w:tcBorders>
            <w:vAlign w:val="center"/>
          </w:tcPr>
          <w:p w14:paraId="53707A70">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tcBorders>
              <w:top w:val="single" w:color="auto" w:sz="8" w:space="0"/>
            </w:tcBorders>
            <w:vAlign w:val="center"/>
          </w:tcPr>
          <w:p w14:paraId="6F0D884E">
            <w:pPr>
              <w:spacing w:line="240" w:lineRule="auto"/>
              <w:jc w:val="center"/>
              <w:rPr>
                <w:rFonts w:hint="eastAsia" w:ascii="宋体" w:hAnsi="宋体" w:cs="宋体"/>
                <w:sz w:val="18"/>
                <w:szCs w:val="18"/>
              </w:rPr>
            </w:pPr>
            <w:r>
              <w:rPr>
                <w:rFonts w:hint="eastAsia" w:ascii="宋体" w:hAnsi="宋体" w:cs="宋体"/>
                <w:sz w:val="18"/>
                <w:szCs w:val="18"/>
              </w:rPr>
              <w:t>乳白色或淡黄白色</w:t>
            </w:r>
          </w:p>
        </w:tc>
        <w:tc>
          <w:tcPr>
            <w:tcW w:w="403" w:type="pct"/>
            <w:tcBorders>
              <w:top w:val="single" w:color="auto" w:sz="8" w:space="0"/>
            </w:tcBorders>
            <w:vAlign w:val="center"/>
          </w:tcPr>
          <w:p w14:paraId="753318C3">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tcBorders>
              <w:top w:val="single" w:color="auto" w:sz="8" w:space="0"/>
            </w:tcBorders>
            <w:vAlign w:val="center"/>
          </w:tcPr>
          <w:p w14:paraId="4449D791">
            <w:pPr>
              <w:spacing w:line="240" w:lineRule="auto"/>
              <w:jc w:val="center"/>
              <w:rPr>
                <w:rFonts w:hint="eastAsia" w:ascii="宋体" w:hAnsi="宋体" w:cs="宋体"/>
                <w:sz w:val="18"/>
                <w:szCs w:val="18"/>
              </w:rPr>
            </w:pPr>
            <w:r>
              <w:rPr>
                <w:rFonts w:hint="eastAsia" w:ascii="宋体" w:hAnsi="宋体" w:cs="宋体"/>
                <w:sz w:val="18"/>
                <w:szCs w:val="18"/>
              </w:rPr>
              <w:t>浓甜带蜜</w:t>
            </w:r>
          </w:p>
        </w:tc>
        <w:tc>
          <w:tcPr>
            <w:tcW w:w="245" w:type="pct"/>
            <w:tcBorders>
              <w:top w:val="single" w:color="auto" w:sz="8" w:space="0"/>
            </w:tcBorders>
            <w:vAlign w:val="center"/>
          </w:tcPr>
          <w:p w14:paraId="5FDFB0B6">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A946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2CEC6DC4">
            <w:pPr>
              <w:spacing w:line="240" w:lineRule="auto"/>
              <w:jc w:val="center"/>
              <w:rPr>
                <w:rFonts w:hint="eastAsia" w:ascii="宋体" w:hAnsi="宋体" w:cs="宋体"/>
                <w:sz w:val="18"/>
                <w:szCs w:val="18"/>
              </w:rPr>
            </w:pPr>
            <w:r>
              <w:rPr>
                <w:rFonts w:hint="eastAsia" w:ascii="宋体" w:hAnsi="宋体" w:cs="宋体"/>
                <w:sz w:val="18"/>
                <w:szCs w:val="18"/>
              </w:rPr>
              <w:t>储良</w:t>
            </w:r>
          </w:p>
        </w:tc>
        <w:tc>
          <w:tcPr>
            <w:tcW w:w="961" w:type="pct"/>
          </w:tcPr>
          <w:p w14:paraId="053BCC6D">
            <w:pPr>
              <w:spacing w:line="240" w:lineRule="auto"/>
              <w:jc w:val="center"/>
              <w:rPr>
                <w:rFonts w:hint="eastAsia" w:ascii="宋体" w:hAnsi="宋体" w:cs="宋体"/>
                <w:sz w:val="18"/>
                <w:szCs w:val="18"/>
              </w:rPr>
            </w:pPr>
            <w:r>
              <w:rPr>
                <w:rFonts w:ascii="宋体" w:hAnsi="宋体" w:cs="宋体"/>
                <w:sz w:val="18"/>
                <w:szCs w:val="18"/>
              </w:rPr>
              <w:drawing>
                <wp:inline distT="0" distB="0" distL="0" distR="0">
                  <wp:extent cx="1469390" cy="1146810"/>
                  <wp:effectExtent l="0" t="0" r="16510" b="15240"/>
                  <wp:docPr id="2092416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6849"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r="3904"/>
                          <a:stretch>
                            <a:fillRect/>
                          </a:stretch>
                        </pic:blipFill>
                        <pic:spPr>
                          <a:xfrm>
                            <a:off x="0" y="0"/>
                            <a:ext cx="1469390" cy="1146810"/>
                          </a:xfrm>
                          <a:prstGeom prst="rect">
                            <a:avLst/>
                          </a:prstGeom>
                          <a:noFill/>
                          <a:ln>
                            <a:noFill/>
                          </a:ln>
                        </pic:spPr>
                      </pic:pic>
                    </a:graphicData>
                  </a:graphic>
                </wp:inline>
              </w:drawing>
            </w:r>
          </w:p>
        </w:tc>
        <w:tc>
          <w:tcPr>
            <w:tcW w:w="520" w:type="pct"/>
            <w:vAlign w:val="center"/>
          </w:tcPr>
          <w:p w14:paraId="621E2B5E">
            <w:pPr>
              <w:spacing w:line="240" w:lineRule="auto"/>
              <w:jc w:val="center"/>
              <w:rPr>
                <w:rFonts w:hint="eastAsia" w:ascii="宋体" w:hAnsi="宋体" w:cs="宋体"/>
                <w:sz w:val="18"/>
                <w:szCs w:val="18"/>
              </w:rPr>
            </w:pPr>
            <w:r>
              <w:rPr>
                <w:rFonts w:hint="eastAsia" w:ascii="宋体" w:hAnsi="宋体" w:cs="宋体"/>
                <w:sz w:val="18"/>
                <w:szCs w:val="18"/>
              </w:rPr>
              <w:t>扁圆形</w:t>
            </w:r>
          </w:p>
        </w:tc>
        <w:tc>
          <w:tcPr>
            <w:tcW w:w="501" w:type="pct"/>
            <w:vAlign w:val="center"/>
          </w:tcPr>
          <w:p w14:paraId="3A7290B6">
            <w:pPr>
              <w:spacing w:line="240" w:lineRule="auto"/>
              <w:jc w:val="center"/>
              <w:rPr>
                <w:rFonts w:hint="eastAsia" w:ascii="宋体" w:hAnsi="宋体" w:cs="宋体"/>
                <w:sz w:val="18"/>
                <w:szCs w:val="18"/>
              </w:rPr>
            </w:pPr>
            <w:r>
              <w:rPr>
                <w:rFonts w:hint="eastAsia" w:ascii="宋体" w:hAnsi="宋体" w:cs="宋体"/>
                <w:sz w:val="18"/>
                <w:szCs w:val="18"/>
              </w:rPr>
              <w:t>褐黄色带绿色</w:t>
            </w:r>
          </w:p>
        </w:tc>
        <w:tc>
          <w:tcPr>
            <w:tcW w:w="403" w:type="pct"/>
            <w:vAlign w:val="center"/>
          </w:tcPr>
          <w:p w14:paraId="58266E9B">
            <w:pPr>
              <w:spacing w:line="240" w:lineRule="auto"/>
              <w:jc w:val="center"/>
              <w:rPr>
                <w:rFonts w:hint="eastAsia" w:ascii="宋体" w:hAnsi="宋体" w:cs="宋体"/>
                <w:sz w:val="18"/>
                <w:szCs w:val="18"/>
              </w:rPr>
            </w:pPr>
            <w:r>
              <w:rPr>
                <w:rFonts w:hint="eastAsia" w:ascii="宋体" w:hAnsi="宋体" w:cs="宋体"/>
                <w:sz w:val="18"/>
                <w:szCs w:val="18"/>
              </w:rPr>
              <w:t>突起</w:t>
            </w:r>
          </w:p>
        </w:tc>
        <w:tc>
          <w:tcPr>
            <w:tcW w:w="441" w:type="pct"/>
            <w:vAlign w:val="center"/>
          </w:tcPr>
          <w:p w14:paraId="556E1E01">
            <w:pPr>
              <w:spacing w:line="240" w:lineRule="auto"/>
              <w:jc w:val="center"/>
              <w:rPr>
                <w:rFonts w:hint="eastAsia" w:ascii="宋体" w:hAnsi="宋体" w:cs="宋体"/>
                <w:sz w:val="18"/>
                <w:szCs w:val="18"/>
              </w:rPr>
            </w:pPr>
            <w:r>
              <w:rPr>
                <w:rFonts w:hint="eastAsia" w:ascii="宋体" w:hAnsi="宋体" w:cs="宋体"/>
                <w:sz w:val="18"/>
                <w:szCs w:val="18"/>
              </w:rPr>
              <w:t>浑圆</w:t>
            </w:r>
          </w:p>
        </w:tc>
        <w:tc>
          <w:tcPr>
            <w:tcW w:w="436" w:type="pct"/>
            <w:vAlign w:val="center"/>
          </w:tcPr>
          <w:p w14:paraId="7C81E334">
            <w:pPr>
              <w:spacing w:line="240" w:lineRule="auto"/>
              <w:jc w:val="left"/>
              <w:rPr>
                <w:rFonts w:hint="eastAsia" w:ascii="宋体" w:hAnsi="宋体" w:cs="宋体"/>
                <w:sz w:val="18"/>
                <w:szCs w:val="18"/>
              </w:rPr>
            </w:pPr>
            <w:r>
              <w:rPr>
                <w:rFonts w:hint="eastAsia" w:ascii="宋体" w:hAnsi="宋体" w:cs="宋体"/>
                <w:sz w:val="18"/>
                <w:szCs w:val="18"/>
              </w:rPr>
              <w:t>不明显</w:t>
            </w:r>
          </w:p>
        </w:tc>
        <w:tc>
          <w:tcPr>
            <w:tcW w:w="355" w:type="pct"/>
            <w:vAlign w:val="center"/>
          </w:tcPr>
          <w:p w14:paraId="0892243B">
            <w:pPr>
              <w:spacing w:line="240" w:lineRule="auto"/>
              <w:jc w:val="center"/>
              <w:rPr>
                <w:rFonts w:hint="eastAsia" w:ascii="宋体" w:hAnsi="宋体" w:cs="宋体"/>
                <w:sz w:val="18"/>
                <w:szCs w:val="18"/>
              </w:rPr>
            </w:pPr>
            <w:r>
              <w:rPr>
                <w:rFonts w:hint="eastAsia" w:ascii="宋体" w:hAnsi="宋体" w:cs="宋体"/>
                <w:sz w:val="18"/>
                <w:szCs w:val="18"/>
              </w:rPr>
              <w:t>白蜡色</w:t>
            </w:r>
          </w:p>
        </w:tc>
        <w:tc>
          <w:tcPr>
            <w:tcW w:w="403" w:type="pct"/>
            <w:vAlign w:val="center"/>
          </w:tcPr>
          <w:p w14:paraId="6984923F">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1DEB582D">
            <w:pPr>
              <w:spacing w:line="240" w:lineRule="auto"/>
              <w:jc w:val="center"/>
              <w:rPr>
                <w:rFonts w:hint="eastAsia" w:ascii="宋体" w:hAnsi="宋体" w:cs="宋体"/>
                <w:sz w:val="18"/>
                <w:szCs w:val="18"/>
              </w:rPr>
            </w:pPr>
            <w:r>
              <w:rPr>
                <w:rFonts w:hint="eastAsia" w:ascii="宋体" w:hAnsi="宋体" w:cs="宋体"/>
                <w:sz w:val="18"/>
                <w:szCs w:val="18"/>
              </w:rPr>
              <w:t>清甜带蜜</w:t>
            </w:r>
          </w:p>
        </w:tc>
        <w:tc>
          <w:tcPr>
            <w:tcW w:w="245" w:type="pct"/>
            <w:vAlign w:val="center"/>
          </w:tcPr>
          <w:p w14:paraId="68A26F4A">
            <w:pPr>
              <w:spacing w:line="240" w:lineRule="auto"/>
              <w:jc w:val="center"/>
              <w:rPr>
                <w:rFonts w:hint="eastAsia" w:ascii="宋体" w:hAnsi="宋体" w:cs="宋体"/>
                <w:sz w:val="18"/>
                <w:szCs w:val="18"/>
              </w:rPr>
            </w:pPr>
            <w:r>
              <w:rPr>
                <w:rFonts w:hint="eastAsia" w:ascii="宋体" w:hAnsi="宋体" w:cs="宋体"/>
                <w:sz w:val="18"/>
                <w:szCs w:val="18"/>
              </w:rPr>
              <w:t>较小</w:t>
            </w:r>
          </w:p>
        </w:tc>
      </w:tr>
      <w:tr w14:paraId="332B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415" w:type="pct"/>
            <w:vAlign w:val="center"/>
          </w:tcPr>
          <w:p w14:paraId="7FC5C044">
            <w:pPr>
              <w:spacing w:line="240"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福早3号</w:t>
            </w:r>
          </w:p>
        </w:tc>
        <w:tc>
          <w:tcPr>
            <w:tcW w:w="961" w:type="pct"/>
          </w:tcPr>
          <w:p w14:paraId="69144F08">
            <w:pPr>
              <w:spacing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449705" cy="1179195"/>
                  <wp:effectExtent l="0" t="0" r="17145" b="1905"/>
                  <wp:docPr id="16" name="图片 16" descr="f08ce2194c4b832de7f466ced90c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08ce2194c4b832de7f466ced90cf20"/>
                          <pic:cNvPicPr>
                            <a:picLocks noChangeAspect="1"/>
                          </pic:cNvPicPr>
                        </pic:nvPicPr>
                        <pic:blipFill>
                          <a:blip r:embed="rId14"/>
                          <a:srcRect t="32118" b="6897"/>
                          <a:stretch>
                            <a:fillRect/>
                          </a:stretch>
                        </pic:blipFill>
                        <pic:spPr>
                          <a:xfrm>
                            <a:off x="0" y="0"/>
                            <a:ext cx="1449705" cy="1179195"/>
                          </a:xfrm>
                          <a:prstGeom prst="rect">
                            <a:avLst/>
                          </a:prstGeom>
                        </pic:spPr>
                      </pic:pic>
                    </a:graphicData>
                  </a:graphic>
                </wp:inline>
              </w:drawing>
            </w:r>
          </w:p>
        </w:tc>
        <w:tc>
          <w:tcPr>
            <w:tcW w:w="520" w:type="pct"/>
            <w:vAlign w:val="center"/>
          </w:tcPr>
          <w:p w14:paraId="4EB37FC3">
            <w:pPr>
              <w:spacing w:line="240" w:lineRule="auto"/>
              <w:jc w:val="center"/>
              <w:rPr>
                <w:rFonts w:hint="eastAsia" w:ascii="宋体" w:hAnsi="宋体" w:cs="宋体"/>
                <w:sz w:val="18"/>
                <w:szCs w:val="18"/>
              </w:rPr>
            </w:pPr>
            <w:r>
              <w:rPr>
                <w:rFonts w:hint="eastAsia" w:ascii="宋体" w:hAnsi="宋体" w:cs="宋体"/>
                <w:sz w:val="18"/>
                <w:szCs w:val="18"/>
              </w:rPr>
              <w:t>近圆形</w:t>
            </w:r>
          </w:p>
        </w:tc>
        <w:tc>
          <w:tcPr>
            <w:tcW w:w="501" w:type="pct"/>
            <w:vAlign w:val="center"/>
          </w:tcPr>
          <w:p w14:paraId="53A931EB">
            <w:pPr>
              <w:spacing w:line="240" w:lineRule="auto"/>
              <w:jc w:val="center"/>
              <w:rPr>
                <w:rFonts w:hint="eastAsia" w:ascii="宋体" w:hAnsi="宋体" w:cs="宋体"/>
                <w:sz w:val="18"/>
                <w:szCs w:val="18"/>
              </w:rPr>
            </w:pPr>
            <w:r>
              <w:rPr>
                <w:rFonts w:hint="eastAsia" w:ascii="宋体" w:hAnsi="宋体" w:cs="宋体"/>
                <w:sz w:val="18"/>
                <w:szCs w:val="18"/>
              </w:rPr>
              <w:t>黄褐色</w:t>
            </w:r>
          </w:p>
        </w:tc>
        <w:tc>
          <w:tcPr>
            <w:tcW w:w="403" w:type="pct"/>
            <w:shd w:val="clear" w:color="auto" w:fill="auto"/>
            <w:vAlign w:val="center"/>
          </w:tcPr>
          <w:p w14:paraId="57506205">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稍突起</w:t>
            </w:r>
          </w:p>
        </w:tc>
        <w:tc>
          <w:tcPr>
            <w:tcW w:w="441" w:type="pct"/>
            <w:shd w:val="clear" w:color="auto" w:fill="auto"/>
            <w:vAlign w:val="center"/>
          </w:tcPr>
          <w:p w14:paraId="7CA343A1">
            <w:pPr>
              <w:spacing w:line="24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浑圆</w:t>
            </w:r>
          </w:p>
        </w:tc>
        <w:tc>
          <w:tcPr>
            <w:tcW w:w="436" w:type="pct"/>
            <w:vAlign w:val="center"/>
          </w:tcPr>
          <w:p w14:paraId="602F7B05">
            <w:pPr>
              <w:spacing w:line="240" w:lineRule="auto"/>
              <w:jc w:val="left"/>
              <w:rPr>
                <w:rFonts w:hint="eastAsia" w:ascii="宋体" w:hAnsi="宋体" w:cs="宋体"/>
                <w:sz w:val="18"/>
                <w:szCs w:val="18"/>
              </w:rPr>
            </w:pPr>
            <w:r>
              <w:rPr>
                <w:rFonts w:hint="eastAsia" w:ascii="宋体" w:hAnsi="宋体" w:cs="宋体"/>
                <w:sz w:val="18"/>
                <w:szCs w:val="18"/>
              </w:rPr>
              <w:t>较明显</w:t>
            </w:r>
          </w:p>
        </w:tc>
        <w:tc>
          <w:tcPr>
            <w:tcW w:w="355" w:type="pct"/>
            <w:vAlign w:val="center"/>
          </w:tcPr>
          <w:p w14:paraId="5137D949">
            <w:pPr>
              <w:spacing w:line="240" w:lineRule="auto"/>
              <w:jc w:val="center"/>
              <w:rPr>
                <w:rFonts w:hint="eastAsia" w:ascii="宋体" w:hAnsi="宋体" w:cs="宋体"/>
                <w:sz w:val="18"/>
                <w:szCs w:val="18"/>
              </w:rPr>
            </w:pPr>
            <w:r>
              <w:rPr>
                <w:rFonts w:hint="eastAsia" w:ascii="宋体" w:hAnsi="宋体" w:cs="宋体"/>
                <w:sz w:val="18"/>
                <w:szCs w:val="18"/>
              </w:rPr>
              <w:t>淡黄白色</w:t>
            </w:r>
          </w:p>
        </w:tc>
        <w:tc>
          <w:tcPr>
            <w:tcW w:w="403" w:type="pct"/>
            <w:vAlign w:val="center"/>
          </w:tcPr>
          <w:p w14:paraId="7522B999">
            <w:pPr>
              <w:spacing w:line="240" w:lineRule="auto"/>
              <w:jc w:val="center"/>
              <w:rPr>
                <w:rFonts w:hint="eastAsia" w:ascii="宋体" w:hAnsi="宋体" w:cs="宋体"/>
                <w:sz w:val="18"/>
                <w:szCs w:val="18"/>
              </w:rPr>
            </w:pPr>
            <w:r>
              <w:rPr>
                <w:rFonts w:hint="eastAsia" w:ascii="宋体" w:hAnsi="宋体" w:cs="宋体"/>
                <w:sz w:val="18"/>
                <w:szCs w:val="18"/>
              </w:rPr>
              <w:t>爽脆化渣</w:t>
            </w:r>
          </w:p>
        </w:tc>
        <w:tc>
          <w:tcPr>
            <w:tcW w:w="315" w:type="pct"/>
            <w:vAlign w:val="center"/>
          </w:tcPr>
          <w:p w14:paraId="7740F5D9">
            <w:pPr>
              <w:spacing w:line="240" w:lineRule="auto"/>
              <w:jc w:val="center"/>
              <w:rPr>
                <w:rFonts w:hint="eastAsia" w:ascii="宋体" w:hAnsi="宋体" w:eastAsia="宋体" w:cs="宋体"/>
                <w:sz w:val="18"/>
                <w:szCs w:val="18"/>
                <w:lang w:eastAsia="zh-CN"/>
              </w:rPr>
            </w:pPr>
            <w:r>
              <w:rPr>
                <w:rFonts w:hint="eastAsia" w:ascii="宋体" w:hAnsi="宋体" w:cs="宋体"/>
                <w:sz w:val="18"/>
                <w:szCs w:val="18"/>
              </w:rPr>
              <w:t>浓甜带</w:t>
            </w:r>
            <w:r>
              <w:rPr>
                <w:rFonts w:hint="eastAsia" w:ascii="宋体" w:hAnsi="宋体" w:cs="宋体"/>
                <w:sz w:val="18"/>
                <w:szCs w:val="18"/>
                <w:lang w:val="en-US" w:eastAsia="zh-CN"/>
              </w:rPr>
              <w:t>香</w:t>
            </w:r>
          </w:p>
        </w:tc>
        <w:tc>
          <w:tcPr>
            <w:tcW w:w="245" w:type="pct"/>
            <w:vAlign w:val="center"/>
          </w:tcPr>
          <w:p w14:paraId="76563AD8">
            <w:pPr>
              <w:spacing w:line="240" w:lineRule="auto"/>
              <w:jc w:val="center"/>
              <w:rPr>
                <w:rFonts w:hint="eastAsia" w:ascii="宋体" w:hAnsi="宋体" w:cs="宋体"/>
                <w:sz w:val="18"/>
                <w:szCs w:val="18"/>
              </w:rPr>
            </w:pPr>
            <w:r>
              <w:rPr>
                <w:rFonts w:hint="eastAsia" w:ascii="宋体" w:hAnsi="宋体" w:cs="宋体"/>
                <w:sz w:val="18"/>
                <w:szCs w:val="18"/>
              </w:rPr>
              <w:t>较小</w:t>
            </w:r>
          </w:p>
        </w:tc>
      </w:tr>
    </w:tbl>
    <w:p w14:paraId="4F1358F6">
      <w:pPr>
        <w:pStyle w:val="7"/>
        <w:ind w:left="0" w:leftChars="0" w:right="1470" w:firstLine="0" w:firstLineChars="0"/>
        <w:rPr>
          <w:lang w:bidi="ar"/>
        </w:rPr>
      </w:pPr>
    </w:p>
    <w:p w14:paraId="56D49C95">
      <w:pPr>
        <w:pStyle w:val="7"/>
        <w:ind w:left="1470" w:right="1470"/>
        <w:rPr>
          <w:lang w:bidi="ar"/>
        </w:rPr>
      </w:pPr>
    </w:p>
    <w:p w14:paraId="38943B54">
      <w:pPr>
        <w:rPr>
          <w:rFonts w:hint="eastAsia"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br w:type="page"/>
      </w:r>
    </w:p>
    <w:p w14:paraId="3F476B94">
      <w:pPr>
        <w:pStyle w:val="5"/>
        <w:tabs>
          <w:tab w:val="left" w:pos="435"/>
        </w:tabs>
        <w:spacing w:before="36" w:line="360" w:lineRule="auto"/>
        <w:ind w:right="3985"/>
        <w:rPr>
          <w:rFonts w:hint="eastAsia" w:ascii="Times New Roman" w:hAnsi="Times New Roman" w:cs="Times New Roman" w:eastAsiaTheme="minorEastAsia"/>
          <w:b/>
          <w:bCs/>
          <w:kern w:val="0"/>
          <w:lang w:bidi="ar"/>
        </w:rPr>
        <w:sectPr>
          <w:pgSz w:w="16838" w:h="11906" w:orient="landscape"/>
          <w:pgMar w:top="1800" w:right="1440" w:bottom="1800" w:left="1440" w:header="851" w:footer="992" w:gutter="0"/>
          <w:cols w:space="425" w:num="1"/>
          <w:docGrid w:type="lines" w:linePitch="312" w:charSpace="0"/>
        </w:sectPr>
      </w:pPr>
    </w:p>
    <w:p w14:paraId="2627F247">
      <w:pPr>
        <w:pStyle w:val="5"/>
        <w:tabs>
          <w:tab w:val="left" w:pos="435"/>
        </w:tabs>
        <w:spacing w:before="36" w:line="360" w:lineRule="auto"/>
        <w:ind w:right="3985"/>
        <w:rPr>
          <w:rFonts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t>（4）</w:t>
      </w:r>
      <w:r>
        <w:rPr>
          <w:rFonts w:ascii="Times New Roman" w:hAnsi="Times New Roman" w:cs="Times New Roman" w:eastAsiaTheme="minorEastAsia"/>
          <w:b/>
          <w:bCs/>
          <w:kern w:val="0"/>
          <w:lang w:bidi="ar"/>
        </w:rPr>
        <w:t>种苗</w:t>
      </w:r>
    </w:p>
    <w:p w14:paraId="760B87DE">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本标准中种苗技术指标要求主要参照了行业标准《</w:t>
      </w:r>
      <w:r>
        <w:rPr>
          <w:rFonts w:hint="eastAsia" w:ascii="Times New Roman" w:hAnsi="Times New Roman" w:cs="Times New Roman"/>
          <w:kern w:val="0"/>
          <w:sz w:val="28"/>
          <w:szCs w:val="28"/>
          <w:lang w:bidi="ar"/>
        </w:rPr>
        <w:t xml:space="preserve">NY/T 1472 </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龙眼 种苗</w:t>
      </w:r>
      <w:r>
        <w:rPr>
          <w:rFonts w:ascii="Times New Roman" w:hAnsi="Times New Roman" w:cs="Times New Roman"/>
          <w:kern w:val="0"/>
          <w:sz w:val="28"/>
          <w:szCs w:val="28"/>
          <w:lang w:bidi="ar"/>
        </w:rPr>
        <w:t>》。目前</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种苗主要以</w:t>
      </w:r>
      <w:r>
        <w:rPr>
          <w:rFonts w:hint="eastAsia" w:ascii="Times New Roman" w:hAnsi="Times New Roman" w:cs="Times New Roman"/>
          <w:kern w:val="0"/>
          <w:sz w:val="28"/>
          <w:szCs w:val="28"/>
          <w:lang w:bidi="ar"/>
        </w:rPr>
        <w:t>嫁接苗</w:t>
      </w:r>
      <w:r>
        <w:rPr>
          <w:rFonts w:ascii="Times New Roman" w:hAnsi="Times New Roman" w:cs="Times New Roman"/>
          <w:kern w:val="0"/>
          <w:sz w:val="28"/>
          <w:szCs w:val="28"/>
          <w:lang w:bidi="ar"/>
        </w:rPr>
        <w:t>为主。</w:t>
      </w:r>
    </w:p>
    <w:p w14:paraId="75384313">
      <w:pPr>
        <w:pStyle w:val="5"/>
        <w:tabs>
          <w:tab w:val="left" w:pos="435"/>
        </w:tabs>
        <w:spacing w:before="36" w:line="360" w:lineRule="auto"/>
        <w:ind w:right="3985"/>
        <w:rPr>
          <w:rFonts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t>（5）</w:t>
      </w:r>
      <w:r>
        <w:rPr>
          <w:rFonts w:ascii="Times New Roman" w:hAnsi="Times New Roman" w:cs="Times New Roman" w:eastAsiaTheme="minorEastAsia"/>
          <w:b/>
          <w:bCs/>
          <w:kern w:val="0"/>
          <w:lang w:bidi="ar"/>
        </w:rPr>
        <w:t>果园建立</w:t>
      </w:r>
    </w:p>
    <w:p w14:paraId="7DA462E3">
      <w:pPr>
        <w:pStyle w:val="5"/>
        <w:tabs>
          <w:tab w:val="left" w:pos="435"/>
        </w:tabs>
        <w:spacing w:before="36" w:line="360" w:lineRule="auto"/>
        <w:ind w:right="-94" w:firstLine="560" w:firstLineChars="200"/>
        <w:rPr>
          <w:rFonts w:ascii="Times New Roman" w:hAnsi="Times New Roman" w:cs="Times New Roman" w:eastAsiaTheme="minorEastAsia"/>
        </w:rPr>
      </w:pPr>
      <w:r>
        <w:rPr>
          <w:rFonts w:hint="eastAsia" w:ascii="Times New Roman" w:hAnsi="Times New Roman" w:cs="Times New Roman" w:eastAsiaTheme="minorEastAsia"/>
        </w:rPr>
        <w:t>结合</w:t>
      </w:r>
      <w:r>
        <w:rPr>
          <w:rFonts w:ascii="Times New Roman" w:hAnsi="Times New Roman" w:cs="Times New Roman" w:eastAsiaTheme="minorEastAsia"/>
          <w:kern w:val="0"/>
          <w:lang w:bidi="ar"/>
        </w:rPr>
        <w:t>海南</w:t>
      </w:r>
      <w:r>
        <w:rPr>
          <w:rFonts w:hint="eastAsia" w:ascii="Times New Roman" w:hAnsi="Times New Roman" w:cs="Times New Roman" w:eastAsiaTheme="minorEastAsia"/>
          <w:kern w:val="0"/>
          <w:lang w:eastAsia="zh-CN" w:bidi="ar"/>
        </w:rPr>
        <w:t>龙眼</w:t>
      </w:r>
      <w:r>
        <w:rPr>
          <w:rFonts w:ascii="Times New Roman" w:hAnsi="Times New Roman" w:cs="Times New Roman" w:eastAsiaTheme="minorEastAsia"/>
          <w:kern w:val="0"/>
          <w:lang w:bidi="ar"/>
        </w:rPr>
        <w:t>果园建园情况调查，</w:t>
      </w:r>
      <w:r>
        <w:rPr>
          <w:rFonts w:hint="eastAsia" w:ascii="Times New Roman" w:hAnsi="Times New Roman" w:cs="Times New Roman" w:eastAsiaTheme="minorEastAsia"/>
          <w:kern w:val="0"/>
          <w:lang w:bidi="ar"/>
        </w:rPr>
        <w:t>制定了园地规划、园地准备、种苗处理、定植规格和密度、定植时期和定植</w:t>
      </w:r>
      <w:r>
        <w:rPr>
          <w:rFonts w:hint="eastAsia" w:ascii="Times New Roman" w:hAnsi="Times New Roman" w:cs="Times New Roman" w:eastAsiaTheme="minorEastAsia"/>
        </w:rPr>
        <w:t>方法的要求；并按照</w:t>
      </w:r>
      <w:r>
        <w:rPr>
          <w:rFonts w:hint="eastAsia" w:ascii="Times New Roman" w:hAnsi="Times New Roman" w:cs="Times New Roman"/>
          <w:kern w:val="0"/>
          <w:sz w:val="28"/>
          <w:szCs w:val="28"/>
          <w:lang w:bidi="ar"/>
        </w:rPr>
        <w:t>NY/T 1472</w:t>
      </w:r>
      <w:r>
        <w:rPr>
          <w:rFonts w:hint="eastAsia" w:ascii="Times New Roman" w:hAnsi="Times New Roman" w:cs="Times New Roman" w:eastAsiaTheme="minorEastAsia"/>
        </w:rPr>
        <w:t>的规定进行种苗选择。</w:t>
      </w:r>
    </w:p>
    <w:p w14:paraId="5BEC9ACD">
      <w:pPr>
        <w:widowControl/>
        <w:spacing w:line="360" w:lineRule="auto"/>
        <w:jc w:val="center"/>
        <w:rPr>
          <w:rFonts w:ascii="Times New Roman" w:hAnsi="Times New Roman" w:cs="Times New Roman"/>
          <w:b/>
          <w:bCs/>
          <w:kern w:val="0"/>
          <w:sz w:val="24"/>
          <w:lang w:bidi="ar"/>
        </w:rPr>
      </w:pPr>
      <w:r>
        <w:rPr>
          <w:rFonts w:hint="eastAsia" w:ascii="Times New Roman" w:hAnsi="Times New Roman" w:cs="Times New Roman"/>
          <w:b/>
          <w:bCs/>
          <w:kern w:val="0"/>
          <w:sz w:val="24"/>
          <w:lang w:bidi="ar"/>
        </w:rPr>
        <w:t>表</w:t>
      </w:r>
      <w:r>
        <w:rPr>
          <w:rFonts w:hint="eastAsia" w:ascii="Times New Roman" w:hAnsi="Times New Roman" w:cs="Times New Roman"/>
          <w:b/>
          <w:bCs/>
          <w:kern w:val="0"/>
          <w:sz w:val="24"/>
          <w:lang w:val="en-US" w:eastAsia="zh-CN" w:bidi="ar"/>
        </w:rPr>
        <w:t>4</w:t>
      </w:r>
      <w:r>
        <w:rPr>
          <w:rFonts w:ascii="Times New Roman" w:hAnsi="Times New Roman" w:cs="Times New Roman"/>
          <w:b/>
          <w:bCs/>
          <w:kern w:val="0"/>
          <w:sz w:val="24"/>
          <w:lang w:bidi="ar"/>
        </w:rPr>
        <w:t xml:space="preserve">  </w:t>
      </w:r>
      <w:r>
        <w:rPr>
          <w:rFonts w:hint="eastAsia" w:ascii="Times New Roman" w:hAnsi="Times New Roman" w:cs="Times New Roman"/>
          <w:b/>
          <w:bCs/>
          <w:kern w:val="0"/>
          <w:sz w:val="24"/>
          <w:lang w:eastAsia="zh-CN" w:bidi="ar"/>
        </w:rPr>
        <w:t>龙眼</w:t>
      </w:r>
      <w:r>
        <w:rPr>
          <w:rFonts w:hint="eastAsia" w:ascii="Times New Roman" w:hAnsi="Times New Roman" w:cs="Times New Roman"/>
          <w:b/>
          <w:bCs/>
          <w:kern w:val="0"/>
          <w:sz w:val="24"/>
          <w:lang w:bidi="ar"/>
        </w:rPr>
        <w:t>定植规格</w:t>
      </w:r>
    </w:p>
    <w:tbl>
      <w:tblPr>
        <w:tblStyle w:val="14"/>
        <w:tblW w:w="8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758"/>
        <w:gridCol w:w="2779"/>
        <w:gridCol w:w="2789"/>
      </w:tblGrid>
      <w:tr w14:paraId="50DA1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758" w:type="dxa"/>
            <w:tcBorders>
              <w:top w:val="single" w:color="auto" w:sz="8" w:space="0"/>
              <w:bottom w:val="single" w:color="auto" w:sz="8" w:space="0"/>
            </w:tcBorders>
            <w:shd w:val="clear" w:color="auto" w:fill="auto"/>
            <w:vAlign w:val="center"/>
          </w:tcPr>
          <w:p w14:paraId="46C91BB0">
            <w:pPr>
              <w:pStyle w:val="42"/>
            </w:pPr>
            <w:r>
              <w:rPr>
                <w:rFonts w:hint="eastAsia"/>
              </w:rPr>
              <w:t>地区</w:t>
            </w:r>
          </w:p>
        </w:tc>
        <w:tc>
          <w:tcPr>
            <w:tcW w:w="2779" w:type="dxa"/>
            <w:tcBorders>
              <w:top w:val="single" w:color="auto" w:sz="8" w:space="0"/>
              <w:bottom w:val="single" w:color="auto" w:sz="8" w:space="0"/>
            </w:tcBorders>
            <w:shd w:val="clear" w:color="auto" w:fill="auto"/>
            <w:vAlign w:val="center"/>
          </w:tcPr>
          <w:p w14:paraId="1230495B">
            <w:pPr>
              <w:pStyle w:val="42"/>
            </w:pPr>
            <w:r>
              <w:rPr>
                <w:rFonts w:hint="eastAsia"/>
              </w:rPr>
              <w:t>规格，m</w:t>
            </w:r>
          </w:p>
        </w:tc>
        <w:tc>
          <w:tcPr>
            <w:tcW w:w="2789" w:type="dxa"/>
            <w:tcBorders>
              <w:top w:val="single" w:color="auto" w:sz="8" w:space="0"/>
              <w:bottom w:val="single" w:color="auto" w:sz="8" w:space="0"/>
            </w:tcBorders>
            <w:shd w:val="clear" w:color="auto" w:fill="auto"/>
            <w:vAlign w:val="center"/>
          </w:tcPr>
          <w:p w14:paraId="31C70F15">
            <w:pPr>
              <w:pStyle w:val="42"/>
            </w:pPr>
            <w:r>
              <w:rPr>
                <w:rFonts w:hint="eastAsia"/>
              </w:rPr>
              <w:t>密度，株/亩</w:t>
            </w:r>
          </w:p>
        </w:tc>
      </w:tr>
      <w:tr w14:paraId="2385B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758" w:type="dxa"/>
            <w:tcBorders>
              <w:top w:val="single" w:color="auto" w:sz="8" w:space="0"/>
            </w:tcBorders>
            <w:shd w:val="clear" w:color="auto" w:fill="auto"/>
            <w:vAlign w:val="center"/>
          </w:tcPr>
          <w:p w14:paraId="5ED5A5FE">
            <w:pPr>
              <w:pStyle w:val="42"/>
            </w:pPr>
            <w:r>
              <w:rPr>
                <w:rFonts w:hint="eastAsia"/>
              </w:rPr>
              <w:t>海南全岛</w:t>
            </w:r>
          </w:p>
        </w:tc>
        <w:tc>
          <w:tcPr>
            <w:tcW w:w="2779" w:type="dxa"/>
            <w:tcBorders>
              <w:top w:val="single" w:color="auto" w:sz="8" w:space="0"/>
            </w:tcBorders>
            <w:shd w:val="clear" w:color="auto" w:fill="auto"/>
            <w:vAlign w:val="center"/>
          </w:tcPr>
          <w:p w14:paraId="105DC6BF">
            <w:pPr>
              <w:pStyle w:val="23"/>
              <w:ind w:firstLine="0" w:firstLineChars="0"/>
              <w:jc w:val="center"/>
              <w:rPr>
                <w:rFonts w:hint="eastAsia" w:hAnsi="宋体" w:eastAsia="宋体"/>
                <w:dstrike/>
                <w:sz w:val="18"/>
                <w:szCs w:val="18"/>
                <w:lang w:eastAsia="zh-CN"/>
              </w:rPr>
            </w:pPr>
            <w:r>
              <w:rPr>
                <w:rFonts w:hint="eastAsia" w:hAnsi="宋体"/>
                <w:sz w:val="18"/>
                <w:szCs w:val="18"/>
              </w:rPr>
              <w:t>株距</w:t>
            </w:r>
            <w:r>
              <w:rPr>
                <w:rFonts w:hint="eastAsia" w:hAnsi="宋体"/>
                <w:sz w:val="18"/>
                <w:szCs w:val="18"/>
                <w:lang w:val="en-US" w:eastAsia="zh-CN"/>
              </w:rPr>
              <w:t>5</w:t>
            </w:r>
          </w:p>
          <w:p w14:paraId="2EC38DAD">
            <w:pPr>
              <w:pStyle w:val="23"/>
              <w:ind w:firstLine="0" w:firstLineChars="0"/>
              <w:jc w:val="center"/>
              <w:rPr>
                <w:rFonts w:hint="default"/>
                <w:lang w:val="en-US"/>
              </w:rPr>
            </w:pPr>
            <w:r>
              <w:rPr>
                <w:rFonts w:hint="eastAsia" w:hAnsi="宋体"/>
                <w:sz w:val="18"/>
                <w:szCs w:val="18"/>
              </w:rPr>
              <w:t>行距</w:t>
            </w:r>
            <w:r>
              <w:rPr>
                <w:rFonts w:hint="eastAsia" w:hAnsi="宋体"/>
                <w:sz w:val="18"/>
                <w:szCs w:val="18"/>
                <w:lang w:val="en-US" w:eastAsia="zh-CN"/>
              </w:rPr>
              <w:t xml:space="preserve"> 10</w:t>
            </w:r>
          </w:p>
        </w:tc>
        <w:tc>
          <w:tcPr>
            <w:tcW w:w="2789" w:type="dxa"/>
            <w:tcBorders>
              <w:top w:val="single" w:color="auto" w:sz="8" w:space="0"/>
            </w:tcBorders>
            <w:shd w:val="clear" w:color="auto" w:fill="auto"/>
            <w:vAlign w:val="center"/>
          </w:tcPr>
          <w:p w14:paraId="4376EDDE">
            <w:pPr>
              <w:pStyle w:val="42"/>
              <w:rPr>
                <w:rFonts w:hint="default" w:eastAsia="宋体"/>
                <w:lang w:val="en-US" w:eastAsia="zh-CN"/>
              </w:rPr>
            </w:pPr>
            <w:r>
              <w:rPr>
                <w:rFonts w:hint="eastAsia"/>
                <w:lang w:val="en-US" w:eastAsia="zh-CN"/>
              </w:rPr>
              <w:t>10</w:t>
            </w:r>
            <w:r>
              <w:rPr>
                <w:rFonts w:hint="eastAsia" w:hAnsi="宋体"/>
                <w:sz w:val="18"/>
                <w:szCs w:val="18"/>
              </w:rPr>
              <w:t>～</w:t>
            </w:r>
            <w:r>
              <w:rPr>
                <w:rFonts w:hint="eastAsia"/>
                <w:lang w:val="en-US" w:eastAsia="zh-CN"/>
              </w:rPr>
              <w:t>14</w:t>
            </w:r>
          </w:p>
        </w:tc>
      </w:tr>
      <w:tr w14:paraId="1949D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26" w:type="dxa"/>
            <w:gridSpan w:val="3"/>
            <w:tcBorders>
              <w:top w:val="single" w:color="auto" w:sz="8" w:space="0"/>
              <w:bottom w:val="single" w:color="auto" w:sz="8" w:space="0"/>
            </w:tcBorders>
            <w:shd w:val="clear" w:color="auto" w:fill="auto"/>
            <w:vAlign w:val="center"/>
          </w:tcPr>
          <w:p w14:paraId="7B556B28">
            <w:pPr>
              <w:pStyle w:val="47"/>
            </w:pPr>
            <w:r>
              <w:rPr>
                <w:rFonts w:hint="eastAsia"/>
                <w:lang w:val="en-US" w:eastAsia="zh-CN"/>
              </w:rPr>
              <w:t>石硖龙眼</w:t>
            </w:r>
            <w:r>
              <w:rPr>
                <w:rFonts w:hint="eastAsia"/>
              </w:rPr>
              <w:t>可适当密植。</w:t>
            </w:r>
          </w:p>
        </w:tc>
      </w:tr>
    </w:tbl>
    <w:p w14:paraId="1B5D00A4">
      <w:pPr>
        <w:pStyle w:val="5"/>
        <w:tabs>
          <w:tab w:val="left" w:pos="435"/>
        </w:tabs>
        <w:spacing w:before="36" w:line="360" w:lineRule="auto"/>
        <w:ind w:right="3985"/>
        <w:rPr>
          <w:rFonts w:ascii="Times New Roman" w:eastAsiaTheme="minorEastAsia"/>
          <w:b/>
          <w:bCs/>
        </w:rPr>
      </w:pPr>
      <w:r>
        <w:rPr>
          <w:rFonts w:hint="eastAsia" w:ascii="Times New Roman" w:eastAsiaTheme="minorEastAsia"/>
          <w:b/>
          <w:bCs/>
        </w:rPr>
        <w:t>（6）</w:t>
      </w:r>
      <w:r>
        <w:rPr>
          <w:rFonts w:hint="eastAsia" w:ascii="Times New Roman" w:hAnsi="Times New Roman" w:cs="Times New Roman" w:eastAsiaTheme="minorEastAsia"/>
          <w:b/>
          <w:bCs/>
          <w:kern w:val="0"/>
          <w:lang w:bidi="ar"/>
        </w:rPr>
        <w:t>田间管理</w:t>
      </w:r>
    </w:p>
    <w:p w14:paraId="42E3C412">
      <w:pPr>
        <w:pStyle w:val="18"/>
        <w:ind w:firstLine="42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本标准田间管理指标主要包括：</w:t>
      </w:r>
      <w:r>
        <w:rPr>
          <w:rFonts w:hint="eastAsia" w:ascii="Times New Roman" w:hAnsi="Times New Roman" w:cs="Times New Roman"/>
          <w:kern w:val="0"/>
          <w:sz w:val="28"/>
          <w:szCs w:val="28"/>
          <w:lang w:bidi="ar"/>
        </w:rPr>
        <w:t>查苗补苗、</w:t>
      </w:r>
      <w:r>
        <w:rPr>
          <w:rFonts w:ascii="Times New Roman" w:hAnsi="Times New Roman" w:cs="Times New Roman"/>
          <w:kern w:val="0"/>
          <w:sz w:val="28"/>
          <w:szCs w:val="28"/>
          <w:lang w:bidi="ar"/>
        </w:rPr>
        <w:t>土壤管理、</w:t>
      </w:r>
      <w:r>
        <w:rPr>
          <w:rFonts w:hint="eastAsia" w:ascii="Times New Roman" w:hAnsi="Times New Roman" w:cs="Times New Roman"/>
          <w:kern w:val="0"/>
          <w:sz w:val="28"/>
          <w:szCs w:val="28"/>
          <w:lang w:bidi="ar"/>
        </w:rPr>
        <w:t>施肥管理</w:t>
      </w:r>
      <w:r>
        <w:rPr>
          <w:rFonts w:hint="eastAsia" w:ascii="Times New Roman" w:hAnsi="Times New Roman" w:cs="Times New Roman"/>
          <w:kern w:val="0"/>
          <w:sz w:val="28"/>
          <w:szCs w:val="28"/>
          <w:lang w:eastAsia="zh-CN" w:bidi="ar"/>
        </w:rPr>
        <w:t>、</w:t>
      </w:r>
      <w:r>
        <w:rPr>
          <w:rFonts w:ascii="Times New Roman" w:hAnsi="Times New Roman" w:cs="Times New Roman"/>
          <w:kern w:val="0"/>
          <w:sz w:val="28"/>
          <w:szCs w:val="28"/>
          <w:lang w:bidi="ar"/>
        </w:rPr>
        <w:t>水分管理、</w:t>
      </w:r>
      <w:r>
        <w:rPr>
          <w:rFonts w:hint="eastAsia" w:ascii="Times New Roman" w:hAnsi="Times New Roman" w:cs="Times New Roman"/>
          <w:kern w:val="0"/>
          <w:sz w:val="28"/>
          <w:szCs w:val="28"/>
          <w:lang w:bidi="ar"/>
        </w:rPr>
        <w:t>整形修剪</w:t>
      </w:r>
      <w:r>
        <w:rPr>
          <w:rFonts w:ascii="Times New Roman" w:hAnsi="Times New Roman" w:cs="Times New Roman"/>
          <w:kern w:val="0"/>
          <w:sz w:val="28"/>
          <w:szCs w:val="28"/>
          <w:lang w:bidi="ar"/>
        </w:rPr>
        <w:t>等内容，主要基于标准起草单位、</w:t>
      </w:r>
      <w:r>
        <w:rPr>
          <w:rFonts w:hint="eastAsia" w:ascii="Times New Roman" w:hAnsi="Times New Roman" w:cs="Times New Roman"/>
          <w:kern w:val="0"/>
          <w:sz w:val="28"/>
          <w:szCs w:val="28"/>
          <w:lang w:val="en-US" w:eastAsia="zh-CN" w:bidi="ar"/>
        </w:rPr>
        <w:t>技术推广部门</w:t>
      </w:r>
      <w:r>
        <w:rPr>
          <w:rFonts w:ascii="Times New Roman" w:hAnsi="Times New Roman" w:cs="Times New Roman"/>
          <w:kern w:val="0"/>
          <w:sz w:val="28"/>
          <w:szCs w:val="28"/>
          <w:lang w:bidi="ar"/>
        </w:rPr>
        <w:t>以及</w:t>
      </w:r>
      <w:r>
        <w:rPr>
          <w:rFonts w:hint="eastAsia" w:ascii="Times New Roman" w:cs="Times New Roman"/>
          <w:kern w:val="0"/>
          <w:sz w:val="28"/>
          <w:szCs w:val="28"/>
          <w:lang w:eastAsia="zh-CN" w:bidi="ar"/>
        </w:rPr>
        <w:t>龙眼</w:t>
      </w:r>
      <w:r>
        <w:rPr>
          <w:rFonts w:ascii="Times New Roman" w:hAnsi="Times New Roman" w:cs="Times New Roman"/>
          <w:kern w:val="0"/>
          <w:sz w:val="28"/>
          <w:szCs w:val="28"/>
          <w:lang w:bidi="ar"/>
        </w:rPr>
        <w:t>种植</w:t>
      </w:r>
      <w:r>
        <w:rPr>
          <w:rFonts w:hint="eastAsia" w:ascii="Times New Roman" w:hAnsi="Times New Roman" w:cs="Times New Roman"/>
          <w:kern w:val="0"/>
          <w:sz w:val="28"/>
          <w:szCs w:val="28"/>
          <w:lang w:val="en-US" w:eastAsia="zh-CN" w:bidi="ar"/>
        </w:rPr>
        <w:t>企业</w:t>
      </w:r>
      <w:r>
        <w:rPr>
          <w:rFonts w:ascii="Times New Roman" w:hAnsi="Times New Roman" w:cs="Times New Roman"/>
          <w:kern w:val="0"/>
          <w:sz w:val="28"/>
          <w:szCs w:val="28"/>
          <w:lang w:bidi="ar"/>
        </w:rPr>
        <w:t>多年的大田试验、生产实践，</w:t>
      </w:r>
      <w:r>
        <w:rPr>
          <w:rFonts w:hint="eastAsia" w:ascii="Times New Roman" w:hAnsi="Times New Roman" w:cs="Times New Roman"/>
          <w:kern w:val="0"/>
          <w:sz w:val="28"/>
          <w:szCs w:val="28"/>
          <w:lang w:bidi="ar"/>
        </w:rPr>
        <w:t>并</w:t>
      </w:r>
      <w:r>
        <w:rPr>
          <w:rFonts w:ascii="Times New Roman" w:hAnsi="Times New Roman" w:cs="Times New Roman"/>
          <w:kern w:val="0"/>
          <w:sz w:val="28"/>
          <w:szCs w:val="28"/>
          <w:lang w:bidi="ar"/>
        </w:rPr>
        <w:t>参照了《GB/T 17419 含有机质叶面肥料》、《GB/T 17420 微量元素叶面肥料》、《NY/T 496 肥料合理使用准则 通则》</w:t>
      </w:r>
      <w:r>
        <w:rPr>
          <w:rFonts w:hint="eastAsia" w:ascii="Times New Roman" w:hAnsi="Times New Roman" w:cs="Times New Roman"/>
          <w:kern w:val="0"/>
          <w:sz w:val="28"/>
          <w:szCs w:val="28"/>
          <w:lang w:eastAsia="zh-CN" w:bidi="ar"/>
        </w:rPr>
        <w:t>、</w:t>
      </w:r>
      <w:r>
        <w:rPr>
          <w:rFonts w:ascii="Times New Roman" w:hAnsi="Times New Roman" w:cs="Times New Roman"/>
          <w:kern w:val="0"/>
          <w:sz w:val="28"/>
          <w:szCs w:val="28"/>
          <w:lang w:bidi="ar"/>
        </w:rPr>
        <w:t>《NY/T 525 有机肥料》、《NY/T 798 复合微生物肥料》标准中关于田间管理相关内容。同时，根据编制任务安排专家组对海南</w:t>
      </w:r>
      <w:r>
        <w:rPr>
          <w:rFonts w:hint="eastAsia" w:ascii="Times New Roman" w:hAnsi="Times New Roman" w:cs="Times New Roman"/>
          <w:kern w:val="0"/>
          <w:sz w:val="28"/>
          <w:szCs w:val="28"/>
          <w:lang w:bidi="ar"/>
        </w:rPr>
        <w:t>产区</w:t>
      </w:r>
      <w:r>
        <w:rPr>
          <w:rFonts w:ascii="Times New Roman" w:hAnsi="Times New Roman" w:cs="Times New Roman"/>
          <w:kern w:val="0"/>
          <w:sz w:val="28"/>
          <w:szCs w:val="28"/>
          <w:lang w:bidi="ar"/>
        </w:rPr>
        <w:t>进行施肥情况调研，掌握</w:t>
      </w:r>
      <w:r>
        <w:rPr>
          <w:rFonts w:hint="eastAsia" w:ascii="Times New Roman" w:cs="Times New Roman"/>
          <w:kern w:val="0"/>
          <w:sz w:val="28"/>
          <w:szCs w:val="28"/>
          <w:lang w:eastAsia="zh-CN" w:bidi="ar"/>
        </w:rPr>
        <w:t>龙眼</w:t>
      </w:r>
      <w:r>
        <w:rPr>
          <w:rFonts w:ascii="Times New Roman" w:hAnsi="Times New Roman" w:cs="Times New Roman"/>
          <w:kern w:val="0"/>
          <w:sz w:val="28"/>
          <w:szCs w:val="28"/>
          <w:lang w:bidi="ar"/>
        </w:rPr>
        <w:t>种植户施肥现状，制定合理的</w:t>
      </w:r>
      <w:r>
        <w:rPr>
          <w:rFonts w:hint="eastAsia" w:ascii="Times New Roman" w:cs="Times New Roman"/>
          <w:kern w:val="0"/>
          <w:sz w:val="28"/>
          <w:szCs w:val="28"/>
          <w:lang w:eastAsia="zh-CN" w:bidi="ar"/>
        </w:rPr>
        <w:t>龙眼</w:t>
      </w:r>
      <w:r>
        <w:rPr>
          <w:rFonts w:ascii="Times New Roman" w:hAnsi="Times New Roman" w:cs="Times New Roman"/>
          <w:kern w:val="0"/>
          <w:sz w:val="28"/>
          <w:szCs w:val="28"/>
          <w:lang w:bidi="ar"/>
        </w:rPr>
        <w:t>高效施肥标准，为标准的编写</w:t>
      </w:r>
      <w:r>
        <w:rPr>
          <w:rFonts w:hint="eastAsia" w:ascii="Times New Roman" w:hAnsi="Times New Roman" w:cs="Times New Roman"/>
          <w:kern w:val="0"/>
          <w:sz w:val="28"/>
          <w:szCs w:val="28"/>
          <w:lang w:bidi="ar"/>
        </w:rPr>
        <w:t>提供依据</w:t>
      </w:r>
      <w:r>
        <w:rPr>
          <w:rFonts w:ascii="Times New Roman" w:hAnsi="Times New Roman" w:cs="Times New Roman"/>
          <w:kern w:val="0"/>
          <w:sz w:val="28"/>
          <w:szCs w:val="28"/>
          <w:lang w:bidi="ar"/>
        </w:rPr>
        <w:t>。</w:t>
      </w:r>
    </w:p>
    <w:p w14:paraId="5537F2CA">
      <w:pPr>
        <w:autoSpaceDN w:val="0"/>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①查苗补苗</w:t>
      </w:r>
    </w:p>
    <w:p w14:paraId="1FD2645C">
      <w:pPr>
        <w:autoSpaceDN w:val="0"/>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定植后随时检查苗木的成活与缺苗情况，及时补苗。劣株及时换苗，将病株拔除后，对植穴进行翻晒、消毒后补苗。</w:t>
      </w:r>
    </w:p>
    <w:p w14:paraId="586EDC30">
      <w:pPr>
        <w:autoSpaceDN w:val="0"/>
        <w:spacing w:line="360" w:lineRule="auto"/>
        <w:ind w:firstLine="560" w:firstLineChars="200"/>
        <w:rPr>
          <w:rFonts w:hint="eastAsia" w:ascii="Times New Roman" w:hAnsi="Times New Roman" w:cs="Times New Roman"/>
          <w:kern w:val="0"/>
          <w:sz w:val="28"/>
          <w:szCs w:val="28"/>
          <w:lang w:bidi="ar"/>
        </w:rPr>
      </w:pPr>
      <w:bookmarkStart w:id="1" w:name="_Toc141030778"/>
      <w:bookmarkStart w:id="2" w:name="_Toc141283348"/>
      <w:bookmarkStart w:id="3" w:name="_Toc141287458"/>
      <w:bookmarkStart w:id="4" w:name="_Toc141025035"/>
      <w:bookmarkStart w:id="5" w:name="_Toc141025142"/>
      <w:r>
        <w:rPr>
          <w:rFonts w:hint="eastAsia" w:ascii="Times New Roman" w:hAnsi="Times New Roman" w:cs="Times New Roman"/>
          <w:kern w:val="0"/>
          <w:sz w:val="28"/>
          <w:szCs w:val="28"/>
          <w:lang w:bidi="ar"/>
        </w:rPr>
        <w:t>②</w:t>
      </w:r>
      <w:bookmarkEnd w:id="1"/>
      <w:bookmarkEnd w:id="2"/>
      <w:bookmarkEnd w:id="3"/>
      <w:bookmarkEnd w:id="4"/>
      <w:bookmarkEnd w:id="5"/>
      <w:r>
        <w:rPr>
          <w:rFonts w:hint="eastAsia" w:ascii="Times New Roman" w:hAnsi="Times New Roman" w:cs="Times New Roman"/>
          <w:kern w:val="0"/>
          <w:sz w:val="28"/>
          <w:szCs w:val="28"/>
          <w:lang w:bidi="ar"/>
        </w:rPr>
        <w:t>土壤管理</w:t>
      </w:r>
    </w:p>
    <w:p w14:paraId="21AEB3E6">
      <w:pPr>
        <w:autoSpaceDN w:val="0"/>
        <w:spacing w:line="360" w:lineRule="auto"/>
        <w:ind w:firstLine="560" w:firstLineChars="200"/>
        <w:rPr>
          <w:rFonts w:hint="eastAsia" w:ascii="Times New Roman" w:hAnsi="Times New Roman" w:cs="Times New Roman"/>
          <w:kern w:val="0"/>
          <w:sz w:val="28"/>
          <w:szCs w:val="28"/>
          <w:lang w:bidi="ar"/>
        </w:rPr>
      </w:pPr>
      <w:r>
        <w:rPr>
          <w:rFonts w:hint="eastAsia" w:ascii="Times New Roman" w:hAnsi="Times New Roman" w:cs="Times New Roman"/>
          <w:kern w:val="0"/>
          <w:sz w:val="28"/>
          <w:szCs w:val="28"/>
          <w:lang w:bidi="ar"/>
        </w:rPr>
        <w:t>幼龄树</w:t>
      </w:r>
      <w:r>
        <w:rPr>
          <w:rFonts w:hint="eastAsia" w:ascii="Times New Roman" w:hAnsi="Times New Roman" w:cs="Times New Roman"/>
          <w:kern w:val="0"/>
          <w:sz w:val="28"/>
          <w:szCs w:val="28"/>
          <w:lang w:val="en-US" w:eastAsia="zh-CN" w:bidi="ar"/>
        </w:rPr>
        <w:t>分为</w:t>
      </w:r>
      <w:r>
        <w:rPr>
          <w:rFonts w:hint="eastAsia" w:ascii="Times New Roman" w:hAnsi="Times New Roman" w:cs="Times New Roman"/>
          <w:kern w:val="0"/>
          <w:sz w:val="28"/>
          <w:szCs w:val="28"/>
          <w:lang w:bidi="ar"/>
        </w:rPr>
        <w:t>间作</w:t>
      </w:r>
      <w:r>
        <w:rPr>
          <w:rFonts w:hint="eastAsia" w:ascii="Times New Roman" w:hAnsi="Times New Roman" w:cs="Times New Roman"/>
          <w:kern w:val="0"/>
          <w:sz w:val="28"/>
          <w:szCs w:val="28"/>
          <w:lang w:eastAsia="zh-CN" w:bidi="ar"/>
        </w:rPr>
        <w:t>、</w:t>
      </w:r>
      <w:bookmarkStart w:id="6" w:name="_Toc2584"/>
      <w:bookmarkStart w:id="7" w:name="_Toc18180"/>
      <w:bookmarkStart w:id="8" w:name="_Toc19717"/>
      <w:bookmarkStart w:id="9" w:name="_Toc13745"/>
      <w:bookmarkStart w:id="10" w:name="_Toc32099"/>
      <w:bookmarkStart w:id="11" w:name="_Toc6503"/>
      <w:r>
        <w:rPr>
          <w:rFonts w:hint="eastAsia" w:ascii="Times New Roman" w:hAnsi="Times New Roman" w:cs="Times New Roman"/>
          <w:kern w:val="0"/>
          <w:sz w:val="28"/>
          <w:szCs w:val="28"/>
          <w:lang w:bidi="ar"/>
        </w:rPr>
        <w:t>树盘覆盖</w:t>
      </w:r>
      <w:bookmarkEnd w:id="6"/>
      <w:bookmarkEnd w:id="7"/>
      <w:bookmarkEnd w:id="8"/>
      <w:bookmarkEnd w:id="9"/>
      <w:bookmarkEnd w:id="10"/>
      <w:bookmarkEnd w:id="11"/>
      <w:bookmarkStart w:id="12" w:name="_Toc4279"/>
      <w:bookmarkStart w:id="13" w:name="_Toc27543"/>
      <w:bookmarkStart w:id="14" w:name="_Toc12385"/>
      <w:bookmarkStart w:id="15" w:name="_Toc24265"/>
      <w:bookmarkStart w:id="16" w:name="_Toc7791"/>
      <w:bookmarkStart w:id="17" w:name="_Toc25722"/>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bidi="ar"/>
        </w:rPr>
        <w:t>中耕除草</w:t>
      </w:r>
      <w:bookmarkEnd w:id="12"/>
      <w:bookmarkEnd w:id="13"/>
      <w:bookmarkEnd w:id="14"/>
      <w:bookmarkEnd w:id="15"/>
      <w:bookmarkEnd w:id="16"/>
      <w:bookmarkEnd w:id="17"/>
      <w:r>
        <w:rPr>
          <w:rFonts w:hint="eastAsia" w:ascii="Times New Roman" w:hAnsi="Times New Roman" w:cs="Times New Roman"/>
          <w:kern w:val="0"/>
          <w:sz w:val="28"/>
          <w:szCs w:val="28"/>
          <w:lang w:val="en-US" w:eastAsia="zh-CN" w:bidi="ar"/>
        </w:rPr>
        <w:t>管理；</w:t>
      </w:r>
      <w:r>
        <w:rPr>
          <w:rFonts w:hint="eastAsia" w:ascii="Times New Roman" w:eastAsiaTheme="minorEastAsia"/>
          <w:sz w:val="28"/>
          <w:szCs w:val="28"/>
          <w:lang w:bidi="ar"/>
        </w:rPr>
        <w:t>结果树</w:t>
      </w:r>
      <w:r>
        <w:rPr>
          <w:rFonts w:hint="eastAsia" w:ascii="Times New Roman" w:eastAsiaTheme="minorEastAsia"/>
          <w:sz w:val="28"/>
          <w:szCs w:val="28"/>
          <w:lang w:val="en-US" w:eastAsia="zh-CN" w:bidi="ar"/>
        </w:rPr>
        <w:t>需</w:t>
      </w:r>
      <w:r>
        <w:rPr>
          <w:rFonts w:hint="eastAsia" w:ascii="Times New Roman" w:eastAsiaTheme="minorEastAsia"/>
          <w:sz w:val="28"/>
          <w:szCs w:val="28"/>
          <w:lang w:bidi="ar"/>
        </w:rPr>
        <w:t>扩穴改土</w:t>
      </w:r>
      <w:r>
        <w:rPr>
          <w:rFonts w:hint="eastAsia" w:ascii="Times New Roman" w:eastAsiaTheme="minorEastAsia"/>
          <w:sz w:val="28"/>
          <w:szCs w:val="28"/>
          <w:lang w:eastAsia="zh-CN" w:bidi="ar"/>
        </w:rPr>
        <w:t>、</w:t>
      </w:r>
      <w:r>
        <w:rPr>
          <w:rFonts w:hint="eastAsia" w:ascii="Times New Roman" w:eastAsiaTheme="minorEastAsia"/>
          <w:sz w:val="28"/>
          <w:szCs w:val="28"/>
          <w:lang w:bidi="ar"/>
        </w:rPr>
        <w:t>果园生草</w:t>
      </w:r>
      <w:r>
        <w:rPr>
          <w:rFonts w:hint="eastAsia" w:ascii="Times New Roman" w:eastAsiaTheme="minorEastAsia"/>
          <w:sz w:val="28"/>
          <w:szCs w:val="28"/>
          <w:lang w:val="en-US" w:eastAsia="zh-CN" w:bidi="ar"/>
        </w:rPr>
        <w:t>栽培。</w:t>
      </w:r>
    </w:p>
    <w:p w14:paraId="30B0D36E">
      <w:pPr>
        <w:pStyle w:val="23"/>
        <w:ind w:firstLine="560"/>
        <w:rPr>
          <w:rFonts w:hint="eastAsia" w:ascii="Times New Roman" w:eastAsiaTheme="minorEastAsia"/>
          <w:sz w:val="28"/>
          <w:szCs w:val="28"/>
          <w:lang w:bidi="ar"/>
        </w:rPr>
      </w:pPr>
      <w:r>
        <w:rPr>
          <w:rFonts w:hint="eastAsia" w:ascii="Times New Roman" w:hAnsi="Times New Roman" w:cs="Times New Roman"/>
          <w:kern w:val="0"/>
          <w:sz w:val="28"/>
          <w:szCs w:val="28"/>
          <w:lang w:bidi="ar"/>
        </w:rPr>
        <w:t>③</w:t>
      </w:r>
      <w:r>
        <w:rPr>
          <w:rFonts w:hint="eastAsia" w:ascii="Times New Roman" w:eastAsiaTheme="minorEastAsia"/>
          <w:sz w:val="28"/>
          <w:szCs w:val="28"/>
          <w:lang w:bidi="ar"/>
        </w:rPr>
        <w:t>施肥管理</w:t>
      </w:r>
    </w:p>
    <w:p w14:paraId="45748883">
      <w:pPr>
        <w:pStyle w:val="23"/>
        <w:ind w:firstLine="560"/>
        <w:rPr>
          <w:rFonts w:hint="eastAsia" w:ascii="Times New Roman" w:eastAsiaTheme="minorEastAsia"/>
          <w:sz w:val="28"/>
          <w:szCs w:val="28"/>
          <w:lang w:bidi="ar"/>
        </w:rPr>
      </w:pPr>
      <w:r>
        <w:rPr>
          <w:rFonts w:hint="eastAsia" w:ascii="Times New Roman" w:eastAsiaTheme="minorEastAsia"/>
          <w:sz w:val="28"/>
          <w:szCs w:val="28"/>
          <w:lang w:bidi="ar"/>
        </w:rPr>
        <w:t>幼龄</w:t>
      </w:r>
      <w:r>
        <w:rPr>
          <w:rFonts w:hint="eastAsia" w:ascii="Times New Roman" w:eastAsiaTheme="minorEastAsia"/>
          <w:sz w:val="28"/>
          <w:szCs w:val="28"/>
          <w:lang w:eastAsia="zh-CN" w:bidi="ar"/>
        </w:rPr>
        <w:t>龙眼</w:t>
      </w:r>
      <w:r>
        <w:rPr>
          <w:rFonts w:hint="eastAsia" w:ascii="Times New Roman" w:eastAsiaTheme="minorEastAsia"/>
          <w:sz w:val="28"/>
          <w:szCs w:val="28"/>
          <w:lang w:bidi="ar"/>
        </w:rPr>
        <w:t>的施肥应遵循勤施薄施的原则，以有机肥、化肥为主，微生物肥为辅。农家肥和商品肥料种类的使用按照NY/T 496的规定执行。微生物肥料种类与使用按照NY/T 798的规定执行。</w:t>
      </w:r>
      <w:r>
        <w:rPr>
          <w:rFonts w:hint="eastAsia" w:ascii="Times New Roman" w:eastAsiaTheme="minorEastAsia"/>
          <w:sz w:val="28"/>
          <w:szCs w:val="28"/>
          <w:lang w:val="en-US" w:eastAsia="zh-CN" w:bidi="ar"/>
        </w:rPr>
        <w:t>有机</w:t>
      </w:r>
      <w:r>
        <w:rPr>
          <w:rFonts w:hint="eastAsia" w:ascii="Times New Roman" w:eastAsiaTheme="minorEastAsia"/>
          <w:sz w:val="28"/>
          <w:szCs w:val="28"/>
          <w:lang w:bidi="ar"/>
        </w:rPr>
        <w:t>肥按NY/T 525的规定执行，要堆沤充分腐熟后才能使用；定植后1个月即可以开始施肥，做到一梢两肥。</w:t>
      </w:r>
    </w:p>
    <w:p w14:paraId="1E843AA7">
      <w:pPr>
        <w:pStyle w:val="23"/>
        <w:ind w:firstLine="560"/>
        <w:rPr>
          <w:rFonts w:ascii="Times New Roman" w:eastAsiaTheme="minorEastAsia"/>
          <w:sz w:val="28"/>
          <w:szCs w:val="28"/>
          <w:lang w:bidi="ar"/>
        </w:rPr>
      </w:pPr>
      <w:r>
        <w:rPr>
          <w:rFonts w:hint="eastAsia" w:ascii="Times New Roman" w:eastAsiaTheme="minorEastAsia"/>
          <w:sz w:val="28"/>
          <w:szCs w:val="28"/>
          <w:lang w:bidi="ar"/>
        </w:rPr>
        <w:t>结果树施肥管理</w:t>
      </w:r>
      <w:r>
        <w:rPr>
          <w:rFonts w:hint="eastAsia" w:ascii="Times New Roman" w:eastAsiaTheme="minorEastAsia"/>
          <w:sz w:val="28"/>
          <w:szCs w:val="28"/>
          <w:lang w:val="en-US" w:eastAsia="zh-CN" w:bidi="ar"/>
        </w:rPr>
        <w:t>需</w:t>
      </w:r>
      <w:r>
        <w:rPr>
          <w:rFonts w:hint="eastAsia" w:ascii="Times New Roman" w:eastAsiaTheme="minorEastAsia"/>
          <w:sz w:val="28"/>
          <w:szCs w:val="28"/>
          <w:lang w:bidi="ar"/>
        </w:rPr>
        <w:t>根据土壤肥力、植株生长量和产量水平等因素确定施肥量。根据各生长时期</w:t>
      </w:r>
      <w:r>
        <w:rPr>
          <w:rFonts w:hint="eastAsia" w:ascii="Times New Roman" w:eastAsiaTheme="minorEastAsia"/>
          <w:sz w:val="28"/>
          <w:szCs w:val="28"/>
          <w:lang w:eastAsia="zh-CN" w:bidi="ar"/>
        </w:rPr>
        <w:t>龙眼</w:t>
      </w:r>
      <w:r>
        <w:rPr>
          <w:rFonts w:hint="eastAsia" w:ascii="Times New Roman" w:eastAsiaTheme="minorEastAsia"/>
          <w:sz w:val="28"/>
          <w:szCs w:val="28"/>
          <w:lang w:bidi="ar"/>
        </w:rPr>
        <w:t>长势，酌情增减用量。</w:t>
      </w:r>
    </w:p>
    <w:p w14:paraId="54786CC5">
      <w:pPr>
        <w:autoSpaceDN w:val="0"/>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④水分管理</w:t>
      </w:r>
    </w:p>
    <w:p w14:paraId="2C6D1F81">
      <w:pPr>
        <w:pStyle w:val="23"/>
        <w:ind w:firstLine="560"/>
        <w:rPr>
          <w:rFonts w:ascii="Times New Roman" w:eastAsiaTheme="minorEastAsia"/>
          <w:sz w:val="28"/>
          <w:szCs w:val="28"/>
          <w:lang w:bidi="ar"/>
        </w:rPr>
      </w:pPr>
      <w:r>
        <w:rPr>
          <w:rFonts w:hint="eastAsia" w:ascii="Times New Roman" w:eastAsiaTheme="minorEastAsia"/>
          <w:sz w:val="28"/>
          <w:szCs w:val="28"/>
          <w:lang w:bidi="ar"/>
        </w:rPr>
        <w:t>灌溉水应符合GB 5084的规定，幼龄</w:t>
      </w:r>
      <w:r>
        <w:rPr>
          <w:rFonts w:hint="eastAsia" w:ascii="Times New Roman" w:eastAsiaTheme="minorEastAsia"/>
          <w:sz w:val="28"/>
          <w:szCs w:val="28"/>
          <w:lang w:eastAsia="zh-CN" w:bidi="ar"/>
        </w:rPr>
        <w:t>龙眼</w:t>
      </w:r>
      <w:r>
        <w:rPr>
          <w:rFonts w:hint="eastAsia" w:ascii="Times New Roman" w:eastAsiaTheme="minorEastAsia"/>
          <w:sz w:val="28"/>
          <w:szCs w:val="28"/>
          <w:lang w:bidi="ar"/>
        </w:rPr>
        <w:t>定植后一周内遇干旱天气需每</w:t>
      </w:r>
      <w:r>
        <w:rPr>
          <w:rFonts w:hint="eastAsia" w:ascii="Times New Roman" w:eastAsiaTheme="minorEastAsia"/>
          <w:sz w:val="28"/>
          <w:szCs w:val="28"/>
          <w:lang w:val="en-US" w:eastAsia="zh-CN" w:bidi="ar"/>
        </w:rPr>
        <w:t>天</w:t>
      </w:r>
      <w:r>
        <w:rPr>
          <w:rFonts w:hint="eastAsia" w:ascii="Times New Roman" w:eastAsiaTheme="minorEastAsia"/>
          <w:sz w:val="28"/>
          <w:szCs w:val="28"/>
          <w:lang w:bidi="ar"/>
        </w:rPr>
        <w:t>灌水1次，保持田间持水量60%～</w:t>
      </w:r>
      <w:r>
        <w:rPr>
          <w:rFonts w:hint="eastAsia" w:ascii="Times New Roman" w:eastAsiaTheme="minorEastAsia"/>
          <w:sz w:val="28"/>
          <w:szCs w:val="28"/>
          <w:lang w:val="en-US" w:eastAsia="zh-CN" w:bidi="ar"/>
        </w:rPr>
        <w:t>75</w:t>
      </w:r>
      <w:r>
        <w:rPr>
          <w:rFonts w:hint="eastAsia" w:ascii="Times New Roman" w:eastAsiaTheme="minorEastAsia"/>
          <w:sz w:val="28"/>
          <w:szCs w:val="28"/>
          <w:lang w:bidi="ar"/>
        </w:rPr>
        <w:t>%。结果树</w:t>
      </w:r>
      <w:r>
        <w:rPr>
          <w:rFonts w:hint="eastAsia" w:ascii="Times New Roman" w:eastAsiaTheme="minorEastAsia"/>
          <w:sz w:val="28"/>
          <w:szCs w:val="28"/>
          <w:lang w:val="en-US" w:eastAsia="zh-CN" w:bidi="ar"/>
        </w:rPr>
        <w:t>宜</w:t>
      </w:r>
      <w:r>
        <w:rPr>
          <w:rFonts w:hint="eastAsia" w:ascii="Times New Roman" w:eastAsiaTheme="minorEastAsia"/>
          <w:sz w:val="28"/>
          <w:szCs w:val="28"/>
          <w:lang w:bidi="ar"/>
        </w:rPr>
        <w:t>采用水肥一体化灌水，在新梢萌动期、蟹眼期、开花期和果实膨大期，若发生干旱应及时灌水，间隔</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5</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d～7</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d</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淋灌1次，保持土壤相对含水量</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60%～80%。在控梢期和果实上糖期应减少灌水，保持土壤相对含水量在</w:t>
      </w:r>
      <w:r>
        <w:rPr>
          <w:rFonts w:hint="eastAsia" w:ascii="Times New Roman" w:eastAsiaTheme="minorEastAsia"/>
          <w:sz w:val="28"/>
          <w:szCs w:val="28"/>
          <w:lang w:val="en-US" w:eastAsia="zh-CN" w:bidi="ar"/>
        </w:rPr>
        <w:t xml:space="preserve"> </w:t>
      </w:r>
      <w:r>
        <w:rPr>
          <w:rFonts w:hint="eastAsia" w:ascii="Times New Roman" w:eastAsiaTheme="minorEastAsia"/>
          <w:sz w:val="28"/>
          <w:szCs w:val="28"/>
          <w:lang w:bidi="ar"/>
        </w:rPr>
        <w:t>40%～50%。日常及时对园地排水沟清淤，疏通排灌系统。多雨季节和台风暴雨后及时将果园积水排走</w:t>
      </w:r>
      <w:r>
        <w:rPr>
          <w:rFonts w:hint="eastAsia" w:ascii="Times New Roman" w:eastAsiaTheme="minorEastAsia"/>
          <w:sz w:val="28"/>
          <w:szCs w:val="28"/>
          <w:lang w:eastAsia="zh-CN" w:bidi="ar"/>
        </w:rPr>
        <w:t>。</w:t>
      </w:r>
      <w:r>
        <w:rPr>
          <w:rFonts w:hint="eastAsia" w:ascii="Times New Roman" w:eastAsiaTheme="minorEastAsia"/>
          <w:sz w:val="28"/>
          <w:szCs w:val="28"/>
          <w:lang w:bidi="ar"/>
        </w:rPr>
        <w:t>每年定期修缮排水沟。</w:t>
      </w:r>
    </w:p>
    <w:p w14:paraId="794AD9A8">
      <w:pPr>
        <w:pStyle w:val="23"/>
        <w:ind w:firstLine="560"/>
        <w:rPr>
          <w:rFonts w:ascii="Times New Roman" w:eastAsiaTheme="minorEastAsia"/>
          <w:sz w:val="28"/>
          <w:szCs w:val="28"/>
          <w:lang w:bidi="ar"/>
        </w:rPr>
      </w:pPr>
      <w:r>
        <w:rPr>
          <w:rFonts w:hint="eastAsia" w:ascii="Times New Roman" w:eastAsiaTheme="minorEastAsia"/>
          <w:sz w:val="28"/>
          <w:szCs w:val="28"/>
          <w:lang w:bidi="ar"/>
        </w:rPr>
        <w:t>⑤</w:t>
      </w:r>
      <w:r>
        <w:rPr>
          <w:rFonts w:hint="eastAsia" w:ascii="Times New Roman" w:hAnsi="Times New Roman" w:cs="Times New Roman"/>
          <w:kern w:val="0"/>
          <w:sz w:val="28"/>
          <w:szCs w:val="28"/>
          <w:lang w:bidi="ar"/>
        </w:rPr>
        <w:t>树体管理</w:t>
      </w:r>
    </w:p>
    <w:p w14:paraId="7216C297">
      <w:pPr>
        <w:pStyle w:val="23"/>
        <w:ind w:firstLine="560"/>
        <w:rPr>
          <w:rFonts w:ascii="Times New Roman"/>
          <w:sz w:val="28"/>
          <w:szCs w:val="28"/>
          <w:lang w:bidi="ar"/>
        </w:rPr>
      </w:pPr>
      <w:r>
        <w:rPr>
          <w:rFonts w:hint="eastAsia" w:ascii="Times New Roman"/>
          <w:sz w:val="28"/>
          <w:szCs w:val="28"/>
          <w:lang w:bidi="ar"/>
        </w:rPr>
        <w:t>根据</w:t>
      </w:r>
      <w:r>
        <w:rPr>
          <w:rFonts w:ascii="Times New Roman"/>
          <w:sz w:val="28"/>
          <w:szCs w:val="28"/>
          <w:lang w:bidi="ar"/>
        </w:rPr>
        <w:t>标准起草单位、</w:t>
      </w:r>
      <w:r>
        <w:rPr>
          <w:rFonts w:hint="eastAsia" w:ascii="Times New Roman"/>
          <w:sz w:val="28"/>
          <w:szCs w:val="28"/>
          <w:lang w:val="en-US" w:eastAsia="zh-CN" w:bidi="ar"/>
        </w:rPr>
        <w:t>技术推广部门</w:t>
      </w:r>
      <w:r>
        <w:rPr>
          <w:rFonts w:ascii="Times New Roman"/>
          <w:sz w:val="28"/>
          <w:szCs w:val="28"/>
          <w:lang w:bidi="ar"/>
        </w:rPr>
        <w:t>以及</w:t>
      </w:r>
      <w:r>
        <w:rPr>
          <w:rFonts w:hint="eastAsia" w:ascii="Times New Roman"/>
          <w:sz w:val="28"/>
          <w:szCs w:val="28"/>
          <w:lang w:eastAsia="zh-CN" w:bidi="ar"/>
        </w:rPr>
        <w:t>龙眼</w:t>
      </w:r>
      <w:r>
        <w:rPr>
          <w:rFonts w:ascii="Times New Roman"/>
          <w:sz w:val="28"/>
          <w:szCs w:val="28"/>
          <w:lang w:bidi="ar"/>
        </w:rPr>
        <w:t>种植</w:t>
      </w:r>
      <w:r>
        <w:rPr>
          <w:rFonts w:hint="eastAsia" w:ascii="Times New Roman"/>
          <w:sz w:val="28"/>
          <w:szCs w:val="28"/>
          <w:lang w:val="en-US" w:eastAsia="zh-CN" w:bidi="ar"/>
        </w:rPr>
        <w:t>企业</w:t>
      </w:r>
      <w:r>
        <w:rPr>
          <w:rFonts w:ascii="Times New Roman"/>
          <w:sz w:val="28"/>
          <w:szCs w:val="28"/>
          <w:lang w:bidi="ar"/>
        </w:rPr>
        <w:t>多年的大田试验、生产实践，</w:t>
      </w:r>
      <w:r>
        <w:rPr>
          <w:rFonts w:hint="eastAsia" w:ascii="Times New Roman"/>
          <w:sz w:val="28"/>
          <w:szCs w:val="28"/>
          <w:lang w:bidi="ar"/>
        </w:rPr>
        <w:t>并</w:t>
      </w:r>
      <w:r>
        <w:rPr>
          <w:rFonts w:ascii="Times New Roman"/>
          <w:sz w:val="28"/>
          <w:szCs w:val="28"/>
          <w:lang w:bidi="ar"/>
        </w:rPr>
        <w:t>参照了《GB/T 17419  含有机质叶面肥料》、《GB/T 17420  微量元素叶面肥料》、《NY/T 496  肥料合理使用准则 通则》《NY/T 525 有机肥料》、《NY/T 798 复合微生物肥料》标准中关于</w:t>
      </w:r>
      <w:r>
        <w:rPr>
          <w:rFonts w:hint="eastAsia" w:ascii="Times New Roman"/>
          <w:sz w:val="28"/>
          <w:szCs w:val="28"/>
          <w:lang w:bidi="ar"/>
        </w:rPr>
        <w:t>施肥原则和施肥时期的内容，制定推荐的施肥方案。</w:t>
      </w:r>
    </w:p>
    <w:p w14:paraId="74A2232F">
      <w:pPr>
        <w:pStyle w:val="41"/>
        <w:numPr>
          <w:ilvl w:val="0"/>
          <w:numId w:val="0"/>
        </w:numPr>
        <w:spacing w:before="156" w:after="156"/>
        <w:rPr>
          <w:rFonts w:ascii="Times New Roman" w:eastAsiaTheme="minorEastAsia"/>
          <w:b/>
          <w:bCs/>
          <w:sz w:val="24"/>
          <w:szCs w:val="24"/>
          <w:lang w:bidi="ar"/>
        </w:rPr>
      </w:pPr>
      <w:r>
        <w:rPr>
          <w:rFonts w:hint="eastAsia" w:ascii="Times New Roman" w:eastAsiaTheme="minorEastAsia"/>
          <w:b/>
          <w:bCs/>
          <w:sz w:val="24"/>
          <w:szCs w:val="24"/>
          <w:lang w:bidi="ar"/>
        </w:rPr>
        <w:t>表</w:t>
      </w:r>
      <w:r>
        <w:rPr>
          <w:rFonts w:hint="eastAsia" w:ascii="Times New Roman" w:eastAsiaTheme="minorEastAsia"/>
          <w:b/>
          <w:bCs/>
          <w:sz w:val="24"/>
          <w:szCs w:val="24"/>
          <w:lang w:val="en-US" w:eastAsia="zh-CN" w:bidi="ar"/>
        </w:rPr>
        <w:t>5</w:t>
      </w:r>
      <w:r>
        <w:rPr>
          <w:rFonts w:ascii="Times New Roman" w:eastAsiaTheme="minorEastAsia"/>
          <w:b/>
          <w:bCs/>
          <w:sz w:val="24"/>
          <w:szCs w:val="24"/>
          <w:lang w:bidi="ar"/>
        </w:rPr>
        <w:t xml:space="preserve">  </w:t>
      </w:r>
      <w:r>
        <w:rPr>
          <w:rFonts w:hint="eastAsia" w:ascii="Times New Roman" w:eastAsiaTheme="minorEastAsia"/>
          <w:b/>
          <w:bCs/>
          <w:sz w:val="24"/>
          <w:szCs w:val="24"/>
          <w:lang w:bidi="ar"/>
        </w:rPr>
        <w:t>推荐施肥方案</w:t>
      </w:r>
    </w:p>
    <w:tbl>
      <w:tblPr>
        <w:tblStyle w:val="14"/>
        <w:tblW w:w="8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3"/>
        <w:gridCol w:w="1362"/>
        <w:gridCol w:w="3332"/>
        <w:gridCol w:w="2629"/>
      </w:tblGrid>
      <w:tr w14:paraId="15DB2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65" w:type="dxa"/>
            <w:gridSpan w:val="2"/>
            <w:tcBorders>
              <w:top w:val="single" w:color="auto" w:sz="8" w:space="0"/>
              <w:bottom w:val="single" w:color="auto" w:sz="8" w:space="0"/>
            </w:tcBorders>
            <w:shd w:val="clear" w:color="auto" w:fill="auto"/>
            <w:vAlign w:val="center"/>
          </w:tcPr>
          <w:p w14:paraId="6F8C1D30">
            <w:pPr>
              <w:pStyle w:val="42"/>
              <w:rPr>
                <w:rFonts w:hAnsi="宋体"/>
              </w:rPr>
            </w:pPr>
            <w:r>
              <w:rPr>
                <w:rFonts w:hAnsi="宋体"/>
              </w:rPr>
              <w:t>施肥时期</w:t>
            </w:r>
          </w:p>
        </w:tc>
        <w:tc>
          <w:tcPr>
            <w:tcW w:w="3332" w:type="dxa"/>
            <w:tcBorders>
              <w:top w:val="single" w:color="auto" w:sz="8" w:space="0"/>
              <w:bottom w:val="single" w:color="auto" w:sz="8" w:space="0"/>
            </w:tcBorders>
            <w:vAlign w:val="center"/>
          </w:tcPr>
          <w:p w14:paraId="10F04697">
            <w:pPr>
              <w:pStyle w:val="42"/>
              <w:rPr>
                <w:rFonts w:hAnsi="宋体"/>
              </w:rPr>
            </w:pPr>
            <w:r>
              <w:rPr>
                <w:rFonts w:hint="eastAsia" w:hAnsi="宋体"/>
              </w:rPr>
              <w:t>施肥种类</w:t>
            </w:r>
            <w:r>
              <w:rPr>
                <w:rFonts w:hint="eastAsia" w:hAnsi="宋体"/>
                <w:lang w:val="en-US" w:eastAsia="zh-CN"/>
              </w:rPr>
              <w:t>及施肥量</w:t>
            </w:r>
          </w:p>
        </w:tc>
        <w:tc>
          <w:tcPr>
            <w:tcW w:w="2629" w:type="dxa"/>
            <w:tcBorders>
              <w:top w:val="single" w:color="auto" w:sz="8" w:space="0"/>
              <w:bottom w:val="single" w:color="auto" w:sz="8" w:space="0"/>
            </w:tcBorders>
            <w:shd w:val="clear" w:color="auto" w:fill="auto"/>
            <w:vAlign w:val="center"/>
          </w:tcPr>
          <w:p w14:paraId="58C5C9D2">
            <w:pPr>
              <w:pStyle w:val="42"/>
              <w:rPr>
                <w:rFonts w:hAnsi="宋体"/>
              </w:rPr>
            </w:pPr>
            <w:r>
              <w:rPr>
                <w:rFonts w:hAnsi="宋体"/>
              </w:rPr>
              <w:t>施肥方法</w:t>
            </w:r>
          </w:p>
        </w:tc>
      </w:tr>
      <w:tr w14:paraId="66430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3" w:type="dxa"/>
            <w:tcBorders>
              <w:top w:val="single" w:color="auto" w:sz="8" w:space="0"/>
            </w:tcBorders>
            <w:shd w:val="clear" w:color="auto" w:fill="auto"/>
            <w:vAlign w:val="center"/>
          </w:tcPr>
          <w:p w14:paraId="4CD8AF3E">
            <w:pPr>
              <w:pStyle w:val="42"/>
              <w:rPr>
                <w:rFonts w:hint="eastAsia" w:hAnsi="宋体" w:eastAsia="宋体"/>
                <w:lang w:eastAsia="zh-CN"/>
              </w:rPr>
            </w:pPr>
            <w:r>
              <w:rPr>
                <w:rFonts w:hint="eastAsia" w:hAnsi="宋体"/>
                <w:lang w:val="en-US" w:eastAsia="zh-CN"/>
              </w:rPr>
              <w:t>定植基肥</w:t>
            </w:r>
          </w:p>
        </w:tc>
        <w:tc>
          <w:tcPr>
            <w:tcW w:w="1362" w:type="dxa"/>
            <w:tcBorders>
              <w:top w:val="single" w:color="auto" w:sz="8" w:space="0"/>
            </w:tcBorders>
            <w:shd w:val="clear" w:color="auto" w:fill="auto"/>
            <w:vAlign w:val="center"/>
          </w:tcPr>
          <w:p w14:paraId="0A5F87E9">
            <w:pPr>
              <w:pStyle w:val="42"/>
              <w:ind w:left="105" w:leftChars="50" w:right="105" w:rightChars="50"/>
              <w:jc w:val="both"/>
              <w:rPr>
                <w:rFonts w:hAnsi="宋体"/>
              </w:rPr>
            </w:pPr>
            <w:r>
              <w:rPr>
                <w:rFonts w:hint="eastAsia" w:hAnsi="宋体"/>
              </w:rPr>
              <w:t>植穴准备</w:t>
            </w:r>
          </w:p>
        </w:tc>
        <w:tc>
          <w:tcPr>
            <w:tcW w:w="3332" w:type="dxa"/>
            <w:tcBorders>
              <w:top w:val="single" w:color="auto" w:sz="8" w:space="0"/>
            </w:tcBorders>
            <w:vAlign w:val="center"/>
          </w:tcPr>
          <w:p w14:paraId="75C469A6">
            <w:pPr>
              <w:pStyle w:val="42"/>
              <w:ind w:left="105" w:leftChars="50" w:right="105" w:rightChars="50"/>
              <w:jc w:val="both"/>
              <w:rPr>
                <w:rFonts w:hint="eastAsia" w:ascii="宋体" w:hAnsi="宋体" w:cs="宋体"/>
              </w:rPr>
            </w:pPr>
            <w:r>
              <w:rPr>
                <w:rFonts w:hint="eastAsia" w:ascii="宋体" w:hAnsi="宋体" w:cs="宋体"/>
              </w:rPr>
              <w:t>充分腐熟的畜禽粪肥或商品有机肥</w:t>
            </w:r>
            <w:r>
              <w:rPr>
                <w:rFonts w:hint="eastAsia" w:ascii="宋体" w:hAnsi="宋体" w:cs="宋体"/>
                <w:lang w:val="en-US" w:eastAsia="zh-CN"/>
              </w:rPr>
              <w:t>20</w:t>
            </w:r>
            <w:r>
              <w:rPr>
                <w:rFonts w:hint="eastAsia" w:ascii="宋体" w:hAnsi="宋体" w:cs="宋体"/>
              </w:rPr>
              <w:t> kg～</w:t>
            </w:r>
            <w:r>
              <w:rPr>
                <w:rFonts w:hint="eastAsia" w:ascii="宋体" w:hAnsi="宋体" w:cs="宋体"/>
                <w:lang w:val="en-US" w:eastAsia="zh-CN"/>
              </w:rPr>
              <w:t>3</w:t>
            </w:r>
            <w:r>
              <w:rPr>
                <w:rFonts w:hint="eastAsia" w:ascii="宋体" w:hAnsi="宋体" w:cs="宋体"/>
              </w:rPr>
              <w:t>0 kg、钙镁磷肥0.5 kg～1 kg</w:t>
            </w:r>
          </w:p>
        </w:tc>
        <w:tc>
          <w:tcPr>
            <w:tcW w:w="2629" w:type="dxa"/>
            <w:tcBorders>
              <w:top w:val="single" w:color="auto" w:sz="8" w:space="0"/>
            </w:tcBorders>
            <w:shd w:val="clear" w:color="auto" w:fill="auto"/>
            <w:vAlign w:val="center"/>
          </w:tcPr>
          <w:p w14:paraId="3B7FA51C">
            <w:pPr>
              <w:pStyle w:val="42"/>
              <w:ind w:left="105" w:leftChars="50" w:right="105" w:rightChars="50"/>
              <w:jc w:val="both"/>
              <w:rPr>
                <w:rFonts w:hint="eastAsia" w:ascii="宋体" w:hAnsi="宋体" w:cs="宋体"/>
              </w:rPr>
            </w:pPr>
            <w:r>
              <w:rPr>
                <w:rFonts w:hint="eastAsia" w:ascii="宋体" w:hAnsi="宋体" w:cs="宋体"/>
              </w:rPr>
              <w:t>与表土混匀填入定植穴底部</w:t>
            </w:r>
          </w:p>
        </w:tc>
      </w:tr>
      <w:tr w14:paraId="33FCE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3" w:type="dxa"/>
            <w:shd w:val="clear" w:color="auto" w:fill="auto"/>
            <w:vAlign w:val="center"/>
          </w:tcPr>
          <w:p w14:paraId="7CDDAE67">
            <w:pPr>
              <w:pStyle w:val="42"/>
              <w:rPr>
                <w:rFonts w:hAnsi="宋体"/>
              </w:rPr>
            </w:pPr>
            <w:r>
              <w:rPr>
                <w:rFonts w:hint="eastAsia"/>
              </w:rPr>
              <w:t>幼龄树</w:t>
            </w:r>
          </w:p>
        </w:tc>
        <w:tc>
          <w:tcPr>
            <w:tcW w:w="1362" w:type="dxa"/>
            <w:shd w:val="clear" w:color="auto" w:fill="auto"/>
            <w:vAlign w:val="center"/>
          </w:tcPr>
          <w:p w14:paraId="7E5AEA49">
            <w:pPr>
              <w:pStyle w:val="42"/>
              <w:ind w:left="105" w:leftChars="50" w:right="105" w:rightChars="50"/>
              <w:jc w:val="both"/>
              <w:rPr>
                <w:rFonts w:hAnsi="宋体"/>
              </w:rPr>
            </w:pPr>
            <w:r>
              <w:rPr>
                <w:rFonts w:hint="eastAsia"/>
              </w:rPr>
              <w:t>定植后1个月即可以开始施肥</w:t>
            </w:r>
          </w:p>
        </w:tc>
        <w:tc>
          <w:tcPr>
            <w:tcW w:w="3332" w:type="dxa"/>
            <w:vAlign w:val="center"/>
          </w:tcPr>
          <w:p w14:paraId="1038D95E">
            <w:pPr>
              <w:pStyle w:val="42"/>
              <w:ind w:left="105" w:leftChars="50" w:right="105" w:rightChars="50"/>
              <w:jc w:val="both"/>
              <w:rPr>
                <w:rFonts w:hint="eastAsia" w:ascii="宋体" w:hAnsi="宋体" w:eastAsia="宋体" w:cs="宋体"/>
                <w:lang w:eastAsia="zh-CN"/>
              </w:rPr>
            </w:pPr>
            <w:r>
              <w:rPr>
                <w:rFonts w:hint="eastAsia" w:ascii="宋体" w:hAnsi="宋体" w:cs="宋体"/>
              </w:rPr>
              <w:t>有机肥、化肥为主，微生物肥为辅</w:t>
            </w:r>
            <w:r>
              <w:rPr>
                <w:rFonts w:hint="eastAsia" w:hAnsi="宋体" w:cs="宋体"/>
                <w:lang w:eastAsia="zh-CN"/>
              </w:rPr>
              <w:t>，一梢两肥</w:t>
            </w:r>
          </w:p>
        </w:tc>
        <w:tc>
          <w:tcPr>
            <w:tcW w:w="2629" w:type="dxa"/>
            <w:shd w:val="clear" w:color="auto" w:fill="auto"/>
            <w:vAlign w:val="center"/>
          </w:tcPr>
          <w:p w14:paraId="4AE4B3B2">
            <w:pPr>
              <w:pStyle w:val="42"/>
              <w:ind w:left="105" w:leftChars="50" w:right="105" w:rightChars="50"/>
              <w:jc w:val="both"/>
              <w:rPr>
                <w:rFonts w:hint="eastAsia" w:ascii="宋体" w:hAnsi="宋体" w:cs="宋体"/>
                <w:lang w:eastAsia="zh-CN"/>
              </w:rPr>
            </w:pPr>
            <w:r>
              <w:rPr>
                <w:rFonts w:hint="eastAsia" w:ascii="宋体" w:hAnsi="宋体" w:cs="宋体"/>
                <w:lang w:eastAsia="zh-CN"/>
              </w:rPr>
              <w:t>喷灌、微喷灌、滴灌等灌溉系统进行施肥。</w:t>
            </w:r>
          </w:p>
        </w:tc>
      </w:tr>
      <w:tr w14:paraId="3061C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3" w:type="dxa"/>
            <w:shd w:val="clear" w:color="auto" w:fill="auto"/>
            <w:vAlign w:val="center"/>
          </w:tcPr>
          <w:p w14:paraId="47D847F7">
            <w:pPr>
              <w:pStyle w:val="42"/>
              <w:rPr>
                <w:rFonts w:hAnsi="宋体"/>
              </w:rPr>
            </w:pPr>
            <w:r>
              <w:rPr>
                <w:rFonts w:hint="eastAsia"/>
              </w:rPr>
              <w:t>采</w:t>
            </w:r>
            <w:r>
              <w:rPr>
                <w:rFonts w:hint="eastAsia"/>
                <w:lang w:val="en-US" w:eastAsia="zh-CN"/>
              </w:rPr>
              <w:t>果</w:t>
            </w:r>
            <w:r>
              <w:rPr>
                <w:rFonts w:hint="eastAsia"/>
              </w:rPr>
              <w:t>后肥</w:t>
            </w:r>
          </w:p>
        </w:tc>
        <w:tc>
          <w:tcPr>
            <w:tcW w:w="1362" w:type="dxa"/>
            <w:shd w:val="clear" w:color="auto" w:fill="auto"/>
            <w:vAlign w:val="center"/>
          </w:tcPr>
          <w:p w14:paraId="0D1092AD">
            <w:pPr>
              <w:pStyle w:val="42"/>
              <w:ind w:left="105" w:leftChars="50" w:right="105" w:rightChars="50"/>
              <w:jc w:val="both"/>
              <w:rPr>
                <w:rFonts w:hAnsi="宋体"/>
              </w:rPr>
            </w:pPr>
            <w:r>
              <w:rPr>
                <w:rFonts w:hint="eastAsia" w:hAnsi="宋体"/>
              </w:rPr>
              <w:t>采</w:t>
            </w:r>
            <w:r>
              <w:rPr>
                <w:rFonts w:hint="eastAsia" w:hAnsi="宋体"/>
                <w:lang w:val="en-US" w:eastAsia="zh-CN"/>
              </w:rPr>
              <w:t>果</w:t>
            </w:r>
            <w:r>
              <w:rPr>
                <w:rFonts w:hint="eastAsia" w:hAnsi="宋体"/>
              </w:rPr>
              <w:t>后10</w:t>
            </w:r>
            <w:r>
              <w:rPr>
                <w:rFonts w:hAnsi="宋体"/>
              </w:rPr>
              <w:t> </w:t>
            </w:r>
            <w:r>
              <w:rPr>
                <w:rFonts w:hint="eastAsia" w:hAnsi="宋体"/>
              </w:rPr>
              <w:t>d～20</w:t>
            </w:r>
            <w:r>
              <w:rPr>
                <w:rFonts w:hAnsi="宋体"/>
              </w:rPr>
              <w:t> </w:t>
            </w:r>
            <w:r>
              <w:rPr>
                <w:rFonts w:hint="eastAsia" w:hAnsi="宋体"/>
              </w:rPr>
              <w:t>d内</w:t>
            </w:r>
          </w:p>
        </w:tc>
        <w:tc>
          <w:tcPr>
            <w:tcW w:w="3332" w:type="dxa"/>
            <w:vAlign w:val="center"/>
          </w:tcPr>
          <w:p w14:paraId="0F72A12A">
            <w:pPr>
              <w:pStyle w:val="42"/>
              <w:ind w:left="105" w:leftChars="50" w:right="105" w:rightChars="50"/>
              <w:jc w:val="both"/>
              <w:rPr>
                <w:rFonts w:hint="eastAsia" w:hAnsi="宋体" w:eastAsia="宋体"/>
                <w:lang w:eastAsia="zh-CN"/>
              </w:rPr>
            </w:pPr>
            <w:r>
              <w:rPr>
                <w:rFonts w:hint="eastAsia"/>
              </w:rPr>
              <w:t>腐熟有机肥或商品有机肥</w:t>
            </w:r>
            <w:r>
              <w:rPr>
                <w:rFonts w:hint="eastAsia"/>
                <w:lang w:val="en-US" w:eastAsia="zh-CN"/>
              </w:rPr>
              <w:t xml:space="preserve"> </w:t>
            </w:r>
            <w:r>
              <w:rPr>
                <w:rFonts w:hint="eastAsia"/>
                <w:highlight w:val="none"/>
              </w:rPr>
              <w:t>20</w:t>
            </w:r>
            <w:r>
              <w:rPr>
                <w:highlight w:val="none"/>
              </w:rPr>
              <w:t> </w:t>
            </w:r>
            <w:r>
              <w:rPr>
                <w:rFonts w:hint="eastAsia"/>
                <w:highlight w:val="none"/>
              </w:rPr>
              <w:t>kg～25</w:t>
            </w:r>
            <w:r>
              <w:rPr>
                <w:highlight w:val="none"/>
              </w:rPr>
              <w:t> </w:t>
            </w:r>
            <w:r>
              <w:rPr>
                <w:rFonts w:hint="eastAsia"/>
                <w:highlight w:val="none"/>
              </w:rPr>
              <w:t>kg</w:t>
            </w:r>
            <w:r>
              <w:rPr>
                <w:rFonts w:hint="eastAsia"/>
              </w:rPr>
              <w:t>，硫酸钾肥</w:t>
            </w:r>
            <w:r>
              <w:rPr>
                <w:rFonts w:hint="eastAsia"/>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rPr>
              <w:t>，钙镁磷肥</w:t>
            </w:r>
            <w:r>
              <w:rPr>
                <w:rFonts w:hint="eastAsia"/>
                <w:highlight w:val="none"/>
                <w:lang w:val="en-US" w:eastAsia="zh-CN"/>
              </w:rPr>
              <w:t xml:space="preserve"> </w:t>
            </w:r>
            <w:r>
              <w:rPr>
                <w:rFonts w:hint="eastAsia"/>
                <w:highlight w:val="none"/>
              </w:rPr>
              <w:t>1.0</w:t>
            </w:r>
            <w:r>
              <w:rPr>
                <w:highlight w:val="none"/>
              </w:rPr>
              <w:t> </w:t>
            </w:r>
            <w:r>
              <w:rPr>
                <w:rFonts w:hint="eastAsia"/>
                <w:highlight w:val="none"/>
              </w:rPr>
              <w:t>kg～1.5</w:t>
            </w:r>
            <w:r>
              <w:rPr>
                <w:highlight w:val="none"/>
              </w:rPr>
              <w:t> </w:t>
            </w:r>
            <w:r>
              <w:rPr>
                <w:rFonts w:hint="eastAsia"/>
                <w:highlight w:val="none"/>
              </w:rPr>
              <w:t>kg</w:t>
            </w:r>
            <w:r>
              <w:rPr>
                <w:rFonts w:hint="eastAsia" w:hAnsi="宋体" w:eastAsia="宋体"/>
                <w:lang w:eastAsia="zh-CN"/>
              </w:rPr>
              <w:t>。</w:t>
            </w:r>
          </w:p>
        </w:tc>
        <w:tc>
          <w:tcPr>
            <w:tcW w:w="2629" w:type="dxa"/>
            <w:shd w:val="clear" w:color="auto" w:fill="auto"/>
            <w:vAlign w:val="center"/>
          </w:tcPr>
          <w:p w14:paraId="40385D8D">
            <w:pPr>
              <w:pStyle w:val="42"/>
              <w:ind w:left="105" w:leftChars="50" w:right="105" w:rightChars="50"/>
              <w:jc w:val="both"/>
              <w:rPr>
                <w:rFonts w:hint="eastAsia" w:hAnsi="宋体" w:eastAsia="宋体"/>
                <w:lang w:eastAsia="zh-CN"/>
              </w:rPr>
            </w:pPr>
            <w:r>
              <w:rPr>
                <w:rFonts w:hint="eastAsia"/>
              </w:rPr>
              <w:t>在树冠滴水线外围开挖条状沟或环形沟，规格为深度40 cm～60 cm、宽度50 cm，施基肥后灌足水</w:t>
            </w:r>
            <w:r>
              <w:rPr>
                <w:rFonts w:hint="eastAsia"/>
                <w:lang w:eastAsia="zh-CN"/>
              </w:rPr>
              <w:t>。</w:t>
            </w:r>
          </w:p>
        </w:tc>
      </w:tr>
      <w:tr w14:paraId="76D54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3" w:type="dxa"/>
            <w:shd w:val="clear" w:color="auto" w:fill="auto"/>
            <w:vAlign w:val="center"/>
          </w:tcPr>
          <w:p w14:paraId="0E5BCE7F">
            <w:pPr>
              <w:pStyle w:val="42"/>
              <w:rPr>
                <w:rFonts w:hAnsi="宋体"/>
              </w:rPr>
            </w:pPr>
            <w:r>
              <w:rPr>
                <w:rFonts w:hint="eastAsia"/>
              </w:rPr>
              <w:t>壮梢肥</w:t>
            </w:r>
          </w:p>
        </w:tc>
        <w:tc>
          <w:tcPr>
            <w:tcW w:w="1362" w:type="dxa"/>
            <w:shd w:val="clear" w:color="auto" w:fill="auto"/>
            <w:vAlign w:val="center"/>
          </w:tcPr>
          <w:p w14:paraId="387C9765">
            <w:pPr>
              <w:pStyle w:val="42"/>
              <w:ind w:left="105" w:leftChars="50" w:right="105" w:rightChars="50"/>
              <w:jc w:val="both"/>
              <w:rPr>
                <w:rFonts w:hAnsi="宋体"/>
              </w:rPr>
            </w:pPr>
            <w:r>
              <w:rPr>
                <w:rFonts w:hint="eastAsia" w:hAnsi="宋体"/>
              </w:rPr>
              <w:t>在每次枝梢顶芽萌动和叶片转绿期进行叶面追肥。</w:t>
            </w:r>
          </w:p>
        </w:tc>
        <w:tc>
          <w:tcPr>
            <w:tcW w:w="3332" w:type="dxa"/>
            <w:vAlign w:val="center"/>
          </w:tcPr>
          <w:p w14:paraId="75929DA7">
            <w:pPr>
              <w:pStyle w:val="42"/>
              <w:ind w:left="105" w:leftChars="50" w:right="105" w:rightChars="50"/>
              <w:jc w:val="both"/>
              <w:rPr>
                <w:rFonts w:hint="eastAsia" w:hAnsi="宋体" w:eastAsia="宋体"/>
                <w:lang w:eastAsia="zh-CN"/>
              </w:rPr>
            </w:pPr>
            <w:r>
              <w:rPr>
                <w:rFonts w:hint="eastAsia"/>
              </w:rPr>
              <w:t>选用大量元素水溶性肥料、微量元素及含有机质叶面肥配合，按照使用说明浓度施用</w:t>
            </w:r>
            <w:r>
              <w:rPr>
                <w:rFonts w:hint="eastAsia"/>
                <w:lang w:eastAsia="zh-CN"/>
              </w:rPr>
              <w:t>。</w:t>
            </w:r>
          </w:p>
        </w:tc>
        <w:tc>
          <w:tcPr>
            <w:tcW w:w="2629" w:type="dxa"/>
            <w:shd w:val="clear" w:color="auto" w:fill="auto"/>
            <w:vAlign w:val="center"/>
          </w:tcPr>
          <w:p w14:paraId="21CBC0C0">
            <w:pPr>
              <w:pStyle w:val="42"/>
              <w:ind w:left="105" w:leftChars="50" w:right="105" w:rightChars="50"/>
              <w:jc w:val="both"/>
              <w:rPr>
                <w:rFonts w:hint="eastAsia" w:hAnsi="宋体" w:eastAsia="宋体"/>
                <w:lang w:val="en-US" w:eastAsia="zh-CN"/>
              </w:rPr>
            </w:pPr>
            <w:r>
              <w:rPr>
                <w:rFonts w:hint="eastAsia"/>
              </w:rPr>
              <w:t>叶面</w:t>
            </w:r>
            <w:r>
              <w:rPr>
                <w:rFonts w:hint="eastAsia"/>
                <w:lang w:val="en-US" w:eastAsia="zh-CN"/>
              </w:rPr>
              <w:t>喷施</w:t>
            </w:r>
          </w:p>
        </w:tc>
      </w:tr>
      <w:tr w14:paraId="17D73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3" w:type="dxa"/>
            <w:shd w:val="clear" w:color="auto" w:fill="auto"/>
            <w:vAlign w:val="center"/>
          </w:tcPr>
          <w:p w14:paraId="5F01E156">
            <w:pPr>
              <w:pStyle w:val="42"/>
              <w:rPr>
                <w:rFonts w:hAnsi="宋体"/>
              </w:rPr>
            </w:pPr>
            <w:r>
              <w:rPr>
                <w:rFonts w:hint="eastAsia"/>
              </w:rPr>
              <w:t>壮果肥</w:t>
            </w:r>
          </w:p>
        </w:tc>
        <w:tc>
          <w:tcPr>
            <w:tcW w:w="1362" w:type="dxa"/>
            <w:shd w:val="clear" w:color="auto" w:fill="auto"/>
            <w:vAlign w:val="center"/>
          </w:tcPr>
          <w:p w14:paraId="64979FB4">
            <w:pPr>
              <w:pStyle w:val="42"/>
              <w:ind w:left="105" w:leftChars="50" w:right="105" w:rightChars="50"/>
              <w:jc w:val="both"/>
              <w:rPr>
                <w:rFonts w:hint="eastAsia" w:hAnsi="宋体" w:eastAsia="宋体"/>
                <w:lang w:eastAsia="zh-CN"/>
              </w:rPr>
            </w:pPr>
            <w:r>
              <w:rPr>
                <w:rFonts w:hint="eastAsia" w:ascii="宋体" w:hAnsi="宋体" w:cs="宋体"/>
              </w:rPr>
              <w:t>谢花后</w:t>
            </w:r>
            <w:r>
              <w:rPr>
                <w:rFonts w:hint="eastAsia" w:ascii="宋体" w:hAnsi="宋体" w:cs="宋体"/>
                <w:lang w:val="en-US" w:eastAsia="zh-CN"/>
              </w:rPr>
              <w:t xml:space="preserve"> </w:t>
            </w:r>
            <w:r>
              <w:rPr>
                <w:rFonts w:hint="eastAsia" w:ascii="宋体" w:hAnsi="宋体" w:cs="宋体"/>
              </w:rPr>
              <w:t>35 d</w:t>
            </w:r>
            <w:r>
              <w:rPr>
                <w:rFonts w:hint="eastAsia" w:ascii="宋体" w:hAnsi="宋体" w:cs="宋体"/>
                <w:lang w:val="en-US" w:eastAsia="zh-CN"/>
              </w:rPr>
              <w:t xml:space="preserve"> </w:t>
            </w:r>
            <w:r>
              <w:rPr>
                <w:rFonts w:hint="eastAsia" w:ascii="宋体" w:hAnsi="宋体" w:cs="宋体"/>
              </w:rPr>
              <w:t>左右</w:t>
            </w:r>
            <w:r>
              <w:rPr>
                <w:rFonts w:hint="eastAsia" w:hAnsi="宋体" w:cs="宋体"/>
                <w:lang w:eastAsia="zh-CN"/>
              </w:rPr>
              <w:t>，</w:t>
            </w:r>
            <w:r>
              <w:rPr>
                <w:rFonts w:hint="eastAsia" w:ascii="宋体" w:hAnsi="宋体" w:cs="宋体"/>
              </w:rPr>
              <w:t>果实膨大期间</w:t>
            </w:r>
            <w:r>
              <w:rPr>
                <w:rFonts w:hint="eastAsia" w:hAnsi="宋体" w:cs="宋体"/>
                <w:lang w:eastAsia="zh-CN"/>
              </w:rPr>
              <w:t>，</w:t>
            </w:r>
            <w:r>
              <w:rPr>
                <w:rFonts w:hint="eastAsia" w:ascii="宋体" w:hAnsi="宋体" w:cs="宋体"/>
              </w:rPr>
              <w:t>上糖期间</w:t>
            </w:r>
          </w:p>
        </w:tc>
        <w:tc>
          <w:tcPr>
            <w:tcW w:w="3332" w:type="dxa"/>
            <w:vAlign w:val="center"/>
          </w:tcPr>
          <w:p w14:paraId="2FE3CB94">
            <w:pPr>
              <w:pStyle w:val="42"/>
              <w:ind w:left="105" w:leftChars="50" w:right="105" w:rightChars="50"/>
              <w:jc w:val="both"/>
              <w:rPr>
                <w:rFonts w:hAnsi="宋体"/>
              </w:rPr>
            </w:pPr>
            <w:r>
              <w:rPr>
                <w:rFonts w:hint="eastAsia" w:hAnsi="宋体"/>
              </w:rPr>
              <w:t>在谢花后</w:t>
            </w:r>
            <w:r>
              <w:rPr>
                <w:rFonts w:hint="eastAsia" w:hAnsi="宋体"/>
                <w:lang w:val="en-US" w:eastAsia="zh-CN"/>
              </w:rPr>
              <w:t xml:space="preserve"> </w:t>
            </w:r>
            <w:r>
              <w:rPr>
                <w:rFonts w:hint="eastAsia" w:hAnsi="宋体"/>
              </w:rPr>
              <w:t>35 d</w:t>
            </w:r>
            <w:r>
              <w:rPr>
                <w:rFonts w:hint="eastAsia" w:hAnsi="宋体"/>
                <w:lang w:val="en-US" w:eastAsia="zh-CN"/>
              </w:rPr>
              <w:t xml:space="preserve"> </w:t>
            </w:r>
            <w:r>
              <w:rPr>
                <w:rFonts w:hint="eastAsia" w:hAnsi="宋体"/>
              </w:rPr>
              <w:t>左右，每株土施氮磷钾养分比例（N∶P2O5∶K2O）为1∶（0.3～0.4）∶（1.3～1.5）的复合肥</w:t>
            </w:r>
            <w:r>
              <w:rPr>
                <w:rFonts w:hint="eastAsia" w:hAnsi="宋体"/>
                <w:lang w:val="en-US" w:eastAsia="zh-CN"/>
              </w:rPr>
              <w:t xml:space="preserve"> </w:t>
            </w:r>
            <w:r>
              <w:rPr>
                <w:rFonts w:hint="eastAsia" w:hAnsi="宋体"/>
              </w:rPr>
              <w:t>0.3 kg～0.5 kg。果实膨大期间，喷施含钙、硼等中微量元素的叶面肥</w:t>
            </w:r>
            <w:r>
              <w:rPr>
                <w:rFonts w:hint="eastAsia" w:hAnsi="宋体"/>
                <w:lang w:val="en-US" w:eastAsia="zh-CN"/>
              </w:rPr>
              <w:t xml:space="preserve"> </w:t>
            </w:r>
            <w:r>
              <w:rPr>
                <w:rFonts w:hint="eastAsia" w:hAnsi="宋体"/>
              </w:rPr>
              <w:t>1～2</w:t>
            </w:r>
            <w:r>
              <w:rPr>
                <w:rFonts w:hint="eastAsia" w:hAnsi="宋体"/>
                <w:lang w:val="en-US" w:eastAsia="zh-CN"/>
              </w:rPr>
              <w:t xml:space="preserve"> </w:t>
            </w:r>
            <w:r>
              <w:rPr>
                <w:rFonts w:hint="eastAsia" w:hAnsi="宋体"/>
              </w:rPr>
              <w:t>次。上糖期间，叶面喷施</w:t>
            </w:r>
            <w:r>
              <w:rPr>
                <w:rFonts w:hint="eastAsia" w:hAnsi="宋体"/>
                <w:lang w:val="en-US" w:eastAsia="zh-CN"/>
              </w:rPr>
              <w:t xml:space="preserve"> </w:t>
            </w:r>
            <w:r>
              <w:rPr>
                <w:rFonts w:hint="eastAsia" w:hAnsi="宋体"/>
              </w:rPr>
              <w:t>0.2%</w:t>
            </w:r>
            <w:r>
              <w:rPr>
                <w:rFonts w:hint="eastAsia" w:hAnsi="宋体"/>
                <w:lang w:val="en-US" w:eastAsia="zh-CN"/>
              </w:rPr>
              <w:t xml:space="preserve"> </w:t>
            </w:r>
            <w:r>
              <w:rPr>
                <w:rFonts w:hint="eastAsia" w:hAnsi="宋体"/>
              </w:rPr>
              <w:t>磷酸二氢钾或硫酸钾溶液1～2</w:t>
            </w:r>
            <w:r>
              <w:rPr>
                <w:rFonts w:hint="eastAsia" w:hAnsi="宋体"/>
                <w:lang w:val="en-US" w:eastAsia="zh-CN"/>
              </w:rPr>
              <w:t xml:space="preserve"> </w:t>
            </w:r>
            <w:r>
              <w:rPr>
                <w:rFonts w:hint="eastAsia" w:hAnsi="宋体"/>
              </w:rPr>
              <w:t>次。</w:t>
            </w:r>
          </w:p>
        </w:tc>
        <w:tc>
          <w:tcPr>
            <w:tcW w:w="2629" w:type="dxa"/>
            <w:shd w:val="clear" w:color="auto" w:fill="auto"/>
            <w:vAlign w:val="center"/>
          </w:tcPr>
          <w:p w14:paraId="27AA3F47">
            <w:pPr>
              <w:pStyle w:val="42"/>
              <w:ind w:left="105" w:leftChars="50" w:right="105" w:rightChars="50"/>
              <w:jc w:val="both"/>
              <w:rPr>
                <w:rFonts w:hint="eastAsia" w:hAnsi="宋体" w:eastAsia="宋体"/>
                <w:lang w:eastAsia="zh-CN"/>
              </w:rPr>
            </w:pPr>
            <w:r>
              <w:rPr>
                <w:rFonts w:hint="eastAsia" w:ascii="宋体" w:hAnsi="宋体" w:cs="宋体"/>
              </w:rPr>
              <w:t>土壤施肥、灌溉施肥和叶面施肥</w:t>
            </w:r>
          </w:p>
        </w:tc>
      </w:tr>
    </w:tbl>
    <w:p w14:paraId="63768F4F">
      <w:pPr>
        <w:pStyle w:val="23"/>
        <w:ind w:firstLine="420"/>
      </w:pPr>
    </w:p>
    <w:p w14:paraId="5ABB905E">
      <w:pPr>
        <w:autoSpaceDN w:val="0"/>
        <w:spacing w:line="360" w:lineRule="auto"/>
        <w:ind w:firstLine="560" w:firstLineChars="200"/>
        <w:rPr>
          <w:rFonts w:hint="eastAsia" w:ascii="Times New Roman" w:hAnsi="Times New Roman" w:cs="Times New Roman"/>
          <w:kern w:val="0"/>
          <w:sz w:val="28"/>
          <w:szCs w:val="28"/>
          <w:lang w:val="en-US" w:eastAsia="zh-CN" w:bidi="ar"/>
        </w:rPr>
      </w:pPr>
      <w:r>
        <w:rPr>
          <w:rFonts w:hint="eastAsia" w:ascii="Times New Roman" w:hAnsi="Times New Roman" w:cs="Times New Roman"/>
          <w:kern w:val="0"/>
          <w:sz w:val="28"/>
          <w:szCs w:val="28"/>
          <w:lang w:bidi="ar"/>
        </w:rPr>
        <w:t>⑥</w:t>
      </w:r>
      <w:r>
        <w:rPr>
          <w:rFonts w:hint="eastAsia" w:ascii="Times New Roman" w:hAnsi="Times New Roman" w:cs="Times New Roman"/>
          <w:kern w:val="0"/>
          <w:sz w:val="28"/>
          <w:szCs w:val="28"/>
          <w:lang w:val="en-US" w:eastAsia="zh-CN" w:bidi="ar"/>
        </w:rPr>
        <w:t>花果养护</w:t>
      </w:r>
    </w:p>
    <w:p w14:paraId="06018FA7">
      <w:pPr>
        <w:autoSpaceDE w:val="0"/>
        <w:autoSpaceDN w:val="0"/>
        <w:spacing w:line="360" w:lineRule="auto"/>
        <w:ind w:firstLine="560" w:firstLineChars="200"/>
        <w:rPr>
          <w:rFonts w:hint="default" w:ascii="Times New Roman" w:hAnsi="Times New Roman" w:cs="Times New Roman" w:eastAsiaTheme="minorEastAsia"/>
          <w:kern w:val="0"/>
          <w:sz w:val="28"/>
          <w:szCs w:val="28"/>
          <w:lang w:val="en-US" w:eastAsia="zh-CN" w:bidi="ar"/>
        </w:rPr>
      </w:pPr>
      <w:r>
        <w:rPr>
          <w:rFonts w:hint="eastAsia" w:ascii="Times New Roman" w:hAnsi="Times New Roman" w:cs="Times New Roman"/>
          <w:kern w:val="0"/>
          <w:sz w:val="28"/>
          <w:szCs w:val="28"/>
          <w:lang w:bidi="ar"/>
        </w:rPr>
        <w:t>采后修剪</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bidi="ar"/>
        </w:rPr>
        <w:t>短截促花</w:t>
      </w:r>
      <w:r>
        <w:rPr>
          <w:rFonts w:hint="eastAsia" w:ascii="Times New Roman" w:hAnsi="Times New Roman" w:cs="Times New Roman"/>
          <w:kern w:val="0"/>
          <w:sz w:val="28"/>
          <w:szCs w:val="28"/>
          <w:lang w:eastAsia="zh-CN" w:bidi="ar"/>
        </w:rPr>
        <w:t>、果园间伐、授粉、果实套袋</w:t>
      </w:r>
      <w:r>
        <w:rPr>
          <w:rFonts w:hint="eastAsia" w:ascii="Times New Roman" w:hAnsi="Times New Roman" w:cs="Times New Roman"/>
          <w:kern w:val="0"/>
          <w:sz w:val="28"/>
          <w:szCs w:val="28"/>
          <w:lang w:val="en-US" w:eastAsia="zh-CN" w:bidi="ar"/>
        </w:rPr>
        <w:t>保障花果发育正常。</w:t>
      </w:r>
    </w:p>
    <w:p w14:paraId="4BB6CBFA">
      <w:pPr>
        <w:spacing w:line="360" w:lineRule="auto"/>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（7）</w:t>
      </w:r>
      <w:r>
        <w:rPr>
          <w:rFonts w:ascii="Times New Roman" w:hAnsi="Times New Roman" w:cs="Times New Roman"/>
          <w:b/>
          <w:bCs/>
          <w:kern w:val="0"/>
          <w:sz w:val="28"/>
          <w:szCs w:val="28"/>
          <w:lang w:bidi="ar"/>
        </w:rPr>
        <w:t>病虫害绿色防控</w:t>
      </w:r>
    </w:p>
    <w:p w14:paraId="04F5CE40">
      <w:pPr>
        <w:autoSpaceDE w:val="0"/>
        <w:autoSpaceDN w:val="0"/>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本标准中的病虫害防治参照农业行业标准《</w:t>
      </w:r>
      <w:r>
        <w:rPr>
          <w:rFonts w:hint="eastAsia" w:ascii="Times New Roman" w:hAnsi="Times New Roman" w:cs="Times New Roman"/>
          <w:kern w:val="0"/>
          <w:sz w:val="28"/>
          <w:szCs w:val="28"/>
          <w:lang w:bidi="ar"/>
        </w:rPr>
        <w:t>NY/T 1276 农药安全使用规范 总则</w:t>
      </w:r>
      <w:r>
        <w:rPr>
          <w:rFonts w:ascii="Times New Roman" w:hAnsi="Times New Roman" w:cs="Times New Roman"/>
          <w:kern w:val="0"/>
          <w:sz w:val="28"/>
          <w:szCs w:val="28"/>
          <w:lang w:bidi="ar"/>
        </w:rPr>
        <w:t>》</w:t>
      </w:r>
      <w:r>
        <w:rPr>
          <w:rFonts w:hint="eastAsia" w:ascii="Times New Roman" w:hAnsi="Times New Roman" w:cs="Times New Roman"/>
          <w:kern w:val="0"/>
          <w:sz w:val="28"/>
          <w:szCs w:val="28"/>
          <w:lang w:val="en-US" w:eastAsia="zh-CN" w:bidi="ar"/>
        </w:rPr>
        <w:t>及海南省荔枝病虫害绿色防控技术方案（荔枝龙眼同属无患子科，在病虫害防控方面较为相近）</w:t>
      </w:r>
      <w:r>
        <w:rPr>
          <w:rFonts w:ascii="Times New Roman" w:hAnsi="Times New Roman" w:cs="Times New Roman"/>
          <w:kern w:val="0"/>
          <w:sz w:val="28"/>
          <w:szCs w:val="28"/>
          <w:lang w:bidi="ar"/>
        </w:rPr>
        <w:t>。标准规定了</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主要病虫害的防治措施及推荐使用药剂等技术。标准适用于我国</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种植区主要病虫害的防治。</w:t>
      </w:r>
    </w:p>
    <w:p w14:paraId="48F3F1BA">
      <w:pPr>
        <w:autoSpaceDE w:val="0"/>
        <w:autoSpaceDN w:val="0"/>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标准编制组在查阅资料、综合国内外研究人员相关研究成果和</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病虫害防控经验的基础上，建立</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val="en-US" w:eastAsia="zh-CN" w:bidi="ar"/>
        </w:rPr>
        <w:t>炭疽病、鬼帚病等及蒂蛀虫、荔枝蝽、龙眼角颊木虱、卷叶蛾类、尺蠖类、瘿蚊等</w:t>
      </w:r>
      <w:r>
        <w:rPr>
          <w:rFonts w:ascii="Times New Roman" w:hAnsi="Times New Roman" w:cs="Times New Roman"/>
          <w:kern w:val="0"/>
          <w:sz w:val="28"/>
          <w:szCs w:val="28"/>
          <w:lang w:bidi="ar"/>
        </w:rPr>
        <w:t>主要病虫害的绿色防控规程，以满足生产上对</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主要病虫害的绿色防控的需求，并可为政府相关部门制定</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病虫害绿色防控的政策法规提供参考。</w:t>
      </w:r>
    </w:p>
    <w:p w14:paraId="17239BDA">
      <w:pPr>
        <w:autoSpaceDE w:val="0"/>
        <w:autoSpaceDN w:val="0"/>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kern w:val="0"/>
          <w:sz w:val="28"/>
          <w:szCs w:val="28"/>
          <w:lang w:bidi="ar"/>
        </w:rPr>
        <w:t>目前在</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上</w:t>
      </w:r>
      <w:r>
        <w:rPr>
          <w:rFonts w:ascii="Times New Roman" w:hAnsi="Times New Roman" w:cs="Times New Roman"/>
          <w:sz w:val="28"/>
          <w:szCs w:val="28"/>
        </w:rPr>
        <w:t>登记</w:t>
      </w:r>
      <w:r>
        <w:rPr>
          <w:rFonts w:ascii="Times New Roman" w:hAnsi="Times New Roman" w:cs="Times New Roman"/>
          <w:kern w:val="0"/>
          <w:sz w:val="28"/>
          <w:szCs w:val="28"/>
          <w:lang w:bidi="ar"/>
        </w:rPr>
        <w:t>的病虫害防控农药产品</w:t>
      </w:r>
      <w:r>
        <w:rPr>
          <w:rFonts w:hint="eastAsia" w:ascii="Times New Roman" w:hAnsi="Times New Roman" w:cs="Times New Roman"/>
          <w:kern w:val="0"/>
          <w:sz w:val="28"/>
          <w:szCs w:val="28"/>
          <w:lang w:val="en-US" w:eastAsia="zh-CN" w:bidi="ar"/>
        </w:rPr>
        <w:t>较少</w:t>
      </w:r>
      <w:r>
        <w:rPr>
          <w:rFonts w:ascii="Times New Roman" w:hAnsi="Times New Roman" w:cs="Times New Roman"/>
          <w:kern w:val="0"/>
          <w:sz w:val="28"/>
          <w:szCs w:val="28"/>
          <w:lang w:bidi="ar"/>
        </w:rPr>
        <w:t>。根据2020年5月27日公布</w:t>
      </w:r>
      <w:r>
        <w:rPr>
          <w:rFonts w:hint="eastAsia" w:ascii="宋体" w:hAnsi="宋体" w:eastAsia="宋体" w:cs="宋体"/>
          <w:kern w:val="0"/>
          <w:sz w:val="28"/>
          <w:szCs w:val="28"/>
          <w:lang w:bidi="ar"/>
        </w:rPr>
        <w:t>的“关于印发</w:t>
      </w:r>
      <w:r>
        <w:rPr>
          <w:rFonts w:ascii="Times New Roman" w:hAnsi="Times New Roman" w:cs="Times New Roman"/>
          <w:kern w:val="0"/>
          <w:sz w:val="28"/>
          <w:szCs w:val="28"/>
          <w:lang w:bidi="ar"/>
        </w:rPr>
        <w:t>《特色小宗作物农药残留风险控害技术指标》的通</w:t>
      </w:r>
      <w:r>
        <w:rPr>
          <w:rFonts w:hint="eastAsia" w:ascii="宋体" w:hAnsi="宋体" w:eastAsia="宋体" w:cs="宋体"/>
          <w:kern w:val="0"/>
          <w:sz w:val="28"/>
          <w:szCs w:val="28"/>
          <w:lang w:bidi="ar"/>
        </w:rPr>
        <w:t>知”，推</w:t>
      </w:r>
      <w:r>
        <w:rPr>
          <w:rFonts w:ascii="Times New Roman" w:hAnsi="Times New Roman" w:cs="Times New Roman"/>
          <w:kern w:val="0"/>
          <w:sz w:val="28"/>
          <w:szCs w:val="28"/>
          <w:lang w:bidi="ar"/>
        </w:rPr>
        <w:t>荐用于防治</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病虫害的药剂如下：具体使用方法见表</w:t>
      </w:r>
      <w:r>
        <w:rPr>
          <w:rFonts w:hint="eastAsia" w:ascii="Times New Roman" w:hAnsi="Times New Roman" w:cs="Times New Roman"/>
          <w:kern w:val="0"/>
          <w:sz w:val="28"/>
          <w:szCs w:val="28"/>
          <w:lang w:val="en-US" w:eastAsia="zh-CN" w:bidi="ar"/>
        </w:rPr>
        <w:t>6</w:t>
      </w:r>
      <w:r>
        <w:rPr>
          <w:rFonts w:ascii="Times New Roman" w:hAnsi="Times New Roman" w:cs="Times New Roman"/>
          <w:kern w:val="0"/>
          <w:sz w:val="28"/>
          <w:szCs w:val="28"/>
          <w:lang w:bidi="ar"/>
        </w:rPr>
        <w:t>。其他化学药剂参照农业行业标准《</w:t>
      </w:r>
      <w:r>
        <w:rPr>
          <w:rFonts w:hint="eastAsia" w:ascii="Times New Roman" w:hAnsi="Times New Roman" w:cs="Times New Roman"/>
          <w:kern w:val="0"/>
          <w:sz w:val="28"/>
          <w:szCs w:val="28"/>
          <w:lang w:bidi="ar"/>
        </w:rPr>
        <w:t>NY/T 1276 农药安全使用规范 总则</w:t>
      </w:r>
      <w:r>
        <w:rPr>
          <w:rFonts w:ascii="Times New Roman" w:hAnsi="Times New Roman" w:cs="Times New Roman"/>
          <w:kern w:val="0"/>
          <w:sz w:val="28"/>
          <w:szCs w:val="28"/>
          <w:lang w:bidi="ar"/>
        </w:rPr>
        <w:t>》中推荐试剂。</w:t>
      </w:r>
    </w:p>
    <w:p w14:paraId="3D6295EC">
      <w:pPr>
        <w:rPr>
          <w:rFonts w:hint="eastAsia" w:ascii="Times New Roman" w:eastAsiaTheme="minorEastAsia"/>
          <w:b/>
          <w:bCs/>
          <w:kern w:val="0"/>
          <w:sz w:val="24"/>
          <w:szCs w:val="24"/>
          <w:lang w:bidi="ar"/>
        </w:rPr>
      </w:pPr>
      <w:r>
        <w:rPr>
          <w:rFonts w:hint="eastAsia" w:ascii="Times New Roman" w:eastAsiaTheme="minorEastAsia"/>
          <w:b/>
          <w:bCs/>
          <w:kern w:val="0"/>
          <w:sz w:val="24"/>
          <w:szCs w:val="24"/>
          <w:lang w:bidi="ar"/>
        </w:rPr>
        <w:br w:type="page"/>
      </w:r>
    </w:p>
    <w:p w14:paraId="45FD7421">
      <w:pPr>
        <w:pStyle w:val="48"/>
        <w:numPr>
          <w:ilvl w:val="0"/>
          <w:numId w:val="0"/>
        </w:numPr>
        <w:spacing w:before="156" w:after="156"/>
        <w:rPr>
          <w:rFonts w:hint="default" w:ascii="Times New Roman" w:eastAsiaTheme="minorEastAsia"/>
          <w:b/>
          <w:bCs/>
          <w:kern w:val="0"/>
          <w:sz w:val="24"/>
          <w:szCs w:val="24"/>
          <w:lang w:val="en-US" w:eastAsia="zh-CN" w:bidi="ar"/>
        </w:rPr>
      </w:pPr>
      <w:r>
        <w:rPr>
          <w:rFonts w:hint="eastAsia" w:ascii="Times New Roman" w:eastAsiaTheme="minorEastAsia"/>
          <w:b/>
          <w:bCs/>
          <w:kern w:val="0"/>
          <w:sz w:val="24"/>
          <w:szCs w:val="24"/>
          <w:lang w:bidi="ar"/>
        </w:rPr>
        <w:t>表</w:t>
      </w:r>
      <w:r>
        <w:rPr>
          <w:rFonts w:hint="eastAsia" w:ascii="Times New Roman" w:eastAsiaTheme="minorEastAsia"/>
          <w:b/>
          <w:bCs/>
          <w:kern w:val="0"/>
          <w:sz w:val="24"/>
          <w:szCs w:val="24"/>
          <w:lang w:val="en-US" w:eastAsia="zh-CN" w:bidi="ar"/>
        </w:rPr>
        <w:t>6</w:t>
      </w:r>
      <w:r>
        <w:rPr>
          <w:rFonts w:ascii="Times New Roman" w:eastAsiaTheme="minorEastAsia"/>
          <w:b/>
          <w:bCs/>
          <w:kern w:val="0"/>
          <w:sz w:val="24"/>
          <w:szCs w:val="24"/>
          <w:lang w:bidi="ar"/>
        </w:rPr>
        <w:t xml:space="preserve">  </w:t>
      </w:r>
      <w:r>
        <w:rPr>
          <w:rFonts w:hint="eastAsia" w:ascii="Times New Roman" w:eastAsiaTheme="minorEastAsia"/>
          <w:b/>
          <w:bCs/>
          <w:kern w:val="0"/>
          <w:sz w:val="24"/>
          <w:szCs w:val="24"/>
          <w:lang w:eastAsia="zh-CN" w:bidi="ar"/>
        </w:rPr>
        <w:t>龙眼</w:t>
      </w:r>
      <w:r>
        <w:rPr>
          <w:rFonts w:hint="eastAsia" w:ascii="Times New Roman" w:eastAsiaTheme="minorEastAsia"/>
          <w:b/>
          <w:bCs/>
          <w:kern w:val="0"/>
          <w:sz w:val="24"/>
          <w:szCs w:val="24"/>
          <w:lang w:bidi="ar"/>
        </w:rPr>
        <w:t>主要病虫害为害特征</w:t>
      </w:r>
      <w:r>
        <w:rPr>
          <w:rFonts w:hint="eastAsia" w:ascii="Times New Roman" w:eastAsiaTheme="minorEastAsia"/>
          <w:b/>
          <w:bCs/>
          <w:kern w:val="0"/>
          <w:sz w:val="24"/>
          <w:szCs w:val="24"/>
          <w:lang w:val="en-US" w:eastAsia="zh-CN" w:bidi="ar"/>
        </w:rPr>
        <w:t>及药剂防治方法</w:t>
      </w:r>
    </w:p>
    <w:tbl>
      <w:tblPr>
        <w:tblStyle w:val="13"/>
        <w:tblW w:w="5237" w:type="pct"/>
        <w:tblInd w:w="-26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934"/>
        <w:gridCol w:w="1613"/>
        <w:gridCol w:w="883"/>
        <w:gridCol w:w="1089"/>
        <w:gridCol w:w="1443"/>
        <w:gridCol w:w="1355"/>
      </w:tblGrid>
      <w:tr w14:paraId="72B3B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341" w:type="pct"/>
            <w:tcBorders>
              <w:bottom w:val="single" w:color="auto" w:sz="8" w:space="0"/>
            </w:tcBorders>
            <w:vAlign w:val="center"/>
          </w:tcPr>
          <w:p w14:paraId="6C5193E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防治对象</w:t>
            </w:r>
          </w:p>
        </w:tc>
        <w:tc>
          <w:tcPr>
            <w:tcW w:w="1083" w:type="pct"/>
            <w:tcBorders>
              <w:bottom w:val="single" w:color="auto" w:sz="8" w:space="0"/>
            </w:tcBorders>
            <w:vAlign w:val="center"/>
          </w:tcPr>
          <w:p w14:paraId="10A4870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为</w:t>
            </w:r>
            <w:r>
              <w:rPr>
                <w:rFonts w:hint="eastAsia" w:ascii="宋体" w:hAnsi="宋体" w:eastAsia="宋体" w:cs="宋体"/>
                <w:sz w:val="18"/>
                <w:szCs w:val="18"/>
              </w:rPr>
              <w:t>害特征图</w:t>
            </w:r>
          </w:p>
        </w:tc>
        <w:tc>
          <w:tcPr>
            <w:tcW w:w="903" w:type="pct"/>
            <w:tcBorders>
              <w:bottom w:val="single" w:color="auto" w:sz="8" w:space="0"/>
            </w:tcBorders>
            <w:vAlign w:val="center"/>
          </w:tcPr>
          <w:p w14:paraId="12DDA7C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推荐药剂</w:t>
            </w:r>
          </w:p>
        </w:tc>
        <w:tc>
          <w:tcPr>
            <w:tcW w:w="494" w:type="pct"/>
            <w:tcBorders>
              <w:bottom w:val="single" w:color="auto" w:sz="8" w:space="0"/>
            </w:tcBorders>
            <w:vAlign w:val="center"/>
          </w:tcPr>
          <w:p w14:paraId="5C79937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是否</w:t>
            </w:r>
            <w:r>
              <w:rPr>
                <w:rFonts w:hint="eastAsia" w:ascii="宋体" w:hAnsi="宋体" w:eastAsia="宋体" w:cs="宋体"/>
                <w:sz w:val="18"/>
                <w:szCs w:val="18"/>
                <w:lang w:val="en-US" w:eastAsia="zh-CN"/>
              </w:rPr>
              <w:t>在龙眼上</w:t>
            </w:r>
            <w:r>
              <w:rPr>
                <w:rFonts w:hint="eastAsia" w:ascii="宋体" w:hAnsi="宋体" w:eastAsia="宋体" w:cs="宋体"/>
                <w:sz w:val="18"/>
                <w:szCs w:val="18"/>
              </w:rPr>
              <w:t>登记</w:t>
            </w:r>
          </w:p>
        </w:tc>
        <w:tc>
          <w:tcPr>
            <w:tcW w:w="609" w:type="pct"/>
            <w:tcBorders>
              <w:bottom w:val="single" w:color="auto" w:sz="8" w:space="0"/>
            </w:tcBorders>
            <w:vAlign w:val="center"/>
          </w:tcPr>
          <w:p w14:paraId="3F1C36B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稀释倍数</w:t>
            </w:r>
          </w:p>
        </w:tc>
        <w:tc>
          <w:tcPr>
            <w:tcW w:w="808" w:type="pct"/>
            <w:tcBorders>
              <w:bottom w:val="single" w:color="auto" w:sz="8" w:space="0"/>
            </w:tcBorders>
            <w:vAlign w:val="center"/>
          </w:tcPr>
          <w:p w14:paraId="386B100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防治时期和方法</w:t>
            </w:r>
          </w:p>
        </w:tc>
        <w:tc>
          <w:tcPr>
            <w:tcW w:w="758" w:type="pct"/>
            <w:tcBorders>
              <w:bottom w:val="single" w:color="auto" w:sz="8" w:space="0"/>
            </w:tcBorders>
            <w:vAlign w:val="center"/>
          </w:tcPr>
          <w:p w14:paraId="55EC299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安全间隔期</w:t>
            </w:r>
          </w:p>
        </w:tc>
      </w:tr>
      <w:tr w14:paraId="2AA23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341" w:type="pct"/>
            <w:vMerge w:val="restart"/>
            <w:tcBorders>
              <w:top w:val="single" w:color="auto" w:sz="8" w:space="0"/>
            </w:tcBorders>
            <w:vAlign w:val="center"/>
          </w:tcPr>
          <w:p w14:paraId="640F870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炭疽病</w:t>
            </w:r>
          </w:p>
        </w:tc>
        <w:tc>
          <w:tcPr>
            <w:tcW w:w="1083" w:type="pct"/>
            <w:vMerge w:val="restart"/>
            <w:tcBorders>
              <w:top w:val="single" w:color="auto" w:sz="8" w:space="0"/>
            </w:tcBorders>
          </w:tcPr>
          <w:p w14:paraId="42BB32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drawing>
                <wp:inline distT="0" distB="0" distL="0" distR="0">
                  <wp:extent cx="1243965" cy="797560"/>
                  <wp:effectExtent l="0" t="0" r="13335" b="2540"/>
                  <wp:docPr id="4434039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3945" name="图片 2"/>
                          <pic:cNvPicPr>
                            <a:picLocks noChangeAspect="1" noChangeArrowheads="1"/>
                          </pic:cNvPicPr>
                        </pic:nvPicPr>
                        <pic:blipFill>
                          <a:blip r:embed="rId15">
                            <a:extLst>
                              <a:ext uri="{28A0092B-C50C-407E-A947-70E740481C1C}">
                                <a14:useLocalDpi xmlns:a14="http://schemas.microsoft.com/office/drawing/2010/main" val="0"/>
                              </a:ext>
                            </a:extLst>
                          </a:blip>
                          <a:srcRect t="17681" b="1"/>
                          <a:stretch>
                            <a:fillRect/>
                          </a:stretch>
                        </pic:blipFill>
                        <pic:spPr>
                          <a:xfrm>
                            <a:off x="0" y="0"/>
                            <a:ext cx="1259320" cy="808021"/>
                          </a:xfrm>
                          <a:prstGeom prst="rect">
                            <a:avLst/>
                          </a:prstGeom>
                          <a:noFill/>
                          <a:ln>
                            <a:noFill/>
                          </a:ln>
                        </pic:spPr>
                      </pic:pic>
                    </a:graphicData>
                  </a:graphic>
                </wp:inline>
              </w:drawing>
            </w:r>
          </w:p>
          <w:p w14:paraId="4B7CF3E5">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drawing>
                <wp:inline distT="0" distB="0" distL="114300" distR="114300">
                  <wp:extent cx="1241425" cy="454660"/>
                  <wp:effectExtent l="0" t="0" r="1587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1241425" cy="454660"/>
                          </a:xfrm>
                          <a:prstGeom prst="rect">
                            <a:avLst/>
                          </a:prstGeom>
                          <a:noFill/>
                          <a:ln>
                            <a:noFill/>
                          </a:ln>
                        </pic:spPr>
                      </pic:pic>
                    </a:graphicData>
                  </a:graphic>
                </wp:inline>
              </w:drawing>
            </w:r>
          </w:p>
        </w:tc>
        <w:tc>
          <w:tcPr>
            <w:tcW w:w="903" w:type="pct"/>
            <w:tcBorders>
              <w:top w:val="single" w:color="auto" w:sz="8" w:space="0"/>
              <w:bottom w:val="nil"/>
            </w:tcBorders>
            <w:vAlign w:val="center"/>
          </w:tcPr>
          <w:p w14:paraId="2297574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25%咪鲜胺乳油</w:t>
            </w:r>
          </w:p>
        </w:tc>
        <w:tc>
          <w:tcPr>
            <w:tcW w:w="494" w:type="pct"/>
            <w:tcBorders>
              <w:top w:val="single" w:color="auto" w:sz="8" w:space="0"/>
              <w:bottom w:val="nil"/>
            </w:tcBorders>
            <w:vAlign w:val="center"/>
          </w:tcPr>
          <w:p w14:paraId="22FC22F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是</w:t>
            </w:r>
          </w:p>
        </w:tc>
        <w:tc>
          <w:tcPr>
            <w:tcW w:w="609" w:type="pct"/>
            <w:tcBorders>
              <w:top w:val="single" w:color="auto" w:sz="8" w:space="0"/>
              <w:bottom w:val="nil"/>
            </w:tcBorders>
            <w:vAlign w:val="center"/>
          </w:tcPr>
          <w:p w14:paraId="3DD67EA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1 000～1 200</w:t>
            </w:r>
          </w:p>
        </w:tc>
        <w:tc>
          <w:tcPr>
            <w:tcW w:w="808" w:type="pct"/>
            <w:vMerge w:val="restart"/>
            <w:tcBorders>
              <w:top w:val="single" w:color="auto" w:sz="8" w:space="0"/>
            </w:tcBorders>
            <w:vAlign w:val="center"/>
          </w:tcPr>
          <w:p w14:paraId="68C692F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在龙眼炭疽病发病前或发病初期</w:t>
            </w:r>
            <w:r>
              <w:rPr>
                <w:rFonts w:hint="eastAsia" w:ascii="宋体" w:hAnsi="宋体" w:eastAsia="宋体" w:cs="宋体"/>
                <w:sz w:val="18"/>
                <w:szCs w:val="18"/>
                <w:lang w:val="en-US" w:eastAsia="zh-CN"/>
              </w:rPr>
              <w:t>喷施</w:t>
            </w:r>
            <w:r>
              <w:rPr>
                <w:rFonts w:hint="eastAsia" w:ascii="宋体" w:hAnsi="宋体" w:eastAsia="宋体" w:cs="宋体"/>
                <w:sz w:val="18"/>
                <w:szCs w:val="18"/>
              </w:rPr>
              <w:t>，用药2～3次，注意药剂轮换使用。</w:t>
            </w:r>
          </w:p>
        </w:tc>
        <w:tc>
          <w:tcPr>
            <w:tcW w:w="758" w:type="pct"/>
            <w:tcBorders>
              <w:top w:val="single" w:color="auto" w:sz="8" w:space="0"/>
            </w:tcBorders>
            <w:vAlign w:val="center"/>
          </w:tcPr>
          <w:p w14:paraId="5C4F389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30FA9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exact"/>
        </w:trPr>
        <w:tc>
          <w:tcPr>
            <w:tcW w:w="341" w:type="pct"/>
            <w:vMerge w:val="continue"/>
            <w:vAlign w:val="center"/>
          </w:tcPr>
          <w:p w14:paraId="4601B1E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4A11CC1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27CEA56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20%咪锰·多菌灵可湿性粉剂</w:t>
            </w:r>
          </w:p>
        </w:tc>
        <w:tc>
          <w:tcPr>
            <w:tcW w:w="494" w:type="pct"/>
            <w:tcBorders>
              <w:top w:val="nil"/>
              <w:bottom w:val="nil"/>
            </w:tcBorders>
            <w:vAlign w:val="center"/>
          </w:tcPr>
          <w:p w14:paraId="3DAB681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73C4D268">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500～1 000</w:t>
            </w:r>
          </w:p>
          <w:p w14:paraId="60C8C56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p>
        </w:tc>
        <w:tc>
          <w:tcPr>
            <w:tcW w:w="808" w:type="pct"/>
            <w:vMerge w:val="continue"/>
            <w:vAlign w:val="center"/>
          </w:tcPr>
          <w:p w14:paraId="11492622">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18F9949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0355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341" w:type="pct"/>
            <w:vMerge w:val="continue"/>
            <w:vAlign w:val="center"/>
          </w:tcPr>
          <w:p w14:paraId="02F7438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p>
        </w:tc>
        <w:tc>
          <w:tcPr>
            <w:tcW w:w="1083" w:type="pct"/>
            <w:vMerge w:val="continue"/>
          </w:tcPr>
          <w:p w14:paraId="62E6E77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highlight w:val="none"/>
              </w:rPr>
            </w:pPr>
          </w:p>
        </w:tc>
        <w:tc>
          <w:tcPr>
            <w:tcW w:w="903" w:type="pct"/>
            <w:tcBorders>
              <w:top w:val="nil"/>
              <w:bottom w:val="nil"/>
            </w:tcBorders>
            <w:vAlign w:val="center"/>
          </w:tcPr>
          <w:p w14:paraId="4F49998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pacing w:val="12"/>
                <w:position w:val="-1"/>
                <w:sz w:val="18"/>
                <w:szCs w:val="18"/>
                <w:highlight w:val="none"/>
                <w:lang w:eastAsia="zh-CN"/>
              </w:rPr>
            </w:pPr>
            <w:r>
              <w:rPr>
                <w:rFonts w:hint="eastAsia" w:ascii="宋体" w:hAnsi="宋体" w:eastAsia="宋体" w:cs="宋体"/>
                <w:sz w:val="18"/>
                <w:szCs w:val="18"/>
                <w:highlight w:val="none"/>
              </w:rPr>
              <w:t>325克/升苯甲·嘧菌酯悬浮剂</w:t>
            </w:r>
          </w:p>
        </w:tc>
        <w:tc>
          <w:tcPr>
            <w:tcW w:w="494" w:type="pct"/>
            <w:tcBorders>
              <w:top w:val="nil"/>
              <w:bottom w:val="nil"/>
            </w:tcBorders>
            <w:vAlign w:val="center"/>
          </w:tcPr>
          <w:p w14:paraId="5593480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609" w:type="pct"/>
            <w:tcBorders>
              <w:top w:val="nil"/>
              <w:bottom w:val="nil"/>
            </w:tcBorders>
            <w:vAlign w:val="center"/>
          </w:tcPr>
          <w:p w14:paraId="2196941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1</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500</w:t>
            </w:r>
            <w:r>
              <w:rPr>
                <w:rFonts w:hint="eastAsia" w:ascii="宋体" w:hAnsi="宋体" w:eastAsia="宋体" w:cs="宋体"/>
                <w:sz w:val="18"/>
                <w:szCs w:val="18"/>
                <w:highlight w:val="none"/>
              </w:rPr>
              <w:t>～</w:t>
            </w:r>
            <w:r>
              <w:rPr>
                <w:rFonts w:hint="eastAsia" w:ascii="宋体" w:hAnsi="宋体" w:eastAsia="宋体" w:cs="宋体"/>
                <w:sz w:val="18"/>
                <w:szCs w:val="18"/>
                <w:highlight w:val="none"/>
                <w:lang w:eastAsia="zh-CN"/>
              </w:rPr>
              <w:t>2</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000</w:t>
            </w:r>
          </w:p>
        </w:tc>
        <w:tc>
          <w:tcPr>
            <w:tcW w:w="808" w:type="pct"/>
            <w:vMerge w:val="continue"/>
            <w:vAlign w:val="center"/>
          </w:tcPr>
          <w:p w14:paraId="28BCF43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8" w:type="pct"/>
            <w:vAlign w:val="center"/>
          </w:tcPr>
          <w:p w14:paraId="2CEBB038">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21</w:t>
            </w:r>
          </w:p>
        </w:tc>
      </w:tr>
      <w:tr w14:paraId="274B3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341" w:type="pct"/>
            <w:vMerge w:val="continue"/>
            <w:vAlign w:val="center"/>
          </w:tcPr>
          <w:p w14:paraId="07BCDF6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3D3F59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rPr>
            </w:pPr>
          </w:p>
        </w:tc>
        <w:tc>
          <w:tcPr>
            <w:tcW w:w="903" w:type="pct"/>
            <w:tcBorders>
              <w:top w:val="nil"/>
            </w:tcBorders>
            <w:vAlign w:val="center"/>
          </w:tcPr>
          <w:p w14:paraId="2581AD6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rPr>
              <w:t>10%苯醚甲环唑</w:t>
            </w:r>
            <w:r>
              <w:rPr>
                <w:rFonts w:hint="eastAsia" w:ascii="宋体" w:hAnsi="宋体" w:eastAsia="宋体" w:cs="宋体"/>
                <w:color w:val="333333"/>
                <w:sz w:val="18"/>
                <w:szCs w:val="18"/>
                <w:shd w:val="clear" w:color="auto" w:fill="FFFFFF"/>
              </w:rPr>
              <w:t>水分散粒剂</w:t>
            </w:r>
          </w:p>
        </w:tc>
        <w:tc>
          <w:tcPr>
            <w:tcW w:w="494" w:type="pct"/>
            <w:tcBorders>
              <w:top w:val="nil"/>
            </w:tcBorders>
            <w:vAlign w:val="center"/>
          </w:tcPr>
          <w:p w14:paraId="7AE4F7B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rPr>
              <w:t>否</w:t>
            </w:r>
          </w:p>
        </w:tc>
        <w:tc>
          <w:tcPr>
            <w:tcW w:w="609" w:type="pct"/>
            <w:tcBorders>
              <w:top w:val="nil"/>
            </w:tcBorders>
            <w:vAlign w:val="center"/>
          </w:tcPr>
          <w:p w14:paraId="3D0112E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rPr>
            </w:pPr>
            <w:r>
              <w:rPr>
                <w:rFonts w:hint="eastAsia" w:ascii="宋体" w:hAnsi="宋体" w:eastAsia="宋体" w:cs="宋体"/>
                <w:sz w:val="18"/>
                <w:szCs w:val="18"/>
              </w:rPr>
              <w:t>650～1 000</w:t>
            </w:r>
          </w:p>
        </w:tc>
        <w:tc>
          <w:tcPr>
            <w:tcW w:w="808" w:type="pct"/>
            <w:vMerge w:val="continue"/>
            <w:vAlign w:val="center"/>
          </w:tcPr>
          <w:p w14:paraId="6D3E4071">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p>
        </w:tc>
        <w:tc>
          <w:tcPr>
            <w:tcW w:w="758" w:type="pct"/>
            <w:vAlign w:val="center"/>
          </w:tcPr>
          <w:p w14:paraId="1502C72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highlight w:val="none"/>
              </w:rPr>
            </w:pPr>
            <w:r>
              <w:rPr>
                <w:rFonts w:hint="eastAsia" w:ascii="宋体" w:hAnsi="宋体" w:eastAsia="宋体" w:cs="宋体"/>
                <w:sz w:val="18"/>
                <w:szCs w:val="18"/>
              </w:rPr>
              <w:t>3</w:t>
            </w:r>
          </w:p>
        </w:tc>
      </w:tr>
      <w:tr w14:paraId="2F908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41" w:type="pct"/>
            <w:vAlign w:val="center"/>
          </w:tcPr>
          <w:p w14:paraId="5EF92FE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鬼帚病</w:t>
            </w:r>
          </w:p>
        </w:tc>
        <w:tc>
          <w:tcPr>
            <w:tcW w:w="1083" w:type="pct"/>
          </w:tcPr>
          <w:p w14:paraId="0BD008A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drawing>
                <wp:inline distT="0" distB="0" distL="114300" distR="114300">
                  <wp:extent cx="1200785" cy="800100"/>
                  <wp:effectExtent l="0" t="0" r="18415" b="0"/>
                  <wp:docPr id="8" name="图片 8" descr="IMG_5305鬼帚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305鬼帚病"/>
                          <pic:cNvPicPr>
                            <a:picLocks noChangeAspect="1"/>
                          </pic:cNvPicPr>
                        </pic:nvPicPr>
                        <pic:blipFill>
                          <a:blip r:embed="rId17"/>
                          <a:stretch>
                            <a:fillRect/>
                          </a:stretch>
                        </pic:blipFill>
                        <pic:spPr>
                          <a:xfrm>
                            <a:off x="0" y="0"/>
                            <a:ext cx="1200785" cy="800100"/>
                          </a:xfrm>
                          <a:prstGeom prst="rect">
                            <a:avLst/>
                          </a:prstGeom>
                        </pic:spPr>
                      </pic:pic>
                    </a:graphicData>
                  </a:graphic>
                </wp:inline>
              </w:drawing>
            </w:r>
          </w:p>
        </w:tc>
        <w:tc>
          <w:tcPr>
            <w:tcW w:w="3575" w:type="pct"/>
            <w:gridSpan w:val="5"/>
            <w:tcBorders>
              <w:top w:val="nil"/>
            </w:tcBorders>
            <w:vAlign w:val="center"/>
          </w:tcPr>
          <w:p w14:paraId="5553795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鉴于龙眼鬼帚病远距离传播主要是通过带毒种子、接穗和苗木的调运；园圃近距离传播则主要通过荔枝蝽、龙眼角颊木虱等虫媒，故及时防虫控病是防控该病的的重要措施，具体药剂及使用方法见荔枝蝽和龙眼角颊木虱。</w:t>
            </w:r>
          </w:p>
        </w:tc>
      </w:tr>
      <w:tr w14:paraId="03865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341" w:type="pct"/>
            <w:vMerge w:val="restart"/>
            <w:vAlign w:val="center"/>
          </w:tcPr>
          <w:p w14:paraId="5CB3FA6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蒂蛀虫</w:t>
            </w:r>
          </w:p>
        </w:tc>
        <w:tc>
          <w:tcPr>
            <w:tcW w:w="1083" w:type="pct"/>
            <w:vMerge w:val="restart"/>
          </w:tcPr>
          <w:p w14:paraId="7F9B48F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b/>
                <w:bCs/>
                <w:sz w:val="18"/>
                <w:szCs w:val="18"/>
              </w:rPr>
              <w:drawing>
                <wp:inline distT="0" distB="0" distL="0" distR="0">
                  <wp:extent cx="1250950" cy="838200"/>
                  <wp:effectExtent l="0" t="0" r="6350" b="0"/>
                  <wp:docPr id="1670598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8566"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t="12061" b="42396"/>
                          <a:stretch>
                            <a:fillRect/>
                          </a:stretch>
                        </pic:blipFill>
                        <pic:spPr>
                          <a:xfrm>
                            <a:off x="0" y="0"/>
                            <a:ext cx="1306653" cy="875524"/>
                          </a:xfrm>
                          <a:prstGeom prst="rect">
                            <a:avLst/>
                          </a:prstGeom>
                          <a:noFill/>
                          <a:ln>
                            <a:noFill/>
                          </a:ln>
                        </pic:spPr>
                      </pic:pic>
                    </a:graphicData>
                  </a:graphic>
                </wp:inline>
              </w:drawing>
            </w:r>
          </w:p>
        </w:tc>
        <w:tc>
          <w:tcPr>
            <w:tcW w:w="903" w:type="pct"/>
            <w:tcBorders>
              <w:bottom w:val="nil"/>
            </w:tcBorders>
            <w:vAlign w:val="center"/>
          </w:tcPr>
          <w:p w14:paraId="034C1BD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35% 氯虫苯甲酰胺水分散粒剂</w:t>
            </w:r>
          </w:p>
        </w:tc>
        <w:tc>
          <w:tcPr>
            <w:tcW w:w="494" w:type="pct"/>
            <w:tcBorders>
              <w:bottom w:val="nil"/>
            </w:tcBorders>
            <w:vAlign w:val="center"/>
          </w:tcPr>
          <w:p w14:paraId="19D5637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是</w:t>
            </w:r>
          </w:p>
        </w:tc>
        <w:tc>
          <w:tcPr>
            <w:tcW w:w="609" w:type="pct"/>
            <w:tcBorders>
              <w:bottom w:val="nil"/>
            </w:tcBorders>
            <w:vAlign w:val="center"/>
          </w:tcPr>
          <w:p w14:paraId="2A55D44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5000～9000</w:t>
            </w:r>
          </w:p>
        </w:tc>
        <w:tc>
          <w:tcPr>
            <w:tcW w:w="808" w:type="pct"/>
            <w:vMerge w:val="restart"/>
            <w:vAlign w:val="center"/>
          </w:tcPr>
          <w:p w14:paraId="39BE796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坐果后依据实地测报在</w:t>
            </w:r>
            <w:r>
              <w:rPr>
                <w:rFonts w:hint="eastAsia" w:ascii="宋体" w:hAnsi="宋体" w:eastAsia="宋体" w:cs="宋体"/>
                <w:color w:val="333333"/>
                <w:sz w:val="18"/>
                <w:szCs w:val="18"/>
                <w:shd w:val="clear" w:color="auto" w:fill="FFFFFF"/>
              </w:rPr>
              <w:t>荔枝树蒂蛀虫产卵至卵孵高峰期用药，</w:t>
            </w:r>
            <w:r>
              <w:rPr>
                <w:rFonts w:hint="eastAsia" w:ascii="宋体" w:hAnsi="宋体" w:eastAsia="宋体" w:cs="宋体"/>
                <w:sz w:val="18"/>
                <w:szCs w:val="18"/>
              </w:rPr>
              <w:t>用药</w:t>
            </w:r>
            <w:r>
              <w:rPr>
                <w:rFonts w:hint="eastAsia" w:ascii="宋体" w:hAnsi="宋体" w:eastAsia="宋体" w:cs="宋体"/>
                <w:sz w:val="18"/>
                <w:szCs w:val="18"/>
                <w:highlight w:val="none"/>
                <w:lang w:val="en-US" w:eastAsia="zh-CN"/>
              </w:rPr>
              <w:t>2～3次。</w:t>
            </w:r>
            <w:r>
              <w:rPr>
                <w:rFonts w:hint="eastAsia" w:ascii="宋体" w:hAnsi="宋体" w:eastAsia="宋体" w:cs="宋体"/>
                <w:sz w:val="18"/>
                <w:szCs w:val="18"/>
              </w:rPr>
              <w:t>注意药剂轮换使用。</w:t>
            </w:r>
          </w:p>
        </w:tc>
        <w:tc>
          <w:tcPr>
            <w:tcW w:w="758" w:type="pct"/>
            <w:vAlign w:val="center"/>
          </w:tcPr>
          <w:p w14:paraId="59C3DB1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p w14:paraId="567BAA8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r>
      <w:tr w14:paraId="747E5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341" w:type="pct"/>
            <w:vMerge w:val="continue"/>
            <w:vAlign w:val="center"/>
          </w:tcPr>
          <w:p w14:paraId="7DCBD37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0F7D625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5831734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8%高效氯氰菊酯·虱螨脲乳油</w:t>
            </w:r>
          </w:p>
        </w:tc>
        <w:tc>
          <w:tcPr>
            <w:tcW w:w="494" w:type="pct"/>
            <w:tcBorders>
              <w:top w:val="nil"/>
              <w:bottom w:val="nil"/>
            </w:tcBorders>
            <w:vAlign w:val="center"/>
          </w:tcPr>
          <w:p w14:paraId="7C211B7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1D26F9C0">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1000～1300</w:t>
            </w:r>
          </w:p>
        </w:tc>
        <w:tc>
          <w:tcPr>
            <w:tcW w:w="808" w:type="pct"/>
            <w:vMerge w:val="continue"/>
            <w:vAlign w:val="center"/>
          </w:tcPr>
          <w:p w14:paraId="7B47EEA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8" w:type="pct"/>
            <w:vAlign w:val="center"/>
          </w:tcPr>
          <w:p w14:paraId="7FCEB3C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14</w:t>
            </w:r>
          </w:p>
        </w:tc>
      </w:tr>
      <w:tr w14:paraId="14227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exact"/>
        </w:trPr>
        <w:tc>
          <w:tcPr>
            <w:tcW w:w="341" w:type="pct"/>
            <w:vMerge w:val="continue"/>
            <w:vAlign w:val="center"/>
          </w:tcPr>
          <w:p w14:paraId="311BE5C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164A13F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32EC2E4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5%甲氨基阿维菌素苯甲酸盐微乳剂</w:t>
            </w:r>
          </w:p>
        </w:tc>
        <w:tc>
          <w:tcPr>
            <w:tcW w:w="494" w:type="pct"/>
            <w:tcBorders>
              <w:top w:val="nil"/>
              <w:bottom w:val="nil"/>
            </w:tcBorders>
            <w:vAlign w:val="center"/>
          </w:tcPr>
          <w:p w14:paraId="29B7AA2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bottom w:val="nil"/>
            </w:tcBorders>
            <w:vAlign w:val="center"/>
          </w:tcPr>
          <w:p w14:paraId="0606ECD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2250～2850</w:t>
            </w:r>
          </w:p>
        </w:tc>
        <w:tc>
          <w:tcPr>
            <w:tcW w:w="808" w:type="pct"/>
            <w:vMerge w:val="continue"/>
            <w:vAlign w:val="center"/>
          </w:tcPr>
          <w:p w14:paraId="52B8ABB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8" w:type="pct"/>
            <w:vAlign w:val="center"/>
          </w:tcPr>
          <w:p w14:paraId="7DD524A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w:t>
            </w:r>
          </w:p>
        </w:tc>
      </w:tr>
      <w:tr w14:paraId="03E56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341" w:type="pct"/>
            <w:vMerge w:val="continue"/>
            <w:vAlign w:val="center"/>
          </w:tcPr>
          <w:p w14:paraId="3ED4E1D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07E924A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163057A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85%氯虫苯·杀虫单水分散粒剂</w:t>
            </w:r>
          </w:p>
        </w:tc>
        <w:tc>
          <w:tcPr>
            <w:tcW w:w="494" w:type="pct"/>
            <w:tcBorders>
              <w:top w:val="nil"/>
            </w:tcBorders>
            <w:vAlign w:val="center"/>
          </w:tcPr>
          <w:p w14:paraId="579EE5C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否</w:t>
            </w:r>
          </w:p>
        </w:tc>
        <w:tc>
          <w:tcPr>
            <w:tcW w:w="609" w:type="pct"/>
            <w:tcBorders>
              <w:top w:val="nil"/>
            </w:tcBorders>
            <w:vAlign w:val="center"/>
          </w:tcPr>
          <w:p w14:paraId="05E2BE4C">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rPr>
              <w:t>1 000～2 000</w:t>
            </w:r>
          </w:p>
        </w:tc>
        <w:tc>
          <w:tcPr>
            <w:tcW w:w="808" w:type="pct"/>
            <w:vMerge w:val="continue"/>
            <w:vAlign w:val="center"/>
          </w:tcPr>
          <w:p w14:paraId="66AB0E6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p>
        </w:tc>
        <w:tc>
          <w:tcPr>
            <w:tcW w:w="758" w:type="pct"/>
            <w:vAlign w:val="center"/>
          </w:tcPr>
          <w:p w14:paraId="2B551D9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10</w:t>
            </w:r>
          </w:p>
        </w:tc>
      </w:tr>
      <w:tr w14:paraId="03601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341" w:type="pct"/>
            <w:vMerge w:val="restart"/>
            <w:vAlign w:val="center"/>
          </w:tcPr>
          <w:p w14:paraId="7A288E9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荔枝蝽</w:t>
            </w:r>
          </w:p>
        </w:tc>
        <w:tc>
          <w:tcPr>
            <w:tcW w:w="1083" w:type="pct"/>
            <w:vMerge w:val="restart"/>
          </w:tcPr>
          <w:p w14:paraId="00F2954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56665" cy="908050"/>
                  <wp:effectExtent l="0" t="0" r="635" b="6350"/>
                  <wp:docPr id="11704087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878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77418" cy="922763"/>
                          </a:xfrm>
                          <a:prstGeom prst="rect">
                            <a:avLst/>
                          </a:prstGeom>
                          <a:noFill/>
                          <a:ln>
                            <a:noFill/>
                          </a:ln>
                        </pic:spPr>
                      </pic:pic>
                    </a:graphicData>
                  </a:graphic>
                </wp:inline>
              </w:drawing>
            </w:r>
          </w:p>
        </w:tc>
        <w:tc>
          <w:tcPr>
            <w:tcW w:w="903" w:type="pct"/>
            <w:tcBorders>
              <w:bottom w:val="nil"/>
            </w:tcBorders>
            <w:vAlign w:val="center"/>
          </w:tcPr>
          <w:p w14:paraId="7556035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50g/L</w:t>
            </w:r>
            <w:r>
              <w:rPr>
                <w:rFonts w:hint="eastAsia" w:ascii="宋体" w:hAnsi="宋体" w:eastAsia="宋体" w:cs="宋体"/>
                <w:color w:val="333333"/>
                <w:sz w:val="18"/>
                <w:szCs w:val="18"/>
                <w:shd w:val="clear" w:color="auto" w:fill="FFFFFF"/>
              </w:rPr>
              <w:t>顺式氯氰菊酯</w:t>
            </w:r>
            <w:r>
              <w:rPr>
                <w:rFonts w:hint="eastAsia" w:ascii="宋体" w:hAnsi="宋体" w:eastAsia="宋体" w:cs="宋体"/>
                <w:sz w:val="18"/>
                <w:szCs w:val="18"/>
              </w:rPr>
              <w:t>乳油</w:t>
            </w:r>
          </w:p>
        </w:tc>
        <w:tc>
          <w:tcPr>
            <w:tcW w:w="494" w:type="pct"/>
            <w:tcBorders>
              <w:bottom w:val="nil"/>
            </w:tcBorders>
            <w:vAlign w:val="center"/>
          </w:tcPr>
          <w:p w14:paraId="7FCAD0B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22B5ACA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000～2</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500</w:t>
            </w:r>
          </w:p>
        </w:tc>
        <w:tc>
          <w:tcPr>
            <w:tcW w:w="808" w:type="pct"/>
            <w:vMerge w:val="restart"/>
            <w:vAlign w:val="center"/>
          </w:tcPr>
          <w:p w14:paraId="2EADA17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主要于成虫越冬后开始交尾而未产卵和卵初孵期防治。</w:t>
            </w:r>
          </w:p>
        </w:tc>
        <w:tc>
          <w:tcPr>
            <w:tcW w:w="758" w:type="pct"/>
            <w:vAlign w:val="center"/>
          </w:tcPr>
          <w:p w14:paraId="6B58932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4193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341" w:type="pct"/>
            <w:vMerge w:val="continue"/>
            <w:vAlign w:val="center"/>
          </w:tcPr>
          <w:p w14:paraId="5548B45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613BD4A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2761828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25 g/L溴氰菊酯乳油</w:t>
            </w:r>
          </w:p>
          <w:p w14:paraId="505D5C0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
          <w:p w14:paraId="10073F0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010A5367">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000～5</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000</w:t>
            </w:r>
          </w:p>
        </w:tc>
        <w:tc>
          <w:tcPr>
            <w:tcW w:w="808" w:type="pct"/>
            <w:vMerge w:val="continue"/>
            <w:vAlign w:val="center"/>
          </w:tcPr>
          <w:p w14:paraId="042E580F">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7A4B843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r>
      <w:tr w14:paraId="7A881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341" w:type="pct"/>
            <w:vMerge w:val="continue"/>
            <w:vAlign w:val="center"/>
          </w:tcPr>
          <w:p w14:paraId="4F91DB8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299ED98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4E0CE97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25 g/L高效氯氟氰菊酯乳油</w:t>
            </w:r>
          </w:p>
        </w:tc>
        <w:tc>
          <w:tcPr>
            <w:tcW w:w="494" w:type="pct"/>
            <w:tcBorders>
              <w:top w:val="nil"/>
              <w:bottom w:val="nil"/>
            </w:tcBorders>
            <w:vAlign w:val="center"/>
          </w:tcPr>
          <w:p w14:paraId="60653BA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48B3F12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2 000～4 000</w:t>
            </w:r>
          </w:p>
        </w:tc>
        <w:tc>
          <w:tcPr>
            <w:tcW w:w="808" w:type="pct"/>
            <w:vMerge w:val="continue"/>
            <w:vAlign w:val="center"/>
          </w:tcPr>
          <w:p w14:paraId="517DCDD9">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3EB726D8">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3BF97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341" w:type="pct"/>
            <w:vMerge w:val="continue"/>
            <w:vAlign w:val="center"/>
          </w:tcPr>
          <w:p w14:paraId="08F08DE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0F80FF6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62D40C5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16%氯氰·马拉松乳油</w:t>
            </w:r>
          </w:p>
        </w:tc>
        <w:tc>
          <w:tcPr>
            <w:tcW w:w="494" w:type="pct"/>
            <w:tcBorders>
              <w:top w:val="nil"/>
            </w:tcBorders>
            <w:vAlign w:val="center"/>
          </w:tcPr>
          <w:p w14:paraId="7BEAE06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7CAF344A">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continue"/>
            <w:vAlign w:val="center"/>
          </w:tcPr>
          <w:p w14:paraId="687604AC">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23B9C4DC">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631A4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341" w:type="pct"/>
            <w:vMerge w:val="restart"/>
            <w:vAlign w:val="center"/>
          </w:tcPr>
          <w:p w14:paraId="5B77C10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尺蠖</w:t>
            </w:r>
          </w:p>
        </w:tc>
        <w:tc>
          <w:tcPr>
            <w:tcW w:w="1083" w:type="pct"/>
            <w:vMerge w:val="restart"/>
          </w:tcPr>
          <w:p w14:paraId="1C34D6E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250950" cy="844550"/>
                  <wp:effectExtent l="0" t="0" r="6350" b="12700"/>
                  <wp:docPr id="9" name="图片 12" descr="尺蠖"/>
                  <wp:cNvGraphicFramePr/>
                  <a:graphic xmlns:a="http://schemas.openxmlformats.org/drawingml/2006/main">
                    <a:graphicData uri="http://schemas.openxmlformats.org/drawingml/2006/picture">
                      <pic:pic xmlns:pic="http://schemas.openxmlformats.org/drawingml/2006/picture">
                        <pic:nvPicPr>
                          <pic:cNvPr id="9" name="图片 12" descr="尺蠖"/>
                          <pic:cNvPicPr/>
                        </pic:nvPicPr>
                        <pic:blipFill>
                          <a:blip r:embed="rId20" cstate="print"/>
                          <a:srcRect l="37141" t="23676" b="37666"/>
                          <a:stretch>
                            <a:fillRect/>
                          </a:stretch>
                        </pic:blipFill>
                        <pic:spPr>
                          <a:xfrm>
                            <a:off x="0" y="0"/>
                            <a:ext cx="1250950" cy="844550"/>
                          </a:xfrm>
                          <a:prstGeom prst="rect">
                            <a:avLst/>
                          </a:prstGeom>
                          <a:noFill/>
                          <a:ln>
                            <a:noFill/>
                          </a:ln>
                        </pic:spPr>
                      </pic:pic>
                    </a:graphicData>
                  </a:graphic>
                </wp:inline>
              </w:drawing>
            </w:r>
          </w:p>
        </w:tc>
        <w:tc>
          <w:tcPr>
            <w:tcW w:w="903" w:type="pct"/>
            <w:tcBorders>
              <w:bottom w:val="nil"/>
            </w:tcBorders>
            <w:vAlign w:val="center"/>
          </w:tcPr>
          <w:p w14:paraId="3224251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8000IU/微升 苏云金杆菌悬浮剂</w:t>
            </w:r>
          </w:p>
        </w:tc>
        <w:tc>
          <w:tcPr>
            <w:tcW w:w="494" w:type="pct"/>
            <w:tcBorders>
              <w:bottom w:val="nil"/>
            </w:tcBorders>
            <w:vAlign w:val="center"/>
          </w:tcPr>
          <w:p w14:paraId="2FAFDBC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088EC41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200</w:t>
            </w:r>
          </w:p>
        </w:tc>
        <w:tc>
          <w:tcPr>
            <w:tcW w:w="808" w:type="pct"/>
            <w:vMerge w:val="restart"/>
            <w:vAlign w:val="center"/>
          </w:tcPr>
          <w:p w14:paraId="6804C68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害虫卵孵化初盛期、低龄幼虫期或发生高峰期施药</w:t>
            </w:r>
            <w:r>
              <w:rPr>
                <w:rFonts w:hint="eastAsia" w:ascii="宋体" w:hAnsi="宋体" w:eastAsia="宋体" w:cs="宋体"/>
                <w:sz w:val="18"/>
                <w:szCs w:val="18"/>
              </w:rPr>
              <w:t>。</w:t>
            </w:r>
          </w:p>
        </w:tc>
        <w:tc>
          <w:tcPr>
            <w:tcW w:w="758" w:type="pct"/>
            <w:vAlign w:val="center"/>
          </w:tcPr>
          <w:p w14:paraId="2F9AA1F0">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5CF4C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341" w:type="pct"/>
            <w:vMerge w:val="continue"/>
            <w:vAlign w:val="center"/>
          </w:tcPr>
          <w:p w14:paraId="4384211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3EF5761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69C1612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40%除虫脲悬浮剂</w:t>
            </w:r>
          </w:p>
        </w:tc>
        <w:tc>
          <w:tcPr>
            <w:tcW w:w="494" w:type="pct"/>
            <w:tcBorders>
              <w:top w:val="nil"/>
              <w:bottom w:val="nil"/>
            </w:tcBorders>
            <w:vAlign w:val="center"/>
          </w:tcPr>
          <w:p w14:paraId="3AB8B92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5BA32E6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1E37480F">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0B789FCF">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r>
      <w:tr w14:paraId="44708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341" w:type="pct"/>
            <w:vMerge w:val="continue"/>
            <w:vAlign w:val="center"/>
          </w:tcPr>
          <w:p w14:paraId="6CFC5B0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283CC82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3ED6507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top w:val="nil"/>
            </w:tcBorders>
            <w:vAlign w:val="center"/>
          </w:tcPr>
          <w:p w14:paraId="3ED99AB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3D11C5E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color w:val="333333"/>
                <w:sz w:val="18"/>
                <w:szCs w:val="18"/>
                <w:shd w:val="clear" w:color="auto" w:fill="FFFFFF"/>
              </w:rPr>
              <w:t>65-85毫升/亩</w:t>
            </w:r>
          </w:p>
        </w:tc>
        <w:tc>
          <w:tcPr>
            <w:tcW w:w="808" w:type="pct"/>
            <w:vMerge w:val="continue"/>
            <w:vAlign w:val="center"/>
          </w:tcPr>
          <w:p w14:paraId="6DE33F08">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26473359">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5194A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341" w:type="pct"/>
            <w:vMerge w:val="restart"/>
            <w:vAlign w:val="center"/>
          </w:tcPr>
          <w:p w14:paraId="72466EE3">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卷叶蛾类</w:t>
            </w:r>
          </w:p>
        </w:tc>
        <w:tc>
          <w:tcPr>
            <w:tcW w:w="1083" w:type="pct"/>
            <w:vMerge w:val="restart"/>
          </w:tcPr>
          <w:p w14:paraId="1318FCD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49045" cy="819150"/>
                  <wp:effectExtent l="0" t="0" r="8255" b="0"/>
                  <wp:docPr id="1826223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3233"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t="34363" b="30159"/>
                          <a:stretch>
                            <a:fillRect/>
                          </a:stretch>
                        </pic:blipFill>
                        <pic:spPr>
                          <a:xfrm>
                            <a:off x="0" y="0"/>
                            <a:ext cx="1264236" cy="829034"/>
                          </a:xfrm>
                          <a:prstGeom prst="rect">
                            <a:avLst/>
                          </a:prstGeom>
                          <a:noFill/>
                          <a:ln>
                            <a:noFill/>
                          </a:ln>
                          <a:effectLst/>
                        </pic:spPr>
                      </pic:pic>
                    </a:graphicData>
                  </a:graphic>
                </wp:inline>
              </w:drawing>
            </w:r>
          </w:p>
        </w:tc>
        <w:tc>
          <w:tcPr>
            <w:tcW w:w="903" w:type="pct"/>
            <w:tcBorders>
              <w:bottom w:val="nil"/>
            </w:tcBorders>
            <w:vAlign w:val="center"/>
          </w:tcPr>
          <w:p w14:paraId="40A8A00B">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4.5%高效氯氰菊酯乳油</w:t>
            </w:r>
          </w:p>
        </w:tc>
        <w:tc>
          <w:tcPr>
            <w:tcW w:w="494" w:type="pct"/>
            <w:tcBorders>
              <w:bottom w:val="nil"/>
            </w:tcBorders>
            <w:vAlign w:val="center"/>
          </w:tcPr>
          <w:p w14:paraId="20109AF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nil"/>
            </w:tcBorders>
            <w:vAlign w:val="center"/>
          </w:tcPr>
          <w:p w14:paraId="3815CED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tc>
        <w:tc>
          <w:tcPr>
            <w:tcW w:w="808" w:type="pct"/>
            <w:vMerge w:val="restart"/>
            <w:vAlign w:val="center"/>
          </w:tcPr>
          <w:p w14:paraId="37AC27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在初孵至盛孵期喷雾。</w:t>
            </w:r>
          </w:p>
        </w:tc>
        <w:tc>
          <w:tcPr>
            <w:tcW w:w="758" w:type="pct"/>
            <w:vAlign w:val="center"/>
          </w:tcPr>
          <w:p w14:paraId="13FE19C3">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3CF30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exact"/>
        </w:trPr>
        <w:tc>
          <w:tcPr>
            <w:tcW w:w="341" w:type="pct"/>
            <w:vMerge w:val="continue"/>
            <w:vAlign w:val="center"/>
          </w:tcPr>
          <w:p w14:paraId="451F376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599E193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bottom w:val="nil"/>
            </w:tcBorders>
            <w:vAlign w:val="center"/>
          </w:tcPr>
          <w:p w14:paraId="2139BA1B">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22%高氯·辛硫磷乳油</w:t>
            </w:r>
          </w:p>
          <w:p w14:paraId="3EA56BF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494" w:type="pct"/>
            <w:tcBorders>
              <w:top w:val="nil"/>
              <w:bottom w:val="nil"/>
            </w:tcBorders>
            <w:vAlign w:val="center"/>
          </w:tcPr>
          <w:p w14:paraId="6B2B812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bottom w:val="nil"/>
            </w:tcBorders>
            <w:vAlign w:val="center"/>
          </w:tcPr>
          <w:p w14:paraId="7F06854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1 500～2 000</w:t>
            </w:r>
          </w:p>
          <w:p w14:paraId="3833624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p>
        </w:tc>
        <w:tc>
          <w:tcPr>
            <w:tcW w:w="808" w:type="pct"/>
            <w:vMerge w:val="continue"/>
            <w:vAlign w:val="center"/>
          </w:tcPr>
          <w:p w14:paraId="264E699B">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1B5E42EC">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21</w:t>
            </w:r>
          </w:p>
        </w:tc>
      </w:tr>
      <w:tr w14:paraId="4957F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341" w:type="pct"/>
            <w:vMerge w:val="continue"/>
            <w:vAlign w:val="center"/>
          </w:tcPr>
          <w:p w14:paraId="1D5E397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42CEFF9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p>
        </w:tc>
        <w:tc>
          <w:tcPr>
            <w:tcW w:w="903" w:type="pct"/>
            <w:tcBorders>
              <w:top w:val="nil"/>
            </w:tcBorders>
            <w:vAlign w:val="center"/>
          </w:tcPr>
          <w:p w14:paraId="1A3025A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8</w:t>
            </w:r>
            <w:r>
              <w:rPr>
                <w:rFonts w:hint="eastAsia" w:ascii="宋体" w:hAnsi="宋体" w:eastAsia="宋体" w:cs="宋体"/>
                <w:sz w:val="18"/>
                <w:szCs w:val="18"/>
              </w:rPr>
              <w:t> 000 IU/mg苏云金杆菌悬浮剂</w:t>
            </w:r>
          </w:p>
        </w:tc>
        <w:tc>
          <w:tcPr>
            <w:tcW w:w="494" w:type="pct"/>
            <w:tcBorders>
              <w:top w:val="nil"/>
            </w:tcBorders>
            <w:vAlign w:val="center"/>
          </w:tcPr>
          <w:p w14:paraId="4420B9A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nil"/>
            </w:tcBorders>
            <w:vAlign w:val="center"/>
          </w:tcPr>
          <w:p w14:paraId="367E200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100～</w:t>
            </w:r>
            <w:r>
              <w:rPr>
                <w:rFonts w:hint="eastAsia" w:ascii="宋体" w:hAnsi="宋体" w:eastAsia="宋体" w:cs="宋体"/>
                <w:sz w:val="18"/>
                <w:szCs w:val="18"/>
                <w:lang w:val="en-US" w:eastAsia="zh-CN"/>
              </w:rPr>
              <w:t>2</w:t>
            </w:r>
            <w:r>
              <w:rPr>
                <w:rFonts w:hint="eastAsia" w:ascii="宋体" w:hAnsi="宋体" w:eastAsia="宋体" w:cs="宋体"/>
                <w:sz w:val="18"/>
                <w:szCs w:val="18"/>
              </w:rPr>
              <w:t>00</w:t>
            </w:r>
          </w:p>
        </w:tc>
        <w:tc>
          <w:tcPr>
            <w:tcW w:w="808" w:type="pct"/>
            <w:vMerge w:val="continue"/>
            <w:vAlign w:val="center"/>
          </w:tcPr>
          <w:p w14:paraId="1FA01592">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0BC93A46">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593BD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341" w:type="pct"/>
            <w:vMerge w:val="restart"/>
            <w:vAlign w:val="center"/>
          </w:tcPr>
          <w:p w14:paraId="4D09DEE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bookmarkStart w:id="18" w:name="_Hlk174566507"/>
            <w:r>
              <w:rPr>
                <w:rFonts w:hint="eastAsia" w:ascii="宋体" w:hAnsi="宋体" w:eastAsia="宋体" w:cs="宋体"/>
                <w:sz w:val="18"/>
                <w:szCs w:val="18"/>
              </w:rPr>
              <w:t>龙眼角颊木虱</w:t>
            </w:r>
            <w:bookmarkEnd w:id="18"/>
          </w:p>
        </w:tc>
        <w:tc>
          <w:tcPr>
            <w:tcW w:w="1083" w:type="pct"/>
            <w:vMerge w:val="restart"/>
          </w:tcPr>
          <w:p w14:paraId="0EB81F0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drawing>
                <wp:inline distT="0" distB="0" distL="0" distR="0">
                  <wp:extent cx="1219200" cy="831215"/>
                  <wp:effectExtent l="0" t="0" r="0" b="6985"/>
                  <wp:docPr id="2090765939" name="Picture 2" descr="C:\DOCUME~1\ADMINI~1\LOCALS~1\Temp\@0M05K3RF9JERJY_D4ZC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939" name="Picture 2" descr="C:\DOCUME~1\ADMINI~1\LOCALS~1\Temp\@0M05K3RF9JERJY_D4ZCKN7.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a:xfrm>
                            <a:off x="0" y="0"/>
                            <a:ext cx="1233464" cy="841518"/>
                          </a:xfrm>
                          <a:prstGeom prst="rect">
                            <a:avLst/>
                          </a:prstGeom>
                          <a:noFill/>
                          <a:ln>
                            <a:noFill/>
                          </a:ln>
                        </pic:spPr>
                      </pic:pic>
                    </a:graphicData>
                  </a:graphic>
                </wp:inline>
              </w:drawing>
            </w:r>
          </w:p>
        </w:tc>
        <w:tc>
          <w:tcPr>
            <w:tcW w:w="903" w:type="pct"/>
            <w:tcBorders>
              <w:bottom w:val="single" w:color="auto" w:sz="4" w:space="0"/>
            </w:tcBorders>
            <w:vAlign w:val="center"/>
          </w:tcPr>
          <w:p w14:paraId="488A24D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20%螺虫·呋虫胺悬浮剂</w:t>
            </w:r>
          </w:p>
        </w:tc>
        <w:tc>
          <w:tcPr>
            <w:tcW w:w="494" w:type="pct"/>
            <w:tcBorders>
              <w:bottom w:val="single" w:color="auto" w:sz="4" w:space="0"/>
            </w:tcBorders>
            <w:vAlign w:val="center"/>
          </w:tcPr>
          <w:p w14:paraId="76B4C7F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bottom w:val="single" w:color="auto" w:sz="4" w:space="0"/>
            </w:tcBorders>
            <w:vAlign w:val="center"/>
          </w:tcPr>
          <w:p w14:paraId="10672EF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2 000～3 000</w:t>
            </w:r>
          </w:p>
        </w:tc>
        <w:tc>
          <w:tcPr>
            <w:tcW w:w="808" w:type="pct"/>
            <w:vMerge w:val="restart"/>
            <w:vAlign w:val="center"/>
          </w:tcPr>
          <w:p w14:paraId="6182497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在若虫孵化</w:t>
            </w:r>
            <w:r>
              <w:rPr>
                <w:rFonts w:hint="eastAsia" w:ascii="宋体" w:hAnsi="宋体" w:eastAsia="宋体" w:cs="宋体"/>
                <w:sz w:val="18"/>
                <w:szCs w:val="18"/>
                <w:lang w:val="en-US" w:eastAsia="zh-CN"/>
              </w:rPr>
              <w:t>高峰</w:t>
            </w:r>
            <w:r>
              <w:rPr>
                <w:rFonts w:hint="eastAsia" w:ascii="宋体" w:hAnsi="宋体" w:eastAsia="宋体" w:cs="宋体"/>
                <w:sz w:val="18"/>
                <w:szCs w:val="18"/>
              </w:rPr>
              <w:t>期</w:t>
            </w:r>
            <w:r>
              <w:rPr>
                <w:rFonts w:hint="eastAsia" w:ascii="宋体" w:hAnsi="宋体" w:eastAsia="宋体" w:cs="宋体"/>
                <w:sz w:val="18"/>
                <w:szCs w:val="18"/>
                <w:lang w:eastAsia="zh-CN"/>
              </w:rPr>
              <w:t>、</w:t>
            </w:r>
            <w:r>
              <w:rPr>
                <w:rFonts w:hint="eastAsia" w:ascii="宋体" w:hAnsi="宋体" w:eastAsia="宋体" w:cs="宋体"/>
                <w:sz w:val="18"/>
                <w:szCs w:val="18"/>
              </w:rPr>
              <w:t>低龄若虫期喷药。</w:t>
            </w:r>
          </w:p>
        </w:tc>
        <w:tc>
          <w:tcPr>
            <w:tcW w:w="758" w:type="pct"/>
            <w:vAlign w:val="center"/>
          </w:tcPr>
          <w:p w14:paraId="184ED2E3">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7AD14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341" w:type="pct"/>
            <w:vMerge w:val="continue"/>
            <w:vAlign w:val="center"/>
          </w:tcPr>
          <w:p w14:paraId="0D636F4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76BB079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bottom w:val="single" w:color="auto" w:sz="4" w:space="0"/>
            </w:tcBorders>
            <w:vAlign w:val="center"/>
          </w:tcPr>
          <w:p w14:paraId="1264E3C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10％吡虫啉可湿性粉剂</w:t>
            </w:r>
          </w:p>
        </w:tc>
        <w:tc>
          <w:tcPr>
            <w:tcW w:w="494" w:type="pct"/>
            <w:tcBorders>
              <w:top w:val="single" w:color="auto" w:sz="4" w:space="0"/>
              <w:bottom w:val="single" w:color="auto" w:sz="4" w:space="0"/>
            </w:tcBorders>
            <w:vAlign w:val="center"/>
          </w:tcPr>
          <w:p w14:paraId="5528AD99">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bottom w:val="single" w:color="auto" w:sz="4" w:space="0"/>
            </w:tcBorders>
            <w:vAlign w:val="center"/>
          </w:tcPr>
          <w:p w14:paraId="29A76D78">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2 000～2 500</w:t>
            </w:r>
          </w:p>
        </w:tc>
        <w:tc>
          <w:tcPr>
            <w:tcW w:w="808" w:type="pct"/>
            <w:vMerge w:val="continue"/>
            <w:vAlign w:val="center"/>
          </w:tcPr>
          <w:p w14:paraId="296E0EC4">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6E33452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r>
      <w:tr w14:paraId="27418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341" w:type="pct"/>
            <w:vMerge w:val="continue"/>
            <w:vAlign w:val="center"/>
          </w:tcPr>
          <w:p w14:paraId="6E9D065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p>
        </w:tc>
        <w:tc>
          <w:tcPr>
            <w:tcW w:w="1083" w:type="pct"/>
            <w:vMerge w:val="continue"/>
          </w:tcPr>
          <w:p w14:paraId="3A1DD9C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p>
        </w:tc>
        <w:tc>
          <w:tcPr>
            <w:tcW w:w="903" w:type="pct"/>
            <w:tcBorders>
              <w:top w:val="single" w:color="auto" w:sz="4" w:space="0"/>
            </w:tcBorders>
            <w:vAlign w:val="center"/>
          </w:tcPr>
          <w:p w14:paraId="26382AD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30%螺虫·噻虫嗪悬浮剂</w:t>
            </w:r>
          </w:p>
        </w:tc>
        <w:tc>
          <w:tcPr>
            <w:tcW w:w="494" w:type="pct"/>
            <w:tcBorders>
              <w:top w:val="single" w:color="auto" w:sz="4" w:space="0"/>
            </w:tcBorders>
            <w:vAlign w:val="center"/>
          </w:tcPr>
          <w:p w14:paraId="53CF5C0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tcBorders>
              <w:top w:val="single" w:color="auto" w:sz="4" w:space="0"/>
            </w:tcBorders>
            <w:vAlign w:val="center"/>
          </w:tcPr>
          <w:p w14:paraId="55098886">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rPr>
              <w:t>3 000～4 000</w:t>
            </w:r>
          </w:p>
        </w:tc>
        <w:tc>
          <w:tcPr>
            <w:tcW w:w="808" w:type="pct"/>
            <w:vMerge w:val="continue"/>
            <w:vAlign w:val="center"/>
          </w:tcPr>
          <w:p w14:paraId="69C767AD">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rPr>
            </w:pPr>
          </w:p>
        </w:tc>
        <w:tc>
          <w:tcPr>
            <w:tcW w:w="758" w:type="pct"/>
            <w:vAlign w:val="center"/>
          </w:tcPr>
          <w:p w14:paraId="4E74F157">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30</w:t>
            </w:r>
          </w:p>
        </w:tc>
      </w:tr>
      <w:tr w14:paraId="27CED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9" w:hRule="exact"/>
        </w:trPr>
        <w:tc>
          <w:tcPr>
            <w:tcW w:w="341" w:type="pct"/>
            <w:vAlign w:val="center"/>
          </w:tcPr>
          <w:p w14:paraId="7BEA545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瘿蚊</w:t>
            </w:r>
          </w:p>
        </w:tc>
        <w:tc>
          <w:tcPr>
            <w:tcW w:w="1083" w:type="pct"/>
          </w:tcPr>
          <w:p w14:paraId="67B30EA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drawing>
                <wp:inline distT="0" distB="0" distL="0" distR="0">
                  <wp:extent cx="1212850" cy="782955"/>
                  <wp:effectExtent l="0" t="0" r="6350" b="171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1"/>
                          <a:stretch>
                            <a:fillRect/>
                          </a:stretch>
                        </pic:blipFill>
                        <pic:spPr>
                          <a:xfrm>
                            <a:off x="0" y="0"/>
                            <a:ext cx="1222711" cy="789913"/>
                          </a:xfrm>
                          <a:prstGeom prst="rect">
                            <a:avLst/>
                          </a:prstGeom>
                          <a:noFill/>
                          <a:ln>
                            <a:noFill/>
                          </a:ln>
                          <a:effectLst/>
                        </pic:spPr>
                      </pic:pic>
                    </a:graphicData>
                  </a:graphic>
                </wp:inline>
              </w:drawing>
            </w:r>
          </w:p>
        </w:tc>
        <w:tc>
          <w:tcPr>
            <w:tcW w:w="903" w:type="pct"/>
            <w:vAlign w:val="center"/>
          </w:tcPr>
          <w:p w14:paraId="19033D4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10%高效氯氟氰菊酯水乳剂</w:t>
            </w:r>
          </w:p>
        </w:tc>
        <w:tc>
          <w:tcPr>
            <w:tcW w:w="494" w:type="pct"/>
            <w:vAlign w:val="center"/>
          </w:tcPr>
          <w:p w14:paraId="238405D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否</w:t>
            </w:r>
          </w:p>
        </w:tc>
        <w:tc>
          <w:tcPr>
            <w:tcW w:w="609" w:type="pct"/>
            <w:vAlign w:val="center"/>
          </w:tcPr>
          <w:p w14:paraId="408F6D2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3 0</w:t>
            </w:r>
            <w:r>
              <w:rPr>
                <w:rFonts w:hint="eastAsia" w:ascii="宋体" w:hAnsi="宋体" w:eastAsia="宋体" w:cs="宋体"/>
                <w:sz w:val="18"/>
                <w:szCs w:val="18"/>
              </w:rPr>
              <w:t>00～</w:t>
            </w:r>
            <w:r>
              <w:rPr>
                <w:rFonts w:hint="eastAsia" w:ascii="宋体" w:hAnsi="宋体" w:eastAsia="宋体" w:cs="宋体"/>
                <w:sz w:val="18"/>
                <w:szCs w:val="18"/>
                <w:lang w:val="en-US" w:eastAsia="zh-CN"/>
              </w:rPr>
              <w:t>4</w:t>
            </w:r>
            <w:r>
              <w:rPr>
                <w:rFonts w:hint="eastAsia" w:ascii="宋体" w:hAnsi="宋体" w:eastAsia="宋体" w:cs="宋体"/>
                <w:sz w:val="18"/>
                <w:szCs w:val="18"/>
              </w:rPr>
              <w:t> 000</w:t>
            </w:r>
          </w:p>
        </w:tc>
        <w:tc>
          <w:tcPr>
            <w:tcW w:w="808" w:type="pct"/>
            <w:vAlign w:val="center"/>
          </w:tcPr>
          <w:p w14:paraId="357BB09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sz w:val="18"/>
                <w:szCs w:val="18"/>
              </w:rPr>
              <w:t>春梢、花穗期及秋梢萌发期根据虫情测报及时挑治或全园喷药防治。</w:t>
            </w:r>
          </w:p>
        </w:tc>
        <w:tc>
          <w:tcPr>
            <w:tcW w:w="758" w:type="pct"/>
            <w:vAlign w:val="center"/>
          </w:tcPr>
          <w:p w14:paraId="4066BD99">
            <w:pPr>
              <w:keepNext w:val="0"/>
              <w:keepLines w:val="0"/>
              <w:pageBreakBefore w:val="0"/>
              <w:kinsoku/>
              <w:wordWrap/>
              <w:overflowPunct/>
              <w:topLinePunct w:val="0"/>
              <w:autoSpaceDE/>
              <w:autoSpaceDN/>
              <w:bidi w:val="0"/>
              <w:spacing w:line="240" w:lineRule="auto"/>
              <w:ind w:firstLine="180" w:firstLineChars="1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r>
      <w:tr w14:paraId="337A5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exact"/>
        </w:trPr>
        <w:tc>
          <w:tcPr>
            <w:tcW w:w="5000" w:type="pct"/>
            <w:gridSpan w:val="7"/>
            <w:tcBorders>
              <w:top w:val="single" w:color="auto" w:sz="8" w:space="0"/>
            </w:tcBorders>
            <w:vAlign w:val="center"/>
          </w:tcPr>
          <w:p w14:paraId="2E592554">
            <w:pPr>
              <w:keepNext w:val="0"/>
              <w:keepLines w:val="0"/>
              <w:pageBreakBefore w:val="0"/>
              <w:kinsoku/>
              <w:wordWrap/>
              <w:overflowPunct/>
              <w:topLinePunct w:val="0"/>
              <w:autoSpaceDE/>
              <w:autoSpaceDN/>
              <w:bidi w:val="0"/>
              <w:spacing w:line="240" w:lineRule="auto"/>
              <w:ind w:firstLine="360" w:firstLineChars="20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注：</w:t>
            </w:r>
            <w:r>
              <w:rPr>
                <w:rFonts w:hint="eastAsia" w:ascii="宋体" w:hAnsi="宋体" w:eastAsia="宋体" w:cs="宋体"/>
                <w:sz w:val="18"/>
                <w:szCs w:val="18"/>
              </w:rPr>
              <w:t>因登记药剂缺乏，补充一些未登记、田间使用效果比较好且经植保部门推荐的药剂供参考，并根据琼农便函[2023]224号文件对药剂的登记情况进行了说明。</w:t>
            </w:r>
          </w:p>
        </w:tc>
      </w:tr>
    </w:tbl>
    <w:p w14:paraId="72A3341F">
      <w:pPr>
        <w:pStyle w:val="5"/>
        <w:tabs>
          <w:tab w:val="left" w:pos="435"/>
        </w:tabs>
        <w:spacing w:before="36" w:line="360" w:lineRule="auto"/>
        <w:ind w:right="3985"/>
        <w:rPr>
          <w:rFonts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t>（8）</w:t>
      </w:r>
      <w:r>
        <w:rPr>
          <w:rFonts w:ascii="Times New Roman" w:hAnsi="Times New Roman" w:cs="Times New Roman" w:eastAsiaTheme="minorEastAsia"/>
          <w:b/>
          <w:bCs/>
          <w:kern w:val="0"/>
          <w:lang w:bidi="ar"/>
        </w:rPr>
        <w:t>采收与</w:t>
      </w:r>
      <w:r>
        <w:rPr>
          <w:rFonts w:hint="eastAsia" w:ascii="Times New Roman" w:hAnsi="Times New Roman" w:cs="Times New Roman" w:eastAsiaTheme="minorEastAsia"/>
          <w:b/>
          <w:bCs/>
          <w:kern w:val="0"/>
          <w:lang w:bidi="ar"/>
        </w:rPr>
        <w:t>采后</w:t>
      </w:r>
      <w:r>
        <w:rPr>
          <w:rFonts w:ascii="Times New Roman" w:hAnsi="Times New Roman" w:cs="Times New Roman" w:eastAsiaTheme="minorEastAsia"/>
          <w:b/>
          <w:bCs/>
          <w:kern w:val="0"/>
          <w:lang w:bidi="ar"/>
        </w:rPr>
        <w:t>处理</w:t>
      </w:r>
    </w:p>
    <w:p w14:paraId="7B3B9485">
      <w:pPr>
        <w:pStyle w:val="5"/>
        <w:tabs>
          <w:tab w:val="left" w:pos="541"/>
        </w:tabs>
        <w:spacing w:line="360" w:lineRule="auto"/>
        <w:ind w:firstLine="560" w:firstLineChars="200"/>
        <w:rPr>
          <w:rFonts w:ascii="Times New Roman" w:hAnsi="Times New Roman" w:cs="Times New Roman" w:eastAsiaTheme="minorEastAsia"/>
          <w:b/>
        </w:rPr>
      </w:pPr>
      <w:r>
        <w:rPr>
          <w:rFonts w:hint="eastAsia" w:ascii="Times New Roman" w:hAnsi="Times New Roman" w:cs="Times New Roman" w:eastAsiaTheme="minorEastAsia"/>
        </w:rPr>
        <w:t>①</w:t>
      </w:r>
      <w:r>
        <w:rPr>
          <w:rFonts w:ascii="Times New Roman" w:hAnsi="Times New Roman" w:cs="Times New Roman" w:eastAsiaTheme="minorEastAsia"/>
        </w:rPr>
        <w:t>采收成熟度</w:t>
      </w:r>
    </w:p>
    <w:p w14:paraId="476F0F83">
      <w:pPr>
        <w:pStyle w:val="5"/>
        <w:tabs>
          <w:tab w:val="left" w:pos="541"/>
        </w:tabs>
        <w:spacing w:line="360" w:lineRule="auto"/>
        <w:ind w:firstLine="560" w:firstLineChars="200"/>
        <w:rPr>
          <w:rFonts w:ascii="Times New Roman" w:hAnsi="Times New Roman" w:cs="Times New Roman" w:eastAsiaTheme="minorEastAsia"/>
        </w:rPr>
      </w:pPr>
      <w:r>
        <w:rPr>
          <w:rFonts w:ascii="Times New Roman" w:hAnsi="Times New Roman" w:cs="Times New Roman" w:eastAsiaTheme="minorEastAsia"/>
        </w:rPr>
        <w:t>确定</w:t>
      </w:r>
      <w:r>
        <w:rPr>
          <w:rFonts w:hint="eastAsia" w:ascii="Times New Roman" w:hAnsi="Times New Roman" w:cs="Times New Roman" w:eastAsiaTheme="minorEastAsia"/>
          <w:lang w:eastAsia="zh-CN"/>
        </w:rPr>
        <w:t>龙眼</w:t>
      </w:r>
      <w:r>
        <w:rPr>
          <w:rFonts w:ascii="Times New Roman" w:hAnsi="Times New Roman" w:cs="Times New Roman" w:eastAsiaTheme="minorEastAsia"/>
        </w:rPr>
        <w:t>最佳的采收成熟度与采收期，在</w:t>
      </w:r>
      <w:r>
        <w:rPr>
          <w:rFonts w:hint="eastAsia" w:ascii="Times New Roman" w:hAnsi="Times New Roman" w:cs="Times New Roman" w:eastAsiaTheme="minorEastAsia"/>
          <w:lang w:eastAsia="zh-CN"/>
        </w:rPr>
        <w:t>龙眼</w:t>
      </w:r>
      <w:r>
        <w:rPr>
          <w:rFonts w:ascii="Times New Roman" w:hAnsi="Times New Roman" w:cs="Times New Roman" w:eastAsiaTheme="minorEastAsia"/>
        </w:rPr>
        <w:t>生产中至关重要。由于</w:t>
      </w:r>
      <w:r>
        <w:rPr>
          <w:rFonts w:hint="eastAsia" w:ascii="Times New Roman" w:hAnsi="Times New Roman" w:cs="Times New Roman" w:eastAsiaTheme="minorEastAsia"/>
          <w:lang w:eastAsia="zh-CN"/>
        </w:rPr>
        <w:t>龙眼</w:t>
      </w:r>
      <w:r>
        <w:rPr>
          <w:rFonts w:hint="eastAsia" w:ascii="Times New Roman" w:hAnsi="Times New Roman" w:cs="Times New Roman" w:eastAsiaTheme="minorEastAsia"/>
          <w:lang w:val="en-US" w:eastAsia="zh-CN"/>
        </w:rPr>
        <w:t>存在果肉自融及退糖现象</w:t>
      </w:r>
      <w:r>
        <w:rPr>
          <w:rFonts w:ascii="Times New Roman" w:hAnsi="Times New Roman" w:cs="Times New Roman" w:eastAsiaTheme="minorEastAsia"/>
        </w:rPr>
        <w:t>，因此采收过</w:t>
      </w:r>
      <w:r>
        <w:rPr>
          <w:rFonts w:hint="eastAsia" w:ascii="Times New Roman" w:hAnsi="Times New Roman" w:cs="Times New Roman" w:eastAsiaTheme="minorEastAsia"/>
        </w:rPr>
        <w:t>晚</w:t>
      </w:r>
      <w:r>
        <w:rPr>
          <w:rFonts w:ascii="Times New Roman" w:hAnsi="Times New Roman" w:cs="Times New Roman" w:eastAsiaTheme="minorEastAsia"/>
        </w:rPr>
        <w:t>，容易造成果实</w:t>
      </w:r>
      <w:r>
        <w:rPr>
          <w:rFonts w:hint="eastAsia" w:ascii="Times New Roman" w:hAnsi="Times New Roman" w:cs="Times New Roman" w:eastAsiaTheme="minorEastAsia"/>
          <w:lang w:val="en-US" w:eastAsia="zh-CN"/>
        </w:rPr>
        <w:t>品质下降</w:t>
      </w:r>
      <w:r>
        <w:rPr>
          <w:rFonts w:ascii="Times New Roman" w:hAnsi="Times New Roman" w:cs="Times New Roman" w:eastAsiaTheme="minorEastAsia"/>
        </w:rPr>
        <w:t>，不耐贮运。</w:t>
      </w:r>
      <w:r>
        <w:rPr>
          <w:rFonts w:hint="eastAsia" w:ascii="Times New Roman" w:hAnsi="Times New Roman" w:cs="Times New Roman" w:eastAsiaTheme="minorEastAsia"/>
          <w:lang w:val="en-US" w:eastAsia="zh-CN"/>
        </w:rPr>
        <w:t>无论是</w:t>
      </w:r>
      <w:r>
        <w:rPr>
          <w:rFonts w:ascii="Times New Roman" w:hAnsi="Times New Roman" w:cs="Times New Roman" w:eastAsiaTheme="minorEastAsia"/>
        </w:rPr>
        <w:t>作鲜食</w:t>
      </w:r>
      <w:r>
        <w:rPr>
          <w:rFonts w:hint="eastAsia" w:ascii="Times New Roman" w:hAnsi="Times New Roman" w:cs="Times New Roman" w:eastAsiaTheme="minorEastAsia"/>
          <w:lang w:val="en-US" w:eastAsia="zh-CN"/>
        </w:rPr>
        <w:t>还是加工</w:t>
      </w:r>
      <w:r>
        <w:rPr>
          <w:rFonts w:ascii="Times New Roman" w:hAnsi="Times New Roman" w:cs="Times New Roman" w:eastAsiaTheme="minorEastAsia"/>
        </w:rPr>
        <w:t>的果实宜在</w:t>
      </w:r>
      <w:r>
        <w:rPr>
          <w:rFonts w:hint="eastAsia"/>
        </w:rPr>
        <w:t>成熟度</w:t>
      </w:r>
      <w:r>
        <w:rPr>
          <w:rFonts w:ascii="Times New Roman" w:hAnsi="Times New Roman" w:cs="Times New Roman" w:eastAsiaTheme="minorEastAsia"/>
        </w:rPr>
        <w:t>9成</w:t>
      </w:r>
      <w:r>
        <w:rPr>
          <w:rFonts w:hint="eastAsia" w:ascii="Times New Roman" w:hAnsi="Times New Roman" w:cs="Times New Roman" w:eastAsiaTheme="minorEastAsia"/>
          <w:lang w:val="en-US" w:eastAsia="zh-CN"/>
        </w:rPr>
        <w:t>以上</w:t>
      </w:r>
      <w:r>
        <w:rPr>
          <w:rFonts w:ascii="Times New Roman" w:hAnsi="Times New Roman" w:cs="Times New Roman" w:eastAsiaTheme="minorEastAsia"/>
        </w:rPr>
        <w:t>采收。</w:t>
      </w:r>
    </w:p>
    <w:p w14:paraId="60037EC9">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②</w:t>
      </w:r>
      <w:r>
        <w:rPr>
          <w:rFonts w:ascii="Times New Roman" w:hAnsi="Times New Roman" w:cs="Times New Roman" w:eastAsiaTheme="minorEastAsia"/>
        </w:rPr>
        <w:t>采收要求</w:t>
      </w:r>
    </w:p>
    <w:p w14:paraId="605C1E1F">
      <w:pPr>
        <w:pStyle w:val="5"/>
        <w:tabs>
          <w:tab w:val="left" w:pos="541"/>
        </w:tabs>
        <w:spacing w:line="360" w:lineRule="auto"/>
        <w:ind w:firstLine="560" w:firstLineChars="200"/>
        <w:rPr>
          <w:rFonts w:hint="eastAsia" w:ascii="Times New Roman" w:hAnsi="Times New Roman" w:cs="Times New Roman" w:eastAsiaTheme="minorEastAsia"/>
        </w:rPr>
      </w:pPr>
      <w:r>
        <w:rPr>
          <w:rFonts w:hint="eastAsia" w:ascii="Times New Roman" w:hAnsi="Times New Roman" w:cs="Times New Roman" w:eastAsiaTheme="minorEastAsia"/>
        </w:rPr>
        <w:t>整个采收</w:t>
      </w:r>
      <w:r>
        <w:rPr>
          <w:rFonts w:hint="eastAsia" w:ascii="Times New Roman" w:hAnsi="Times New Roman" w:cs="Times New Roman" w:eastAsiaTheme="minorEastAsia"/>
          <w:lang w:val="en-US" w:eastAsia="zh-CN"/>
        </w:rPr>
        <w:t>及搬运</w:t>
      </w:r>
      <w:r>
        <w:rPr>
          <w:rFonts w:hint="eastAsia" w:ascii="Times New Roman" w:hAnsi="Times New Roman" w:cs="Times New Roman" w:eastAsiaTheme="minorEastAsia"/>
        </w:rPr>
        <w:t>过程中应轻拿轻放，尽可能避免机械损伤。采收宜选晴天上午或阴天</w:t>
      </w:r>
      <w:r>
        <w:rPr>
          <w:rFonts w:hint="eastAsia" w:ascii="Times New Roman" w:hAnsi="Times New Roman" w:cs="Times New Roman" w:eastAsiaTheme="minorEastAsia"/>
          <w:lang w:eastAsia="zh-CN"/>
        </w:rPr>
        <w:t>。</w:t>
      </w:r>
      <w:r>
        <w:rPr>
          <w:rFonts w:hint="eastAsia" w:ascii="Times New Roman" w:hAnsi="Times New Roman" w:cs="Times New Roman" w:eastAsiaTheme="minorEastAsia"/>
        </w:rPr>
        <w:t>雨天或烈日下不宜进行。</w:t>
      </w:r>
    </w:p>
    <w:p w14:paraId="3550608A">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③</w:t>
      </w:r>
      <w:r>
        <w:rPr>
          <w:rFonts w:ascii="Times New Roman" w:hAnsi="Times New Roman" w:cs="Times New Roman" w:eastAsiaTheme="minorEastAsia"/>
        </w:rPr>
        <w:t>采</w:t>
      </w:r>
      <w:r>
        <w:rPr>
          <w:rFonts w:hint="eastAsia" w:ascii="Times New Roman" w:hAnsi="Times New Roman" w:cs="Times New Roman" w:eastAsiaTheme="minorEastAsia"/>
        </w:rPr>
        <w:t>后</w:t>
      </w:r>
      <w:r>
        <w:rPr>
          <w:rFonts w:ascii="Times New Roman" w:hAnsi="Times New Roman" w:cs="Times New Roman" w:eastAsiaTheme="minorEastAsia"/>
        </w:rPr>
        <w:t>处理</w:t>
      </w:r>
    </w:p>
    <w:p w14:paraId="18F00781">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采收后应及时对果品进行预冷，一般情况下，6 h内完成果品的预冷、分拣、分级及保鲜处理。</w:t>
      </w:r>
    </w:p>
    <w:p w14:paraId="69DF6ABF">
      <w:pPr>
        <w:pStyle w:val="5"/>
        <w:tabs>
          <w:tab w:val="left" w:pos="541"/>
        </w:tabs>
        <w:spacing w:line="360" w:lineRule="auto"/>
        <w:rPr>
          <w:rFonts w:ascii="Times New Roman" w:hAnsi="Times New Roman" w:cs="Times New Roman" w:eastAsiaTheme="minorEastAsia"/>
          <w:b/>
          <w:bCs/>
          <w:kern w:val="0"/>
          <w:lang w:bidi="ar"/>
        </w:rPr>
      </w:pPr>
      <w:r>
        <w:rPr>
          <w:rFonts w:hint="eastAsia" w:ascii="Times New Roman" w:hAnsi="Times New Roman" w:cs="Times New Roman" w:eastAsiaTheme="minorEastAsia"/>
          <w:b/>
          <w:bCs/>
          <w:kern w:val="0"/>
          <w:lang w:bidi="ar"/>
        </w:rPr>
        <w:t>（9）</w:t>
      </w:r>
      <w:r>
        <w:rPr>
          <w:rFonts w:ascii="Times New Roman" w:hAnsi="Times New Roman" w:cs="Times New Roman" w:eastAsiaTheme="minorEastAsia"/>
          <w:b/>
          <w:bCs/>
          <w:kern w:val="0"/>
          <w:lang w:bidi="ar"/>
        </w:rPr>
        <w:t>果品质量</w:t>
      </w:r>
    </w:p>
    <w:p w14:paraId="2C46A707">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①</w:t>
      </w:r>
      <w:r>
        <w:rPr>
          <w:rFonts w:ascii="Times New Roman" w:hAnsi="Times New Roman" w:cs="Times New Roman" w:eastAsiaTheme="minorEastAsia"/>
        </w:rPr>
        <w:t>基本要求</w:t>
      </w:r>
    </w:p>
    <w:p w14:paraId="0D4C298D">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——具备本品种固有的特征和风味，具体要求见附录B；</w:t>
      </w:r>
    </w:p>
    <w:p w14:paraId="3DE2AC83">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——果实成熟度</w:t>
      </w:r>
      <w:r>
        <w:rPr>
          <w:rFonts w:hint="eastAsia" w:ascii="宋体" w:hAnsi="宋体" w:eastAsia="宋体" w:cs="宋体"/>
          <w:kern w:val="0"/>
          <w:highlight w:val="none"/>
          <w:lang w:val="en-US" w:eastAsia="zh-CN" w:bidi="ar"/>
        </w:rPr>
        <w:t>一致，</w:t>
      </w:r>
      <w:r>
        <w:rPr>
          <w:rFonts w:hint="eastAsia" w:ascii="宋体" w:hAnsi="宋体" w:eastAsia="宋体" w:cs="宋体"/>
          <w:kern w:val="0"/>
          <w:highlight w:val="none"/>
          <w:lang w:bidi="ar"/>
        </w:rPr>
        <w:t>无</w:t>
      </w:r>
      <w:r>
        <w:rPr>
          <w:rFonts w:hint="eastAsia" w:ascii="宋体" w:hAnsi="宋体" w:eastAsia="宋体" w:cs="宋体"/>
          <w:kern w:val="0"/>
          <w:highlight w:val="none"/>
          <w:lang w:val="en-US" w:eastAsia="zh-CN" w:bidi="ar"/>
        </w:rPr>
        <w:t>过分成熟，</w:t>
      </w:r>
      <w:r>
        <w:rPr>
          <w:rFonts w:hint="eastAsia" w:ascii="宋体" w:hAnsi="宋体" w:eastAsia="宋体" w:cs="宋体"/>
          <w:kern w:val="0"/>
          <w:highlight w:val="none"/>
          <w:lang w:bidi="ar"/>
        </w:rPr>
        <w:t>果实新鲜洁净，无</w:t>
      </w:r>
      <w:r>
        <w:rPr>
          <w:rFonts w:hint="eastAsia" w:ascii="宋体" w:hAnsi="宋体" w:eastAsia="宋体" w:cs="宋体"/>
          <w:kern w:val="0"/>
          <w:highlight w:val="none"/>
          <w:lang w:val="en-US" w:eastAsia="zh-CN" w:bidi="ar"/>
        </w:rPr>
        <w:t>裂果，无</w:t>
      </w:r>
      <w:r>
        <w:rPr>
          <w:rFonts w:hint="eastAsia" w:ascii="宋体" w:hAnsi="宋体" w:eastAsia="宋体" w:cs="宋体"/>
          <w:kern w:val="0"/>
          <w:highlight w:val="none"/>
          <w:lang w:bidi="ar"/>
        </w:rPr>
        <w:t>腐烂；</w:t>
      </w:r>
    </w:p>
    <w:p w14:paraId="0B15B4AA">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w:t>
      </w:r>
      <w:r>
        <w:rPr>
          <w:rFonts w:hint="eastAsia" w:ascii="宋体" w:hAnsi="宋体" w:eastAsia="宋体" w:cs="宋体"/>
          <w:kern w:val="0"/>
          <w:highlight w:val="none"/>
          <w:lang w:val="en-US" w:eastAsia="zh-CN" w:bidi="ar"/>
        </w:rPr>
        <w:t>无</w:t>
      </w:r>
      <w:r>
        <w:rPr>
          <w:rFonts w:hint="eastAsia" w:ascii="宋体" w:hAnsi="宋体" w:eastAsia="宋体" w:cs="宋体"/>
          <w:kern w:val="0"/>
          <w:highlight w:val="none"/>
          <w:lang w:bidi="ar"/>
        </w:rPr>
        <w:t>异常气味</w:t>
      </w:r>
      <w:r>
        <w:rPr>
          <w:rFonts w:hint="eastAsia" w:ascii="宋体" w:hAnsi="宋体" w:eastAsia="宋体" w:cs="宋体"/>
          <w:kern w:val="0"/>
          <w:highlight w:val="none"/>
          <w:lang w:bidi="ar"/>
        </w:rPr>
        <w:t>和</w:t>
      </w:r>
      <w:r>
        <w:rPr>
          <w:rFonts w:hint="eastAsia" w:ascii="宋体" w:hAnsi="宋体" w:eastAsia="宋体" w:cs="宋体"/>
          <w:kern w:val="0"/>
          <w:highlight w:val="none"/>
          <w:lang w:val="en-US" w:eastAsia="zh-CN" w:bidi="ar"/>
        </w:rPr>
        <w:t>口感</w:t>
      </w:r>
      <w:r>
        <w:rPr>
          <w:rFonts w:hint="eastAsia" w:ascii="宋体" w:hAnsi="宋体" w:eastAsia="宋体" w:cs="宋体"/>
          <w:kern w:val="0"/>
          <w:highlight w:val="none"/>
          <w:lang w:bidi="ar"/>
        </w:rPr>
        <w:t>。</w:t>
      </w:r>
    </w:p>
    <w:p w14:paraId="1C3E8C35">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②等级要求</w:t>
      </w:r>
    </w:p>
    <w:p w14:paraId="54670BC4">
      <w:pPr>
        <w:pStyle w:val="5"/>
        <w:tabs>
          <w:tab w:val="left" w:pos="541"/>
        </w:tabs>
        <w:spacing w:line="360" w:lineRule="auto"/>
        <w:ind w:firstLine="560" w:firstLineChars="200"/>
        <w:rPr>
          <w:rFonts w:hint="eastAsia" w:ascii="宋体" w:hAnsi="宋体" w:eastAsia="宋体" w:cs="宋体"/>
          <w:kern w:val="0"/>
          <w:highlight w:val="none"/>
          <w:lang w:val="en-US" w:eastAsia="zh-CN" w:bidi="ar"/>
        </w:rPr>
      </w:pPr>
      <w:r>
        <w:rPr>
          <w:rFonts w:hint="eastAsia" w:ascii="宋体" w:hAnsi="宋体" w:eastAsia="宋体" w:cs="宋体"/>
          <w:kern w:val="0"/>
          <w:highlight w:val="none"/>
          <w:lang w:bidi="ar"/>
        </w:rPr>
        <w:t>在符合基本要求的前提下，龙眼</w:t>
      </w:r>
      <w:r>
        <w:rPr>
          <w:rFonts w:hint="eastAsia" w:ascii="宋体" w:hAnsi="宋体" w:eastAsia="宋体" w:cs="宋体"/>
          <w:kern w:val="0"/>
          <w:highlight w:val="none"/>
          <w:lang w:val="en-US" w:eastAsia="zh-CN" w:bidi="ar"/>
        </w:rPr>
        <w:t>等级划分按照NY/T 2260执行。</w:t>
      </w:r>
    </w:p>
    <w:p w14:paraId="3210675A">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③规格</w:t>
      </w:r>
    </w:p>
    <w:p w14:paraId="4AA7E101">
      <w:pPr>
        <w:pStyle w:val="5"/>
        <w:tabs>
          <w:tab w:val="left" w:pos="541"/>
        </w:tabs>
        <w:spacing w:line="360" w:lineRule="auto"/>
        <w:ind w:firstLine="560" w:firstLineChars="200"/>
        <w:rPr>
          <w:rFonts w:hint="eastAsia" w:ascii="宋体" w:hAnsi="宋体" w:eastAsia="宋体" w:cs="宋体"/>
          <w:kern w:val="0"/>
          <w:highlight w:val="none"/>
          <w:lang w:bidi="ar"/>
        </w:rPr>
      </w:pPr>
      <w:r>
        <w:rPr>
          <w:rFonts w:hint="eastAsia" w:ascii="宋体" w:hAnsi="宋体" w:eastAsia="宋体" w:cs="宋体"/>
          <w:kern w:val="0"/>
          <w:highlight w:val="none"/>
          <w:lang w:bidi="ar"/>
        </w:rPr>
        <w:t>以千克果实粒数</w:t>
      </w:r>
      <w:r>
        <w:rPr>
          <w:rFonts w:hint="eastAsia" w:ascii="宋体" w:hAnsi="宋体" w:eastAsia="宋体" w:cs="宋体"/>
          <w:kern w:val="0"/>
          <w:highlight w:val="none"/>
          <w:lang w:eastAsia="zh-CN" w:bidi="ar"/>
        </w:rPr>
        <w:t>（</w:t>
      </w:r>
      <w:r>
        <w:rPr>
          <w:rFonts w:hint="eastAsia" w:ascii="宋体" w:hAnsi="宋体" w:eastAsia="宋体" w:cs="宋体"/>
          <w:kern w:val="0"/>
          <w:highlight w:val="none"/>
          <w:lang w:val="en-US" w:eastAsia="zh-CN" w:bidi="ar"/>
        </w:rPr>
        <w:t>串果</w:t>
      </w:r>
      <w:r>
        <w:rPr>
          <w:rFonts w:hint="eastAsia" w:ascii="宋体" w:hAnsi="宋体" w:eastAsia="宋体" w:cs="宋体"/>
          <w:kern w:val="0"/>
          <w:highlight w:val="none"/>
          <w:lang w:eastAsia="zh-CN" w:bidi="ar"/>
        </w:rPr>
        <w:t>）</w:t>
      </w:r>
      <w:r>
        <w:rPr>
          <w:rFonts w:hint="eastAsia" w:ascii="宋体" w:hAnsi="宋体" w:eastAsia="宋体" w:cs="宋体"/>
          <w:kern w:val="0"/>
          <w:highlight w:val="none"/>
          <w:lang w:bidi="ar"/>
        </w:rPr>
        <w:t>作为划分规格指标，龙眼分为大果（L）、中果（M）和小果（S）</w:t>
      </w:r>
      <w:r>
        <w:rPr>
          <w:rFonts w:hint="eastAsia" w:ascii="宋体" w:hAnsi="宋体" w:eastAsia="宋体" w:cs="宋体"/>
          <w:kern w:val="0"/>
          <w:highlight w:val="none"/>
          <w:lang w:val="en-US" w:eastAsia="zh-CN" w:bidi="ar"/>
        </w:rPr>
        <w:t>三</w:t>
      </w:r>
      <w:r>
        <w:rPr>
          <w:rFonts w:hint="eastAsia" w:ascii="宋体" w:hAnsi="宋体" w:eastAsia="宋体" w:cs="宋体"/>
          <w:kern w:val="0"/>
          <w:highlight w:val="none"/>
          <w:lang w:bidi="ar"/>
        </w:rPr>
        <w:t>个规格。</w:t>
      </w:r>
    </w:p>
    <w:p w14:paraId="0159C7F3">
      <w:pPr>
        <w:widowControl/>
        <w:spacing w:before="156" w:beforeLines="50" w:after="156" w:afterLines="50" w:line="240" w:lineRule="auto"/>
        <w:jc w:val="center"/>
        <w:outlineLvl w:val="1"/>
        <w:rPr>
          <w:rFonts w:hint="eastAsia" w:ascii="黑体" w:hAnsi="宋体" w:eastAsia="黑体" w:cs="黑体"/>
          <w:kern w:val="0"/>
          <w:lang w:eastAsia="zh-CN"/>
        </w:rPr>
      </w:pPr>
      <w:bookmarkStart w:id="19" w:name="_Toc21383"/>
      <w:bookmarkStart w:id="20" w:name="_Toc5754"/>
      <w:r>
        <w:rPr>
          <w:rFonts w:hint="eastAsia" w:ascii="Times New Roman" w:eastAsiaTheme="minorEastAsia"/>
          <w:b/>
          <w:bCs/>
          <w:kern w:val="0"/>
          <w:sz w:val="24"/>
          <w:szCs w:val="24"/>
          <w:lang w:bidi="ar"/>
        </w:rPr>
        <w:t>表</w:t>
      </w:r>
      <w:r>
        <w:rPr>
          <w:rFonts w:hint="eastAsia" w:ascii="Times New Roman"/>
          <w:b/>
          <w:bCs/>
          <w:kern w:val="0"/>
          <w:sz w:val="24"/>
          <w:szCs w:val="24"/>
          <w:lang w:val="en-US" w:eastAsia="zh-CN" w:bidi="ar"/>
        </w:rPr>
        <w:t>7</w:t>
      </w:r>
      <w:r>
        <w:rPr>
          <w:rFonts w:hint="eastAsia" w:ascii="Times New Roman" w:eastAsiaTheme="minorEastAsia"/>
          <w:b/>
          <w:bCs/>
          <w:kern w:val="0"/>
          <w:sz w:val="24"/>
          <w:szCs w:val="24"/>
          <w:lang w:bidi="ar"/>
        </w:rPr>
        <w:t xml:space="preserve">  主要品种龙眼果实规格</w:t>
      </w:r>
      <w:bookmarkEnd w:id="19"/>
      <w:bookmarkEnd w:id="20"/>
      <w:r>
        <w:rPr>
          <w:rFonts w:hint="eastAsia" w:ascii="Times New Roman" w:eastAsiaTheme="minorEastAsia"/>
          <w:b/>
          <w:bCs/>
          <w:kern w:val="0"/>
          <w:sz w:val="24"/>
          <w:szCs w:val="24"/>
          <w:lang w:eastAsia="zh-CN" w:bidi="ar"/>
        </w:rPr>
        <w:t>（</w:t>
      </w:r>
      <w:r>
        <w:rPr>
          <w:rFonts w:hint="eastAsia" w:ascii="Times New Roman" w:eastAsiaTheme="minorEastAsia"/>
          <w:b/>
          <w:bCs/>
          <w:kern w:val="0"/>
          <w:sz w:val="24"/>
          <w:szCs w:val="24"/>
          <w:lang w:bidi="ar"/>
        </w:rPr>
        <w:t>单位：粒每千克</w:t>
      </w:r>
      <w:r>
        <w:rPr>
          <w:rFonts w:hint="eastAsia" w:ascii="Times New Roman" w:eastAsiaTheme="minorEastAsia"/>
          <w:b/>
          <w:bCs/>
          <w:kern w:val="0"/>
          <w:sz w:val="24"/>
          <w:szCs w:val="24"/>
          <w:lang w:eastAsia="zh-CN" w:bidi="ar"/>
        </w:rPr>
        <w:t>）</w:t>
      </w:r>
    </w:p>
    <w:tbl>
      <w:tblPr>
        <w:tblStyle w:val="14"/>
        <w:tblW w:w="75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1941"/>
        <w:gridCol w:w="1986"/>
        <w:gridCol w:w="2147"/>
      </w:tblGrid>
      <w:tr w14:paraId="58F0D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65" w:type="dxa"/>
            <w:vMerge w:val="restart"/>
            <w:vAlign w:val="center"/>
          </w:tcPr>
          <w:p w14:paraId="01FDC0FF">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品种</w:t>
            </w:r>
          </w:p>
        </w:tc>
        <w:tc>
          <w:tcPr>
            <w:tcW w:w="6074" w:type="dxa"/>
            <w:gridSpan w:val="3"/>
            <w:tcBorders>
              <w:bottom w:val="single" w:color="auto" w:sz="8" w:space="0"/>
            </w:tcBorders>
            <w:vAlign w:val="center"/>
          </w:tcPr>
          <w:p w14:paraId="15010B8E">
            <w:pPr>
              <w:widowControl/>
              <w:spacing w:line="240" w:lineRule="auto"/>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rPr>
              <w:t>规格</w:t>
            </w:r>
            <w:r>
              <w:rPr>
                <w:rFonts w:hint="eastAsia" w:ascii="宋体" w:hAnsi="宋体" w:cs="宋体"/>
                <w:kern w:val="0"/>
                <w:sz w:val="18"/>
                <w:szCs w:val="18"/>
                <w:lang w:val="en-US" w:eastAsia="zh-CN"/>
              </w:rPr>
              <w:t>/粒</w:t>
            </w:r>
          </w:p>
        </w:tc>
      </w:tr>
      <w:tr w14:paraId="4DA3F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65" w:type="dxa"/>
            <w:vMerge w:val="continue"/>
            <w:tcBorders>
              <w:bottom w:val="single" w:color="auto" w:sz="8" w:space="0"/>
            </w:tcBorders>
            <w:vAlign w:val="center"/>
          </w:tcPr>
          <w:p w14:paraId="137D7DE4">
            <w:pPr>
              <w:widowControl/>
              <w:spacing w:line="240" w:lineRule="auto"/>
              <w:jc w:val="center"/>
              <w:rPr>
                <w:rFonts w:hint="eastAsia" w:ascii="宋体" w:hAnsi="宋体" w:cs="宋体"/>
                <w:kern w:val="0"/>
                <w:sz w:val="18"/>
                <w:szCs w:val="18"/>
              </w:rPr>
            </w:pPr>
          </w:p>
        </w:tc>
        <w:tc>
          <w:tcPr>
            <w:tcW w:w="1941" w:type="dxa"/>
            <w:tcBorders>
              <w:top w:val="single" w:color="auto" w:sz="8" w:space="0"/>
              <w:bottom w:val="single" w:color="auto" w:sz="8" w:space="0"/>
            </w:tcBorders>
            <w:vAlign w:val="center"/>
          </w:tcPr>
          <w:p w14:paraId="26E9FF09">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大果</w:t>
            </w:r>
            <w:r>
              <w:rPr>
                <w:rFonts w:hint="eastAsia" w:ascii="宋体" w:hAnsi="Times New Roman"/>
                <w:kern w:val="0"/>
              </w:rPr>
              <w:t>（L）</w:t>
            </w:r>
          </w:p>
        </w:tc>
        <w:tc>
          <w:tcPr>
            <w:tcW w:w="1986" w:type="dxa"/>
            <w:tcBorders>
              <w:top w:val="single" w:color="auto" w:sz="8" w:space="0"/>
              <w:bottom w:val="single" w:color="auto" w:sz="8" w:space="0"/>
            </w:tcBorders>
            <w:vAlign w:val="center"/>
          </w:tcPr>
          <w:p w14:paraId="3DDC966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中果</w:t>
            </w:r>
            <w:r>
              <w:rPr>
                <w:rFonts w:hint="eastAsia" w:ascii="宋体" w:hAnsi="Times New Roman"/>
                <w:kern w:val="0"/>
              </w:rPr>
              <w:t>（M）</w:t>
            </w:r>
          </w:p>
        </w:tc>
        <w:tc>
          <w:tcPr>
            <w:tcW w:w="2147" w:type="dxa"/>
            <w:tcBorders>
              <w:top w:val="single" w:color="auto" w:sz="8" w:space="0"/>
              <w:bottom w:val="single" w:color="auto" w:sz="8" w:space="0"/>
            </w:tcBorders>
            <w:vAlign w:val="center"/>
          </w:tcPr>
          <w:p w14:paraId="5CF5B33C">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rPr>
              <w:t>小果</w:t>
            </w:r>
            <w:r>
              <w:rPr>
                <w:rFonts w:hint="eastAsia" w:ascii="宋体" w:hAnsi="Times New Roman"/>
                <w:kern w:val="0"/>
              </w:rPr>
              <w:t>（S）</w:t>
            </w:r>
          </w:p>
        </w:tc>
      </w:tr>
      <w:tr w14:paraId="26564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65" w:type="dxa"/>
            <w:tcBorders>
              <w:top w:val="single" w:color="auto" w:sz="8" w:space="0"/>
            </w:tcBorders>
            <w:vAlign w:val="center"/>
          </w:tcPr>
          <w:p w14:paraId="10C06E90">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储良</w:t>
            </w:r>
          </w:p>
        </w:tc>
        <w:tc>
          <w:tcPr>
            <w:tcW w:w="1941" w:type="dxa"/>
            <w:tcBorders>
              <w:top w:val="single" w:color="auto" w:sz="8" w:space="0"/>
            </w:tcBorders>
            <w:vAlign w:val="center"/>
          </w:tcPr>
          <w:p w14:paraId="4AC7266F">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50～60</w:t>
            </w:r>
          </w:p>
        </w:tc>
        <w:tc>
          <w:tcPr>
            <w:tcW w:w="1986" w:type="dxa"/>
            <w:tcBorders>
              <w:top w:val="single" w:color="auto" w:sz="8" w:space="0"/>
            </w:tcBorders>
            <w:vAlign w:val="center"/>
          </w:tcPr>
          <w:p w14:paraId="0788B2A3">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2147" w:type="dxa"/>
            <w:tcBorders>
              <w:top w:val="single" w:color="auto" w:sz="8" w:space="0"/>
            </w:tcBorders>
            <w:vAlign w:val="center"/>
          </w:tcPr>
          <w:p w14:paraId="61FF74D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101～120</w:t>
            </w:r>
          </w:p>
        </w:tc>
      </w:tr>
      <w:tr w14:paraId="50CCC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65" w:type="dxa"/>
            <w:vAlign w:val="center"/>
          </w:tcPr>
          <w:p w14:paraId="05F641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石硖</w:t>
            </w:r>
          </w:p>
        </w:tc>
        <w:tc>
          <w:tcPr>
            <w:tcW w:w="1941" w:type="dxa"/>
            <w:vAlign w:val="center"/>
          </w:tcPr>
          <w:p w14:paraId="497F2BC5">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61～100</w:t>
            </w:r>
          </w:p>
        </w:tc>
        <w:tc>
          <w:tcPr>
            <w:tcW w:w="1986" w:type="dxa"/>
            <w:vAlign w:val="center"/>
          </w:tcPr>
          <w:p w14:paraId="31153F8D">
            <w:pPr>
              <w:widowControl/>
              <w:spacing w:line="240" w:lineRule="auto"/>
              <w:jc w:val="center"/>
              <w:rPr>
                <w:rFonts w:hint="eastAsia" w:ascii="宋体" w:hAnsi="宋体" w:cs="宋体"/>
                <w:kern w:val="0"/>
                <w:sz w:val="18"/>
                <w:szCs w:val="18"/>
              </w:rPr>
            </w:pPr>
            <w:r>
              <w:rPr>
                <w:rFonts w:hint="eastAsia" w:ascii="宋体" w:hAnsi="宋体" w:cs="宋体"/>
                <w:kern w:val="0"/>
                <w:sz w:val="18"/>
                <w:szCs w:val="18"/>
                <w:lang w:val="en-US" w:eastAsia="zh-CN"/>
              </w:rPr>
              <w:t>101～120</w:t>
            </w:r>
          </w:p>
        </w:tc>
        <w:tc>
          <w:tcPr>
            <w:tcW w:w="2147" w:type="dxa"/>
            <w:vAlign w:val="center"/>
          </w:tcPr>
          <w:p w14:paraId="564F0D57">
            <w:pPr>
              <w:widowControl/>
              <w:spacing w:line="240" w:lineRule="auto"/>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121～140</w:t>
            </w:r>
          </w:p>
        </w:tc>
      </w:tr>
      <w:tr w14:paraId="78A27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39" w:type="dxa"/>
            <w:gridSpan w:val="4"/>
            <w:tcBorders>
              <w:top w:val="single" w:color="auto" w:sz="8" w:space="0"/>
            </w:tcBorders>
            <w:vAlign w:val="center"/>
          </w:tcPr>
          <w:p w14:paraId="51219C68">
            <w:pPr>
              <w:widowControl/>
              <w:spacing w:line="240" w:lineRule="auto"/>
              <w:ind w:firstLine="360" w:firstLineChars="200"/>
              <w:jc w:val="left"/>
              <w:rPr>
                <w:rFonts w:hint="eastAsia" w:ascii="宋体" w:hAnsi="宋体" w:cs="宋体"/>
                <w:kern w:val="0"/>
                <w:sz w:val="18"/>
                <w:szCs w:val="18"/>
              </w:rPr>
            </w:pPr>
            <w:r>
              <w:rPr>
                <w:rFonts w:hint="eastAsia" w:ascii="黑体" w:hAnsi="黑体" w:eastAsia="黑体" w:cs="宋体"/>
                <w:kern w:val="0"/>
                <w:sz w:val="18"/>
                <w:szCs w:val="18"/>
              </w:rPr>
              <w:t>注：</w:t>
            </w:r>
            <w:r>
              <w:rPr>
                <w:rFonts w:hint="eastAsia" w:ascii="宋体" w:hAnsi="宋体" w:cs="宋体"/>
                <w:kern w:val="0"/>
                <w:sz w:val="18"/>
                <w:szCs w:val="18"/>
              </w:rPr>
              <w:t>表中未能列入的其他品种，可根据品种特性参照近似品种的有关指标。</w:t>
            </w:r>
          </w:p>
        </w:tc>
      </w:tr>
    </w:tbl>
    <w:p w14:paraId="5C169978">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④</w:t>
      </w:r>
      <w:r>
        <w:rPr>
          <w:rFonts w:ascii="Times New Roman" w:hAnsi="Times New Roman" w:cs="Times New Roman" w:eastAsiaTheme="minorEastAsia"/>
        </w:rPr>
        <w:t>容许度</w:t>
      </w:r>
    </w:p>
    <w:p w14:paraId="73C9C52F">
      <w:pPr>
        <w:spacing w:line="360" w:lineRule="auto"/>
        <w:ind w:firstLine="420" w:firstLineChars="200"/>
        <w:rPr>
          <w:rFonts w:hint="eastAsia" w:ascii="Times New Roman" w:hAnsi="Times New Roman" w:cs="Times New Roman"/>
          <w:sz w:val="28"/>
          <w:szCs w:val="28"/>
        </w:rPr>
      </w:pPr>
      <w:r>
        <w:rPr>
          <w:rFonts w:hint="eastAsia" w:ascii="Times New Roman" w:hAnsi="Times New Roman" w:cs="Times New Roman" w:eastAsiaTheme="minorEastAsia"/>
        </w:rPr>
        <w:t>——</w:t>
      </w:r>
      <w:r>
        <w:rPr>
          <w:rFonts w:hint="eastAsia" w:ascii="Times New Roman" w:hAnsi="Times New Roman" w:cs="Times New Roman"/>
          <w:sz w:val="28"/>
          <w:szCs w:val="28"/>
        </w:rPr>
        <w:t>等级容许度</w:t>
      </w:r>
    </w:p>
    <w:p w14:paraId="32324C96">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等级容许度按质量计：</w:t>
      </w:r>
    </w:p>
    <w:p w14:paraId="7032C7CC">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a）特等品允许有5%的果实不符合本等级的要求，但应符合一等品要求；</w:t>
      </w:r>
    </w:p>
    <w:p w14:paraId="6CEBE875">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b）一等品允许有8%的果实不符合本等级的要求，但应符合二等品要求；</w:t>
      </w:r>
    </w:p>
    <w:p w14:paraId="2A859C00">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c）二等品允许有10%的果实不符合本等级的要求，但应符合基本要求。</w:t>
      </w:r>
    </w:p>
    <w:p w14:paraId="3844F2BE">
      <w:pPr>
        <w:spacing w:line="360" w:lineRule="auto"/>
        <w:ind w:firstLine="420" w:firstLineChars="200"/>
        <w:rPr>
          <w:rFonts w:hint="eastAsia" w:ascii="Times New Roman" w:hAnsi="Times New Roman" w:cs="Times New Roman"/>
          <w:sz w:val="28"/>
          <w:szCs w:val="28"/>
        </w:rPr>
      </w:pPr>
      <w:r>
        <w:rPr>
          <w:rFonts w:hint="eastAsia" w:ascii="Times New Roman" w:hAnsi="Times New Roman" w:cs="Times New Roman" w:eastAsiaTheme="minorEastAsia"/>
        </w:rPr>
        <w:t>——</w:t>
      </w:r>
      <w:r>
        <w:rPr>
          <w:rFonts w:hint="eastAsia" w:ascii="Times New Roman" w:hAnsi="Times New Roman" w:cs="Times New Roman"/>
          <w:sz w:val="28"/>
          <w:szCs w:val="28"/>
        </w:rPr>
        <w:t>规格容许度</w:t>
      </w:r>
    </w:p>
    <w:p w14:paraId="6AD9544A">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规格容许度按质量计：</w:t>
      </w:r>
    </w:p>
    <w:p w14:paraId="3387431B">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a）大果允许有5%的果实不符合本规格的要求；</w:t>
      </w:r>
    </w:p>
    <w:p w14:paraId="1A787815">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b）中果允许有8%的果实不符合本规格的要求；</w:t>
      </w:r>
    </w:p>
    <w:p w14:paraId="004D5C61">
      <w:pPr>
        <w:spacing w:line="360" w:lineRule="auto"/>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c）小果允许有10%的果实不符合本规格的要求，但最小果不小于130g。</w:t>
      </w:r>
    </w:p>
    <w:p w14:paraId="7DF72585">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⑤</w:t>
      </w:r>
      <w:r>
        <w:rPr>
          <w:rFonts w:hint="eastAsia" w:ascii="Times New Roman" w:hAnsi="Times New Roman" w:cs="Times New Roman" w:eastAsiaTheme="minorEastAsia"/>
          <w:lang w:val="en-US" w:eastAsia="zh-CN"/>
        </w:rPr>
        <w:t>卫生</w:t>
      </w:r>
      <w:r>
        <w:rPr>
          <w:rFonts w:hint="eastAsia" w:ascii="Times New Roman" w:hAnsi="Times New Roman" w:cs="Times New Roman" w:eastAsiaTheme="minorEastAsia"/>
        </w:rPr>
        <w:t>指标</w:t>
      </w:r>
    </w:p>
    <w:p w14:paraId="5F6FB8AB">
      <w:pPr>
        <w:pStyle w:val="5"/>
        <w:tabs>
          <w:tab w:val="left" w:pos="541"/>
        </w:tabs>
        <w:spacing w:line="360" w:lineRule="auto"/>
        <w:ind w:firstLine="560" w:firstLineChars="200"/>
        <w:rPr>
          <w:rFonts w:ascii="Times New Roman" w:hAnsi="Times New Roman" w:cs="Times New Roman"/>
        </w:rPr>
      </w:pPr>
      <w:r>
        <w:rPr>
          <w:rFonts w:hint="default" w:ascii="Times New Roman" w:hAnsi="Times New Roman" w:cs="Times New Roman"/>
        </w:rPr>
        <w:t>《GB 2762 食品安全国家标准 食品中污染物限量》标准规定了食品中铅、镉、汞、砷、锡</w:t>
      </w:r>
      <w:r>
        <w:rPr>
          <w:rFonts w:ascii="Times New Roman" w:hAnsi="Times New Roman" w:cs="Times New Roman"/>
        </w:rPr>
        <w:t>、镍、铬、亚硝酸盐、硝酸盐、苯并芘、N-二甲基亚硝胺、多氯联苯、3-氯-1,2-丙二醇的限量指标。《GB 2763 食品安全国家标准 食品中农药最大残留限量》标准规定了2,4-滴等564种农药在376种（类）食品中10092项残留限量标准。因此，本标准中</w:t>
      </w:r>
      <w:r>
        <w:rPr>
          <w:rFonts w:hint="eastAsia" w:ascii="Times New Roman" w:hAnsi="Times New Roman" w:cs="Times New Roman"/>
          <w:lang w:eastAsia="zh-CN"/>
        </w:rPr>
        <w:t>龙眼</w:t>
      </w:r>
      <w:r>
        <w:rPr>
          <w:rFonts w:ascii="Times New Roman" w:hAnsi="Times New Roman" w:cs="Times New Roman"/>
        </w:rPr>
        <w:t>各级果实中污染物限量应符合GB 2762的有关规定，农药最大残留限量应符合GB 2763的有关规定。为便于执行，根据现行有效的GB 2763-2021的有关规定。</w:t>
      </w:r>
    </w:p>
    <w:p w14:paraId="659870B6">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⑥净含量</w:t>
      </w:r>
    </w:p>
    <w:p w14:paraId="4655EC1C">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lang w:val="en-US" w:eastAsia="zh-CN"/>
        </w:rPr>
        <w:t>符</w:t>
      </w:r>
      <w:r>
        <w:rPr>
          <w:rFonts w:hint="eastAsia" w:ascii="Times New Roman" w:hAnsi="Times New Roman" w:cs="Times New Roman" w:eastAsiaTheme="minorEastAsia"/>
        </w:rPr>
        <w:t>合国家市场监督管理总局令（2023）第70号 《定量包装商品计量监督管理办法》的规定。</w:t>
      </w:r>
    </w:p>
    <w:p w14:paraId="3F3CF126">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⑦检验方法</w:t>
      </w:r>
    </w:p>
    <w:p w14:paraId="19936363">
      <w:pPr>
        <w:pStyle w:val="5"/>
        <w:tabs>
          <w:tab w:val="left" w:pos="541"/>
        </w:tabs>
        <w:spacing w:line="360" w:lineRule="auto"/>
        <w:ind w:firstLine="560" w:firstLineChars="200"/>
        <w:rPr>
          <w:rFonts w:ascii="Times New Roman" w:hAnsi="Times New Roman" w:cs="Times New Roman" w:eastAsiaTheme="minorEastAsia"/>
        </w:rPr>
      </w:pPr>
      <w:r>
        <w:rPr>
          <w:rFonts w:ascii="Times New Roman" w:eastAsiaTheme="minorEastAsia"/>
        </w:rPr>
        <w:t>检验项目主要</w:t>
      </w:r>
      <w:r>
        <w:rPr>
          <w:rFonts w:hint="default" w:ascii="Times New Roman" w:hAnsi="Times New Roman" w:cs="Times New Roman" w:eastAsiaTheme="minorEastAsia"/>
        </w:rPr>
        <w:t>包括</w:t>
      </w:r>
      <w:r>
        <w:rPr>
          <w:rFonts w:hint="default" w:ascii="Times New Roman" w:hAnsi="Times New Roman" w:cs="Times New Roman" w:eastAsiaTheme="minorEastAsia"/>
          <w:lang w:val="en-US" w:eastAsia="zh-CN"/>
        </w:rPr>
        <w:t>感官</w:t>
      </w:r>
      <w:r>
        <w:rPr>
          <w:rFonts w:hint="default" w:ascii="Times New Roman" w:hAnsi="Times New Roman" w:cs="Times New Roman" w:eastAsiaTheme="minorEastAsia"/>
        </w:rPr>
        <w:t>检验、单果</w:t>
      </w:r>
      <w:r>
        <w:rPr>
          <w:rFonts w:hint="default" w:ascii="Times New Roman" w:hAnsi="Times New Roman" w:cs="Times New Roman" w:eastAsiaTheme="minorEastAsia"/>
          <w:lang w:val="en-US" w:eastAsia="zh-CN"/>
        </w:rPr>
        <w:t>规格</w:t>
      </w: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理化指标（</w:t>
      </w:r>
      <w:r>
        <w:rPr>
          <w:rFonts w:hint="default" w:ascii="Times New Roman" w:hAnsi="Times New Roman" w:cs="Times New Roman" w:eastAsiaTheme="minorEastAsia"/>
        </w:rPr>
        <w:t>可溶性固形物、</w:t>
      </w:r>
      <w:r>
        <w:rPr>
          <w:rFonts w:hint="default" w:ascii="Times New Roman" w:hAnsi="Times New Roman" w:cs="Times New Roman" w:eastAsiaTheme="minorEastAsia"/>
          <w:lang w:val="en-US" w:eastAsia="zh-CN"/>
        </w:rPr>
        <w:t>可食率）</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卫生指标</w:t>
      </w:r>
      <w:r>
        <w:rPr>
          <w:rFonts w:hint="default" w:ascii="Times New Roman" w:hAnsi="Times New Roman" w:cs="Times New Roman" w:eastAsiaTheme="minorEastAsia"/>
        </w:rPr>
        <w:t>，根据</w:t>
      </w:r>
      <w:r>
        <w:rPr>
          <w:rFonts w:hint="default" w:ascii="Times New Roman" w:hAnsi="Times New Roman" w:cs="Times New Roman"/>
          <w:kern w:val="0"/>
          <w:lang w:val="en-US" w:eastAsia="zh-CN"/>
        </w:rPr>
        <w:t xml:space="preserve"> </w:t>
      </w:r>
      <w:r>
        <w:rPr>
          <w:rFonts w:hint="default" w:ascii="Times New Roman" w:hAnsi="Times New Roman" w:cs="Times New Roman"/>
          <w:kern w:val="0"/>
        </w:rPr>
        <w:t>JJF 1070</w:t>
      </w:r>
      <w:r>
        <w:rPr>
          <w:rFonts w:hint="default" w:ascii="Times New Roman" w:hAnsi="Times New Roman" w:cs="Times New Roman"/>
          <w:kern w:val="0"/>
          <w:lang w:eastAsia="zh-CN"/>
        </w:rPr>
        <w:t>、</w:t>
      </w:r>
      <w:r>
        <w:rPr>
          <w:rFonts w:hint="default" w:ascii="Times New Roman" w:hAnsi="Times New Roman" w:cs="Times New Roman"/>
          <w:kern w:val="0"/>
          <w:lang w:val="en-US" w:eastAsia="zh-CN"/>
        </w:rPr>
        <w:t xml:space="preserve">GB/T 31735、 NY/T 2637、 </w:t>
      </w:r>
      <w:r>
        <w:rPr>
          <w:rFonts w:hint="default" w:ascii="Times New Roman" w:hAnsi="Times New Roman" w:cs="Times New Roman"/>
          <w:kern w:val="0"/>
        </w:rPr>
        <w:t>GB</w:t>
      </w:r>
      <w:r>
        <w:rPr>
          <w:rFonts w:hint="default" w:ascii="Times New Roman" w:hAnsi="Times New Roman" w:cs="Times New Roman"/>
          <w:kern w:val="0"/>
          <w:lang w:val="en-US" w:eastAsia="zh-CN"/>
        </w:rPr>
        <w:t xml:space="preserve"> </w:t>
      </w:r>
      <w:r>
        <w:rPr>
          <w:rFonts w:hint="default" w:ascii="Times New Roman" w:hAnsi="Times New Roman" w:cs="Times New Roman"/>
          <w:kern w:val="0"/>
        </w:rPr>
        <w:t>2762</w:t>
      </w:r>
      <w:r>
        <w:rPr>
          <w:rFonts w:hint="default" w:ascii="Times New Roman" w:hAnsi="Times New Roman" w:cs="Times New Roman"/>
          <w:kern w:val="0"/>
          <w:lang w:val="en-US" w:eastAsia="zh-CN"/>
        </w:rPr>
        <w:t>和</w:t>
      </w:r>
      <w:r>
        <w:rPr>
          <w:rFonts w:hint="default" w:ascii="Times New Roman" w:hAnsi="Times New Roman" w:cs="Times New Roman"/>
          <w:kern w:val="0"/>
        </w:rPr>
        <w:t>GB</w:t>
      </w:r>
      <w:r>
        <w:rPr>
          <w:rFonts w:hint="default" w:ascii="Times New Roman" w:hAnsi="Times New Roman" w:cs="Times New Roman"/>
          <w:kern w:val="0"/>
          <w:lang w:val="en-US" w:eastAsia="zh-CN"/>
        </w:rPr>
        <w:t xml:space="preserve"> </w:t>
      </w:r>
      <w:r>
        <w:rPr>
          <w:rFonts w:hint="default" w:ascii="Times New Roman" w:hAnsi="Times New Roman" w:cs="Times New Roman"/>
          <w:kern w:val="0"/>
        </w:rPr>
        <w:t>2763</w:t>
      </w:r>
      <w:r>
        <w:rPr>
          <w:rFonts w:hint="default" w:ascii="Times New Roman" w:hAnsi="Times New Roman" w:cs="Times New Roman"/>
        </w:rPr>
        <w:t>等标准的相关规定，制定</w:t>
      </w:r>
      <w:r>
        <w:rPr>
          <w:rFonts w:hint="default" w:ascii="Times New Roman" w:hAnsi="Times New Roman" w:cs="Times New Roman" w:eastAsiaTheme="minorEastAsia"/>
          <w:lang w:val="en-US" w:eastAsia="zh-CN"/>
        </w:rPr>
        <w:t>各</w:t>
      </w:r>
      <w:r>
        <w:rPr>
          <w:rFonts w:hint="default" w:ascii="Times New Roman" w:hAnsi="Times New Roman" w:cs="Times New Roman" w:eastAsiaTheme="minorEastAsia"/>
        </w:rPr>
        <w:t>指标检验等内容。</w:t>
      </w:r>
    </w:p>
    <w:p w14:paraId="279ADCEC">
      <w:pPr>
        <w:pStyle w:val="5"/>
        <w:tabs>
          <w:tab w:val="left" w:pos="541"/>
        </w:tabs>
        <w:spacing w:line="360" w:lineRule="auto"/>
        <w:ind w:firstLine="560" w:firstLineChars="200"/>
        <w:rPr>
          <w:rFonts w:ascii="Times New Roman" w:hAnsi="Times New Roman" w:cs="Times New Roman" w:eastAsiaTheme="minorEastAsia"/>
        </w:rPr>
      </w:pPr>
      <w:r>
        <w:rPr>
          <w:rFonts w:hint="eastAsia" w:ascii="Times New Roman" w:hAnsi="Times New Roman" w:cs="Times New Roman" w:eastAsiaTheme="minorEastAsia"/>
        </w:rPr>
        <w:t>⑧检验规则</w:t>
      </w:r>
    </w:p>
    <w:p w14:paraId="15E3684A">
      <w:pPr>
        <w:pStyle w:val="23"/>
        <w:ind w:firstLine="560"/>
        <w:rPr>
          <w:rFonts w:ascii="Times New Roman" w:eastAsiaTheme="minorEastAsia"/>
          <w:kern w:val="2"/>
          <w:sz w:val="28"/>
          <w:szCs w:val="28"/>
        </w:rPr>
      </w:pPr>
      <w:r>
        <w:rPr>
          <w:rFonts w:ascii="Times New Roman" w:eastAsiaTheme="minorEastAsia"/>
          <w:kern w:val="2"/>
          <w:sz w:val="28"/>
          <w:szCs w:val="28"/>
        </w:rPr>
        <w:t>检验规则主要包括</w:t>
      </w:r>
      <w:r>
        <w:rPr>
          <w:rFonts w:hint="eastAsia" w:ascii="Times New Roman" w:eastAsiaTheme="minorEastAsia"/>
          <w:kern w:val="2"/>
          <w:sz w:val="28"/>
          <w:szCs w:val="28"/>
          <w:lang w:val="en-US" w:eastAsia="zh-CN"/>
        </w:rPr>
        <w:t>批次</w:t>
      </w:r>
      <w:r>
        <w:rPr>
          <w:rFonts w:ascii="Times New Roman" w:eastAsiaTheme="minorEastAsia"/>
          <w:kern w:val="2"/>
          <w:sz w:val="28"/>
          <w:szCs w:val="28"/>
        </w:rPr>
        <w:t>、抽样</w:t>
      </w:r>
      <w:r>
        <w:rPr>
          <w:rFonts w:hint="eastAsia" w:ascii="Times New Roman" w:eastAsiaTheme="minorEastAsia"/>
          <w:kern w:val="2"/>
          <w:sz w:val="28"/>
          <w:szCs w:val="28"/>
        </w:rPr>
        <w:t>、</w:t>
      </w:r>
      <w:r>
        <w:rPr>
          <w:rFonts w:ascii="Times New Roman" w:eastAsiaTheme="minorEastAsia"/>
          <w:kern w:val="2"/>
          <w:sz w:val="28"/>
          <w:szCs w:val="28"/>
        </w:rPr>
        <w:t>判定规则</w:t>
      </w:r>
      <w:r>
        <w:rPr>
          <w:rFonts w:hint="eastAsia" w:ascii="Times New Roman" w:eastAsiaTheme="minorEastAsia"/>
          <w:kern w:val="2"/>
          <w:sz w:val="28"/>
          <w:szCs w:val="28"/>
        </w:rPr>
        <w:t>和复检，制定检验批次、抽样</w:t>
      </w:r>
      <w:r>
        <w:rPr>
          <w:rFonts w:hint="eastAsia" w:ascii="Times New Roman" w:eastAsiaTheme="minorEastAsia"/>
          <w:kern w:val="2"/>
          <w:sz w:val="28"/>
          <w:szCs w:val="28"/>
          <w:lang w:val="en-US" w:eastAsia="zh-CN"/>
        </w:rPr>
        <w:t>方法</w:t>
      </w:r>
      <w:r>
        <w:rPr>
          <w:rFonts w:hint="eastAsia" w:ascii="Times New Roman" w:eastAsiaTheme="minorEastAsia"/>
          <w:kern w:val="2"/>
          <w:sz w:val="28"/>
          <w:szCs w:val="28"/>
        </w:rPr>
        <w:t>、判定规则等内容。</w:t>
      </w:r>
    </w:p>
    <w:p w14:paraId="0FB394B8">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ascii="Times New Roman" w:hAnsi="Times New Roman" w:cs="Times New Roman"/>
          <w:b/>
          <w:bCs/>
          <w:kern w:val="0"/>
          <w:sz w:val="28"/>
          <w:szCs w:val="28"/>
          <w:lang w:bidi="ar"/>
        </w:rPr>
        <w:t>0</w:t>
      </w:r>
      <w:r>
        <w:rPr>
          <w:rFonts w:hint="eastAsia" w:ascii="Times New Roman" w:hAnsi="Times New Roman" w:cs="Times New Roman"/>
          <w:b/>
          <w:bCs/>
          <w:kern w:val="0"/>
          <w:sz w:val="28"/>
          <w:szCs w:val="28"/>
          <w:lang w:bidi="ar"/>
        </w:rPr>
        <w:t>）</w:t>
      </w:r>
      <w:r>
        <w:rPr>
          <w:rFonts w:ascii="Times New Roman" w:hAnsi="Times New Roman" w:cs="Times New Roman"/>
          <w:b/>
          <w:bCs/>
          <w:kern w:val="0"/>
          <w:sz w:val="28"/>
          <w:szCs w:val="28"/>
          <w:lang w:bidi="ar"/>
        </w:rPr>
        <w:t>包装</w:t>
      </w:r>
      <w:r>
        <w:rPr>
          <w:rFonts w:hint="eastAsia" w:ascii="Times New Roman" w:hAnsi="Times New Roman" w:cs="Times New Roman"/>
          <w:b/>
          <w:bCs/>
          <w:kern w:val="0"/>
          <w:sz w:val="28"/>
          <w:szCs w:val="28"/>
          <w:lang w:val="en-US" w:eastAsia="zh-CN" w:bidi="ar"/>
        </w:rPr>
        <w:t>与</w:t>
      </w:r>
      <w:r>
        <w:rPr>
          <w:rFonts w:ascii="Times New Roman" w:hAnsi="Times New Roman" w:cs="Times New Roman"/>
          <w:b/>
          <w:bCs/>
          <w:kern w:val="0"/>
          <w:sz w:val="28"/>
          <w:szCs w:val="28"/>
          <w:lang w:bidi="ar"/>
        </w:rPr>
        <w:t>标识</w:t>
      </w:r>
    </w:p>
    <w:p w14:paraId="4AAE8658">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包装应符合GB</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43284</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GB/T 12123的规定，缓冲包装设计应符合</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GB/T 8166</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的规定，包装容器通用技术要求符合</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GB/T 34343</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bidi="ar"/>
        </w:rPr>
        <w:t>的规定</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val="en-US" w:eastAsia="zh-CN" w:bidi="ar"/>
        </w:rPr>
        <w:t>包装材质应符合 GB 4806.7 和 GB/T 6543</w:t>
      </w:r>
      <w:r>
        <w:rPr>
          <w:rFonts w:ascii="Times New Roman" w:hAnsi="Times New Roman" w:cs="Times New Roman"/>
          <w:kern w:val="0"/>
          <w:sz w:val="28"/>
          <w:szCs w:val="28"/>
          <w:lang w:bidi="ar"/>
        </w:rPr>
        <w:t>。</w:t>
      </w:r>
    </w:p>
    <w:p w14:paraId="01B791BA">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bidi="ar"/>
        </w:rPr>
        <w:t>）</w:t>
      </w:r>
      <w:r>
        <w:rPr>
          <w:rFonts w:ascii="Times New Roman" w:hAnsi="Times New Roman" w:cs="Times New Roman"/>
          <w:b/>
          <w:bCs/>
          <w:kern w:val="0"/>
          <w:sz w:val="28"/>
          <w:szCs w:val="28"/>
          <w:lang w:bidi="ar"/>
        </w:rPr>
        <w:t>贮藏运输</w:t>
      </w:r>
    </w:p>
    <w:p w14:paraId="0F1CBB50">
      <w:pPr>
        <w:spacing w:line="360" w:lineRule="auto"/>
        <w:ind w:firstLine="560" w:firstLineChars="200"/>
        <w:rPr>
          <w:rFonts w:hint="eastAsia" w:ascii="Times New Roman" w:hAnsi="Times New Roman" w:cs="Times New Roman"/>
          <w:kern w:val="0"/>
          <w:sz w:val="28"/>
          <w:szCs w:val="28"/>
          <w:lang w:eastAsia="zh-CN" w:bidi="ar"/>
        </w:rPr>
      </w:pPr>
      <w:r>
        <w:rPr>
          <w:rFonts w:ascii="Times New Roman" w:hAnsi="Times New Roman" w:cs="Times New Roman"/>
          <w:kern w:val="0"/>
          <w:sz w:val="28"/>
          <w:szCs w:val="28"/>
          <w:lang w:bidi="ar"/>
        </w:rPr>
        <w:t>本标准基于多年观测、试验以及生产实践，对</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生产过程中贮藏、运输等操作进行了详细的规定。重点规范了</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贮藏运输的相关细节与要求</w:t>
      </w:r>
      <w:r>
        <w:rPr>
          <w:rFonts w:hint="eastAsia" w:ascii="Times New Roman" w:hAnsi="Times New Roman" w:cs="Times New Roman"/>
          <w:kern w:val="0"/>
          <w:sz w:val="28"/>
          <w:szCs w:val="28"/>
          <w:lang w:bidi="ar"/>
        </w:rPr>
        <w:t>，要求在阴凉处或低温包装库中完成分级和包装。短途运输或利用空运等快速运输条件，贮运时间在</w:t>
      </w:r>
      <w:r>
        <w:rPr>
          <w:rFonts w:hint="eastAsia" w:ascii="Times New Roman" w:hAnsi="Times New Roman" w:cs="Times New Roman"/>
          <w:kern w:val="0"/>
          <w:sz w:val="28"/>
          <w:szCs w:val="28"/>
          <w:lang w:val="en-US" w:eastAsia="zh-CN" w:bidi="ar"/>
        </w:rPr>
        <w:t xml:space="preserve">48 </w:t>
      </w:r>
      <w:r>
        <w:rPr>
          <w:rFonts w:hint="eastAsia" w:ascii="Times New Roman" w:hAnsi="Times New Roman" w:cs="Times New Roman"/>
          <w:kern w:val="0"/>
          <w:sz w:val="28"/>
          <w:szCs w:val="28"/>
          <w:lang w:bidi="ar"/>
        </w:rPr>
        <w:t>h之内者，允许在常温条件下进行；超过</w:t>
      </w:r>
      <w:r>
        <w:rPr>
          <w:rFonts w:hint="eastAsia" w:ascii="Times New Roman" w:hAnsi="Times New Roman" w:cs="Times New Roman"/>
          <w:kern w:val="0"/>
          <w:sz w:val="28"/>
          <w:szCs w:val="28"/>
          <w:lang w:val="en-US" w:eastAsia="zh-CN" w:bidi="ar"/>
        </w:rPr>
        <w:t>48</w:t>
      </w:r>
      <w:r>
        <w:rPr>
          <w:rFonts w:hint="eastAsia" w:ascii="Times New Roman" w:hAnsi="Times New Roman" w:cs="Times New Roman"/>
          <w:kern w:val="0"/>
          <w:sz w:val="28"/>
          <w:szCs w:val="28"/>
          <w:lang w:bidi="ar"/>
        </w:rPr>
        <w:t> h者应经过预冷并在冷链条件下进行运输。</w:t>
      </w:r>
      <w:r>
        <w:rPr>
          <w:rFonts w:hint="eastAsia" w:ascii="Times New Roman" w:hAnsi="Times New Roman" w:cs="Times New Roman"/>
          <w:kern w:val="0"/>
          <w:sz w:val="28"/>
          <w:szCs w:val="28"/>
          <w:lang w:eastAsia="zh-CN" w:bidi="ar"/>
        </w:rPr>
        <w:t>最适宜贮藏条件为</w:t>
      </w:r>
      <w:r>
        <w:rPr>
          <w:rFonts w:hint="eastAsia" w:ascii="Times New Roman" w:hAnsi="Times New Roman" w:cs="Times New Roman"/>
          <w:kern w:val="0"/>
          <w:sz w:val="28"/>
          <w:szCs w:val="28"/>
          <w:lang w:val="en-US" w:eastAsia="zh-CN" w:bidi="ar"/>
        </w:rPr>
        <w:t>2</w:t>
      </w:r>
      <w:r>
        <w:rPr>
          <w:rFonts w:hint="eastAsia" w:ascii="Times New Roman" w:hAnsi="Times New Roman" w:cs="Times New Roman"/>
          <w:kern w:val="0"/>
          <w:sz w:val="28"/>
          <w:szCs w:val="28"/>
          <w:lang w:eastAsia="zh-CN" w:bidi="ar"/>
        </w:rPr>
        <w:t> ℃～</w:t>
      </w:r>
      <w:r>
        <w:rPr>
          <w:rFonts w:hint="eastAsia" w:ascii="Times New Roman" w:hAnsi="Times New Roman" w:cs="Times New Roman"/>
          <w:kern w:val="0"/>
          <w:sz w:val="28"/>
          <w:szCs w:val="28"/>
          <w:lang w:val="en-US" w:eastAsia="zh-CN" w:bidi="ar"/>
        </w:rPr>
        <w:t>4</w:t>
      </w:r>
      <w:r>
        <w:rPr>
          <w:rFonts w:hint="eastAsia" w:ascii="Times New Roman" w:hAnsi="Times New Roman" w:cs="Times New Roman"/>
          <w:kern w:val="0"/>
          <w:sz w:val="28"/>
          <w:szCs w:val="28"/>
          <w:lang w:eastAsia="zh-CN" w:bidi="ar"/>
        </w:rPr>
        <w:t> ℃，相对湿度85%</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eastAsia="zh-CN" w:bidi="ar"/>
        </w:rPr>
        <w:t>～9</w:t>
      </w:r>
      <w:r>
        <w:rPr>
          <w:rFonts w:hint="eastAsia" w:ascii="Times New Roman" w:hAnsi="Times New Roman" w:cs="Times New Roman"/>
          <w:kern w:val="0"/>
          <w:sz w:val="28"/>
          <w:szCs w:val="28"/>
          <w:lang w:val="en-US" w:eastAsia="zh-CN" w:bidi="ar"/>
        </w:rPr>
        <w:t>0</w:t>
      </w:r>
      <w:r>
        <w:rPr>
          <w:rFonts w:hint="eastAsia" w:ascii="Times New Roman" w:hAnsi="Times New Roman" w:cs="Times New Roman"/>
          <w:kern w:val="0"/>
          <w:sz w:val="28"/>
          <w:szCs w:val="28"/>
          <w:lang w:eastAsia="zh-CN" w:bidi="ar"/>
        </w:rPr>
        <w:t>%</w:t>
      </w:r>
      <w:r>
        <w:rPr>
          <w:rFonts w:hint="eastAsia" w:ascii="Times New Roman" w:hAnsi="Times New Roman" w:cs="Times New Roman"/>
          <w:kern w:val="0"/>
          <w:sz w:val="28"/>
          <w:szCs w:val="28"/>
          <w:lang w:val="en-US" w:eastAsia="zh-CN" w:bidi="ar"/>
        </w:rPr>
        <w:t xml:space="preserve"> </w:t>
      </w:r>
      <w:r>
        <w:rPr>
          <w:rFonts w:hint="eastAsia" w:ascii="Times New Roman" w:hAnsi="Times New Roman" w:cs="Times New Roman"/>
          <w:kern w:val="0"/>
          <w:sz w:val="28"/>
          <w:szCs w:val="28"/>
          <w:lang w:eastAsia="zh-CN" w:bidi="ar"/>
        </w:rPr>
        <w:t>，贮藏期2</w:t>
      </w:r>
      <w:r>
        <w:rPr>
          <w:rFonts w:hint="eastAsia" w:ascii="Times New Roman" w:hAnsi="Times New Roman" w:cs="Times New Roman"/>
          <w:kern w:val="0"/>
          <w:sz w:val="28"/>
          <w:szCs w:val="28"/>
          <w:lang w:val="en-US" w:eastAsia="zh-CN" w:bidi="ar"/>
        </w:rPr>
        <w:t>1</w:t>
      </w:r>
      <w:r>
        <w:rPr>
          <w:rFonts w:hint="eastAsia" w:ascii="Times New Roman" w:hAnsi="Times New Roman" w:cs="Times New Roman"/>
          <w:kern w:val="0"/>
          <w:sz w:val="28"/>
          <w:szCs w:val="28"/>
          <w:lang w:eastAsia="zh-CN" w:bidi="ar"/>
        </w:rPr>
        <w:t> d～</w:t>
      </w:r>
      <w:r>
        <w:rPr>
          <w:rFonts w:hint="eastAsia" w:ascii="Times New Roman" w:hAnsi="Times New Roman" w:cs="Times New Roman"/>
          <w:kern w:val="0"/>
          <w:sz w:val="28"/>
          <w:szCs w:val="28"/>
          <w:lang w:val="en-US" w:eastAsia="zh-CN" w:bidi="ar"/>
        </w:rPr>
        <w:t>28</w:t>
      </w:r>
      <w:r>
        <w:rPr>
          <w:rFonts w:hint="eastAsia" w:ascii="Times New Roman" w:hAnsi="Times New Roman" w:cs="Times New Roman"/>
          <w:kern w:val="0"/>
          <w:sz w:val="28"/>
          <w:szCs w:val="28"/>
          <w:lang w:eastAsia="zh-CN" w:bidi="ar"/>
        </w:rPr>
        <w:t> d，根据品种的耐贮性、市场需求和经济效益确定贮藏时间，但不宜超过最长时限，自然损耗率不超过5%，贮藏后应保持果实的外观和风味。</w:t>
      </w:r>
    </w:p>
    <w:p w14:paraId="7E9F9C95">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val="en-US" w:eastAsia="zh-CN" w:bidi="ar"/>
        </w:rPr>
        <w:t>2</w:t>
      </w:r>
      <w:r>
        <w:rPr>
          <w:rFonts w:hint="eastAsia" w:ascii="Times New Roman" w:hAnsi="Times New Roman" w:cs="Times New Roman"/>
          <w:b/>
          <w:bCs/>
          <w:kern w:val="0"/>
          <w:sz w:val="28"/>
          <w:szCs w:val="28"/>
          <w:lang w:bidi="ar"/>
        </w:rPr>
        <w:t>）生产档案</w:t>
      </w:r>
    </w:p>
    <w:p w14:paraId="4F19BBB4">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参照GB/T 42478的规定制定本标准的生产档案管理内容，要求详细记录包括种苗、建园、田间管理、物候期记录、关键气象因子记录、投入品管理（采购来源和数量、商标名、有效成分、登记证号、使用地点、防治对象、施用浓度、施用方法、施用时间、操作员和技术负责人等）、果实采收、销售等具体内容，生产档案保存2年以上。</w:t>
      </w:r>
    </w:p>
    <w:p w14:paraId="554777E9">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val="en-US" w:eastAsia="zh-CN" w:bidi="ar"/>
        </w:rPr>
        <w:t>3</w:t>
      </w:r>
      <w:r>
        <w:rPr>
          <w:rFonts w:hint="eastAsia" w:ascii="Times New Roman" w:hAnsi="Times New Roman" w:cs="Times New Roman"/>
          <w:b/>
          <w:bCs/>
          <w:kern w:val="0"/>
          <w:sz w:val="28"/>
          <w:szCs w:val="28"/>
          <w:lang w:bidi="ar"/>
        </w:rPr>
        <w:t>）产品检测与准出管理</w:t>
      </w:r>
    </w:p>
    <w:p w14:paraId="67C805DF">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根据加强</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产品安全和相关管理规定，本标准对安全监测、精准检测、承诺达标合格证和果品销售等内容提出要求。通过抽样检测重点监测采收期是否存在常规农药残留超标的情况。在批发市场或收购集散中心、出岛码头对</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进行抽样检测。根据</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的检验规则和要求，对果品的感官、品质、等级、规格及卫生指标等进行精准检测。检测合格的，开具检测结果报告单；检测不合格的</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，集中销毁处理。并根据</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的检验规则和要求，对果品的感官、品质、等级、规格及卫生指标等进行精准检测。检测合格的，开具检测结果报告单；检测不合格的</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，集中销毁处理。</w:t>
      </w:r>
    </w:p>
    <w:p w14:paraId="6ABE021F">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val="en-US" w:eastAsia="zh-CN" w:bidi="ar"/>
        </w:rPr>
        <w:t>4</w:t>
      </w:r>
      <w:r>
        <w:rPr>
          <w:rFonts w:hint="eastAsia" w:ascii="Times New Roman" w:hAnsi="Times New Roman" w:cs="Times New Roman"/>
          <w:b/>
          <w:bCs/>
          <w:kern w:val="0"/>
          <w:sz w:val="28"/>
          <w:szCs w:val="28"/>
          <w:lang w:bidi="ar"/>
        </w:rPr>
        <w:t>）溯源管理</w:t>
      </w:r>
    </w:p>
    <w:p w14:paraId="5C3DCF9D">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根据</w:t>
      </w:r>
      <w:r>
        <w:rPr>
          <w:rFonts w:ascii="Times New Roman" w:hAnsi="Times New Roman" w:cs="Times New Roman"/>
          <w:kern w:val="0"/>
          <w:sz w:val="28"/>
          <w:szCs w:val="28"/>
          <w:lang w:bidi="ar"/>
        </w:rPr>
        <w:t>实现</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产品可追溯、高品质、高效益、品牌化的基本要求</w:t>
      </w:r>
      <w:r>
        <w:rPr>
          <w:rFonts w:hint="eastAsia" w:ascii="Times New Roman" w:hAnsi="Times New Roman" w:cs="Times New Roman"/>
          <w:kern w:val="0"/>
          <w:sz w:val="28"/>
          <w:szCs w:val="28"/>
          <w:lang w:bidi="ar"/>
        </w:rPr>
        <w:t>，制定溯源内容。</w:t>
      </w:r>
      <w:r>
        <w:rPr>
          <w:rFonts w:ascii="Times New Roman" w:hAnsi="Times New Roman" w:cs="Times New Roman"/>
          <w:kern w:val="0"/>
          <w:sz w:val="28"/>
          <w:szCs w:val="28"/>
          <w:lang w:bidi="ar"/>
        </w:rPr>
        <w:t>本标准对</w:t>
      </w:r>
      <w:r>
        <w:rPr>
          <w:rFonts w:hint="eastAsia" w:ascii="Times New Roman" w:hAnsi="Times New Roman" w:cs="Times New Roman"/>
          <w:kern w:val="0"/>
          <w:sz w:val="28"/>
          <w:szCs w:val="28"/>
          <w:lang w:eastAsia="zh-CN" w:bidi="ar"/>
        </w:rPr>
        <w:t>龙眼</w:t>
      </w:r>
      <w:r>
        <w:rPr>
          <w:rFonts w:ascii="Times New Roman" w:hAnsi="Times New Roman" w:cs="Times New Roman"/>
          <w:kern w:val="0"/>
          <w:sz w:val="28"/>
          <w:szCs w:val="28"/>
          <w:lang w:bidi="ar"/>
        </w:rPr>
        <w:t>产品</w:t>
      </w:r>
      <w:r>
        <w:rPr>
          <w:rFonts w:hint="eastAsia" w:ascii="Times New Roman" w:hAnsi="Times New Roman" w:cs="Times New Roman"/>
          <w:kern w:val="0"/>
          <w:sz w:val="28"/>
          <w:szCs w:val="28"/>
          <w:lang w:bidi="ar"/>
        </w:rPr>
        <w:t>的溯源目标与</w:t>
      </w:r>
      <w:r>
        <w:rPr>
          <w:rFonts w:ascii="Times New Roman" w:hAnsi="Times New Roman" w:cs="Times New Roman"/>
          <w:kern w:val="0"/>
          <w:sz w:val="28"/>
          <w:szCs w:val="28"/>
          <w:lang w:bidi="ar"/>
        </w:rPr>
        <w:t>要求、</w:t>
      </w:r>
      <w:r>
        <w:rPr>
          <w:rFonts w:hint="eastAsia" w:ascii="Times New Roman" w:hAnsi="Times New Roman" w:cs="Times New Roman"/>
          <w:kern w:val="0"/>
          <w:sz w:val="28"/>
          <w:szCs w:val="28"/>
          <w:lang w:bidi="ar"/>
        </w:rPr>
        <w:t>追溯标识、溯源</w:t>
      </w:r>
      <w:r>
        <w:rPr>
          <w:rFonts w:ascii="Times New Roman" w:hAnsi="Times New Roman" w:cs="Times New Roman"/>
          <w:kern w:val="0"/>
          <w:sz w:val="28"/>
          <w:szCs w:val="28"/>
          <w:lang w:bidi="ar"/>
        </w:rPr>
        <w:t>编码</w:t>
      </w:r>
      <w:r>
        <w:rPr>
          <w:rFonts w:hint="eastAsia" w:ascii="Times New Roman" w:hAnsi="Times New Roman" w:cs="Times New Roman"/>
          <w:kern w:val="0"/>
          <w:sz w:val="28"/>
          <w:szCs w:val="28"/>
          <w:lang w:bidi="ar"/>
        </w:rPr>
        <w:t>和溯源信息平台</w:t>
      </w:r>
      <w:r>
        <w:rPr>
          <w:rFonts w:ascii="Times New Roman" w:hAnsi="Times New Roman" w:cs="Times New Roman"/>
          <w:kern w:val="0"/>
          <w:sz w:val="28"/>
          <w:szCs w:val="28"/>
          <w:lang w:bidi="ar"/>
        </w:rPr>
        <w:t>等内容进行了详细规定。</w:t>
      </w:r>
    </w:p>
    <w:p w14:paraId="524DD778">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val="en-US" w:eastAsia="zh-CN" w:bidi="ar"/>
        </w:rPr>
        <w:t>5</w:t>
      </w:r>
      <w:r>
        <w:rPr>
          <w:rFonts w:hint="eastAsia" w:ascii="Times New Roman" w:hAnsi="Times New Roman" w:cs="Times New Roman"/>
          <w:b/>
          <w:bCs/>
          <w:kern w:val="0"/>
          <w:sz w:val="28"/>
          <w:szCs w:val="28"/>
          <w:lang w:bidi="ar"/>
        </w:rPr>
        <w:t>）农业社会化服务</w:t>
      </w:r>
    </w:p>
    <w:p w14:paraId="5C13C7E3">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根据海南</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全产业链实际发展需求，围绕</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全产业链，创新和完善服务机制，发展集农资供应、技术集成、农机作业、仓储物流、农产品营销等服务于一体的社会化服务体系，从产中向产前、产后等环节及金融保险等配套服务延伸，不断提升社会化服务对</w:t>
      </w:r>
      <w:r>
        <w:rPr>
          <w:rFonts w:hint="eastAsia" w:ascii="Times New Roman" w:hAnsi="Times New Roman" w:cs="Times New Roman"/>
          <w:kern w:val="0"/>
          <w:sz w:val="28"/>
          <w:szCs w:val="28"/>
          <w:lang w:eastAsia="zh-CN" w:bidi="ar"/>
        </w:rPr>
        <w:t>龙眼</w:t>
      </w:r>
      <w:r>
        <w:rPr>
          <w:rFonts w:hint="eastAsia" w:ascii="Times New Roman" w:hAnsi="Times New Roman" w:cs="Times New Roman"/>
          <w:kern w:val="0"/>
          <w:sz w:val="28"/>
          <w:szCs w:val="28"/>
          <w:lang w:bidi="ar"/>
        </w:rPr>
        <w:t>全产业链的覆盖率和支撑作用。</w:t>
      </w:r>
    </w:p>
    <w:p w14:paraId="16998FD4">
      <w:pPr>
        <w:pStyle w:val="7"/>
        <w:spacing w:line="360" w:lineRule="auto"/>
        <w:ind w:left="0" w:leftChars="0" w:right="105" w:rightChars="50"/>
        <w:rPr>
          <w:rFonts w:ascii="Times New Roman" w:hAnsi="Times New Roman" w:cs="Times New Roman"/>
          <w:b/>
          <w:bCs/>
          <w:kern w:val="0"/>
          <w:sz w:val="28"/>
          <w:szCs w:val="28"/>
          <w:lang w:bidi="ar"/>
        </w:rPr>
      </w:pPr>
      <w:r>
        <w:rPr>
          <w:rFonts w:hint="eastAsia" w:ascii="Times New Roman" w:hAnsi="Times New Roman" w:cs="Times New Roman"/>
          <w:b/>
          <w:bCs/>
          <w:kern w:val="0"/>
          <w:sz w:val="28"/>
          <w:szCs w:val="28"/>
          <w:lang w:bidi="ar"/>
        </w:rPr>
        <w:t>（1</w:t>
      </w:r>
      <w:r>
        <w:rPr>
          <w:rFonts w:hint="eastAsia" w:ascii="Times New Roman" w:hAnsi="Times New Roman" w:cs="Times New Roman"/>
          <w:b/>
          <w:bCs/>
          <w:kern w:val="0"/>
          <w:sz w:val="28"/>
          <w:szCs w:val="28"/>
          <w:lang w:val="en-US" w:eastAsia="zh-CN" w:bidi="ar"/>
        </w:rPr>
        <w:t>6</w:t>
      </w:r>
      <w:r>
        <w:rPr>
          <w:rFonts w:hint="eastAsia" w:ascii="Times New Roman" w:hAnsi="Times New Roman" w:cs="Times New Roman"/>
          <w:b/>
          <w:bCs/>
          <w:kern w:val="0"/>
          <w:sz w:val="28"/>
          <w:szCs w:val="28"/>
          <w:lang w:bidi="ar"/>
        </w:rPr>
        <w:t>）品牌建设</w:t>
      </w:r>
    </w:p>
    <w:p w14:paraId="2482F43B">
      <w:pPr>
        <w:spacing w:line="360" w:lineRule="auto"/>
        <w:ind w:firstLine="560" w:firstLineChars="200"/>
        <w:rPr>
          <w:rFonts w:ascii="Times New Roman" w:hAnsi="Times New Roman" w:cs="Times New Roman"/>
          <w:kern w:val="0"/>
          <w:sz w:val="28"/>
          <w:szCs w:val="28"/>
          <w:lang w:bidi="ar"/>
        </w:rPr>
      </w:pPr>
      <w:r>
        <w:rPr>
          <w:rFonts w:hint="eastAsia" w:ascii="Times New Roman" w:hAnsi="Times New Roman" w:cs="Times New Roman"/>
          <w:kern w:val="0"/>
          <w:sz w:val="28"/>
          <w:szCs w:val="28"/>
          <w:lang w:bidi="ar"/>
        </w:rPr>
        <w:t>根据NY/T 4169和GB/T 39906的规定，制定明确品牌定位与规划以及品牌管理内容，要求打造“海南鲜品”等区域公用品牌，带动一些具有核心竞争力的企业品牌和优质特色</w:t>
      </w:r>
      <w:r>
        <w:rPr>
          <w:rFonts w:hint="eastAsia" w:ascii="Times New Roman" w:hAnsi="Times New Roman" w:cs="Times New Roman"/>
          <w:kern w:val="0"/>
          <w:sz w:val="28"/>
          <w:szCs w:val="28"/>
          <w:lang w:val="en-US" w:eastAsia="zh-CN" w:bidi="ar"/>
        </w:rPr>
        <w:t>龙眼</w:t>
      </w:r>
      <w:r>
        <w:rPr>
          <w:rFonts w:hint="eastAsia" w:ascii="Times New Roman" w:hAnsi="Times New Roman" w:cs="Times New Roman"/>
          <w:kern w:val="0"/>
          <w:sz w:val="28"/>
          <w:szCs w:val="28"/>
          <w:lang w:bidi="ar"/>
        </w:rPr>
        <w:t>品牌，推动</w:t>
      </w:r>
      <w:r>
        <w:rPr>
          <w:rFonts w:hint="eastAsia" w:ascii="Times New Roman" w:hAnsi="Times New Roman" w:cs="Times New Roman"/>
          <w:kern w:val="0"/>
          <w:sz w:val="28"/>
          <w:szCs w:val="28"/>
          <w:lang w:val="en-US" w:eastAsia="zh-CN" w:bidi="ar"/>
        </w:rPr>
        <w:t>龙眼</w:t>
      </w:r>
      <w:r>
        <w:rPr>
          <w:rFonts w:hint="eastAsia" w:ascii="Times New Roman" w:hAnsi="Times New Roman" w:cs="Times New Roman"/>
          <w:kern w:val="0"/>
          <w:sz w:val="28"/>
          <w:szCs w:val="28"/>
          <w:lang w:bidi="ar"/>
        </w:rPr>
        <w:t>提质增效，例如“宝树释迦”等 。提升品牌核心能力，构建品牌培育体系，推动品牌保护和管理，对品牌建设进行监测、评价和改进。</w:t>
      </w:r>
    </w:p>
    <w:p w14:paraId="1D62F73C">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w:t>
      </w:r>
      <w:r>
        <w:rPr>
          <w:rFonts w:hint="eastAsia" w:ascii="Times New Roman" w:hAnsi="Times New Roman" w:cs="Times New Roman" w:eastAsiaTheme="minorEastAsia"/>
          <w:b/>
          <w:bCs/>
          <w:kern w:val="0"/>
          <w:sz w:val="28"/>
          <w:szCs w:val="28"/>
          <w:lang w:val="en-US" w:eastAsia="zh-CN" w:bidi="ar"/>
        </w:rPr>
        <w:t>五）</w:t>
      </w:r>
      <w:r>
        <w:rPr>
          <w:rFonts w:ascii="Times New Roman" w:hAnsi="Times New Roman"/>
          <w:b/>
          <w:bCs/>
          <w:kern w:val="2"/>
          <w:sz w:val="28"/>
          <w:szCs w:val="28"/>
        </w:rPr>
        <w:t>采用国际标准和国外先进标准的程度或与国内同类标准水平的对比情况</w:t>
      </w:r>
    </w:p>
    <w:p w14:paraId="710F0EFD">
      <w:pPr>
        <w:pStyle w:val="11"/>
        <w:widowControl/>
        <w:spacing w:beforeAutospacing="0" w:afterAutospacing="0" w:line="360" w:lineRule="auto"/>
        <w:jc w:val="both"/>
        <w:rPr>
          <w:rFonts w:hint="eastAsia" w:ascii="Times New Roman" w:hAnsi="Times New Roman"/>
          <w:b/>
          <w:bCs/>
          <w:kern w:val="2"/>
          <w:sz w:val="28"/>
          <w:szCs w:val="28"/>
          <w:lang w:val="en-US" w:eastAsia="zh-CN"/>
        </w:rPr>
      </w:pPr>
      <w:r>
        <w:rPr>
          <w:rFonts w:hint="eastAsia" w:ascii="Times New Roman" w:hAnsi="Times New Roman"/>
          <w:b/>
          <w:bCs/>
          <w:kern w:val="2"/>
          <w:sz w:val="28"/>
          <w:szCs w:val="28"/>
          <w:lang w:val="en-US" w:eastAsia="zh-CN"/>
        </w:rPr>
        <w:t>1、采用国际标准和国外先进标准的程度</w:t>
      </w:r>
    </w:p>
    <w:p w14:paraId="025E67F3">
      <w:pPr>
        <w:pStyle w:val="11"/>
        <w:widowControl/>
        <w:spacing w:beforeAutospacing="0" w:afterAutospacing="0" w:line="360" w:lineRule="auto"/>
        <w:ind w:firstLine="560" w:firstLineChars="200"/>
        <w:jc w:val="both"/>
        <w:rPr>
          <w:rFonts w:ascii="Times New Roman" w:hAnsi="Times New Roman"/>
          <w:sz w:val="28"/>
          <w:szCs w:val="28"/>
          <w:lang w:bidi="ar"/>
        </w:rPr>
      </w:pPr>
      <w:r>
        <w:rPr>
          <w:rFonts w:ascii="Times New Roman" w:hAnsi="Times New Roman"/>
          <w:sz w:val="28"/>
          <w:szCs w:val="28"/>
          <w:lang w:bidi="ar"/>
        </w:rPr>
        <w:t>本标准立足于海南</w:t>
      </w:r>
      <w:r>
        <w:rPr>
          <w:rFonts w:hint="eastAsia" w:ascii="Times New Roman" w:hAnsi="Times New Roman"/>
          <w:sz w:val="28"/>
          <w:szCs w:val="28"/>
          <w:lang w:eastAsia="zh-CN" w:bidi="ar"/>
        </w:rPr>
        <w:t>龙眼</w:t>
      </w:r>
      <w:r>
        <w:rPr>
          <w:rFonts w:ascii="Times New Roman" w:hAnsi="Times New Roman"/>
          <w:sz w:val="28"/>
          <w:szCs w:val="28"/>
          <w:lang w:bidi="ar"/>
        </w:rPr>
        <w:t>生产销售的实际情况，注重产品质量和安全性，保证标准技术先进性、经济合理性、切实可行及可操作性。本标准未引用国际和国外标准，查新找到的国外标准与本标准不相关，对省内指导生产更无作用。本标准引用了国标、行业标准及相关文件共计</w:t>
      </w:r>
      <w:r>
        <w:rPr>
          <w:rFonts w:hint="eastAsia" w:ascii="Times New Roman" w:hAnsi="Times New Roman"/>
          <w:sz w:val="28"/>
          <w:szCs w:val="28"/>
          <w:lang w:val="en-US" w:eastAsia="zh-CN" w:bidi="ar"/>
        </w:rPr>
        <w:t>47</w:t>
      </w:r>
      <w:r>
        <w:rPr>
          <w:rFonts w:ascii="Times New Roman" w:hAnsi="Times New Roman"/>
          <w:sz w:val="28"/>
          <w:szCs w:val="28"/>
          <w:lang w:bidi="ar"/>
        </w:rPr>
        <w:t>项，其中大部分为</w:t>
      </w:r>
      <w:r>
        <w:rPr>
          <w:rFonts w:hint="eastAsia" w:ascii="Times New Roman" w:hAnsi="Times New Roman"/>
          <w:sz w:val="28"/>
          <w:szCs w:val="28"/>
          <w:lang w:val="en-US" w:eastAsia="zh-CN" w:bidi="ar"/>
        </w:rPr>
        <w:t>环境要求、</w:t>
      </w:r>
      <w:r>
        <w:rPr>
          <w:rFonts w:ascii="Times New Roman" w:hAnsi="Times New Roman"/>
          <w:sz w:val="28"/>
          <w:szCs w:val="28"/>
          <w:lang w:bidi="ar"/>
        </w:rPr>
        <w:t>包装、卫生</w:t>
      </w:r>
      <w:r>
        <w:rPr>
          <w:rFonts w:hint="eastAsia" w:ascii="Times New Roman" w:hAnsi="Times New Roman"/>
          <w:sz w:val="28"/>
          <w:szCs w:val="28"/>
          <w:lang w:eastAsia="zh-CN" w:bidi="ar"/>
        </w:rPr>
        <w:t>、龙眼</w:t>
      </w:r>
      <w:r>
        <w:rPr>
          <w:rFonts w:ascii="Times New Roman" w:hAnsi="Times New Roman"/>
          <w:sz w:val="28"/>
          <w:szCs w:val="28"/>
          <w:lang w:bidi="ar"/>
        </w:rPr>
        <w:t>管理</w:t>
      </w:r>
      <w:r>
        <w:rPr>
          <w:rFonts w:hint="eastAsia" w:ascii="Times New Roman" w:hAnsi="Times New Roman"/>
          <w:sz w:val="28"/>
          <w:szCs w:val="28"/>
          <w:lang w:eastAsia="zh-CN" w:bidi="ar"/>
        </w:rPr>
        <w:t>、</w:t>
      </w:r>
      <w:r>
        <w:rPr>
          <w:rFonts w:ascii="Times New Roman" w:hAnsi="Times New Roman"/>
          <w:sz w:val="28"/>
          <w:szCs w:val="28"/>
          <w:lang w:bidi="ar"/>
        </w:rPr>
        <w:t>果实分级、</w:t>
      </w:r>
      <w:r>
        <w:rPr>
          <w:rFonts w:hint="eastAsia" w:ascii="Times New Roman" w:hAnsi="Times New Roman"/>
          <w:sz w:val="28"/>
          <w:szCs w:val="28"/>
          <w:lang w:val="en-US" w:eastAsia="zh-CN" w:bidi="ar"/>
        </w:rPr>
        <w:t>肥料、安全追溯等</w:t>
      </w:r>
      <w:r>
        <w:rPr>
          <w:rFonts w:ascii="Times New Roman" w:hAnsi="Times New Roman"/>
          <w:sz w:val="28"/>
          <w:szCs w:val="28"/>
          <w:lang w:bidi="ar"/>
        </w:rPr>
        <w:t>相关的标准。</w:t>
      </w:r>
    </w:p>
    <w:p w14:paraId="0FBBBAB6">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2、与有关的现行法律、法规和国家标准的关系</w:t>
      </w:r>
    </w:p>
    <w:p w14:paraId="36BDC644">
      <w:pPr>
        <w:pStyle w:val="23"/>
        <w:spacing w:line="360" w:lineRule="auto"/>
        <w:ind w:firstLine="560"/>
        <w:rPr>
          <w:rFonts w:ascii="Times New Roman" w:eastAsiaTheme="minorEastAsia"/>
          <w:sz w:val="28"/>
          <w:szCs w:val="28"/>
        </w:rPr>
      </w:pPr>
      <w:r>
        <w:rPr>
          <w:rFonts w:ascii="Times New Roman" w:eastAsiaTheme="minorEastAsia"/>
          <w:sz w:val="28"/>
          <w:szCs w:val="28"/>
          <w:lang w:bidi="ar"/>
        </w:rPr>
        <w:t>本标准是在</w:t>
      </w:r>
      <w:r>
        <w:rPr>
          <w:rFonts w:ascii="Times New Roman" w:eastAsiaTheme="minorEastAsia"/>
          <w:sz w:val="28"/>
          <w:szCs w:val="28"/>
          <w:highlight w:val="none"/>
          <w:lang w:bidi="ar"/>
        </w:rPr>
        <w:t>《</w:t>
      </w:r>
      <w:r>
        <w:rPr>
          <w:rFonts w:hint="eastAsia" w:ascii="Times New Roman" w:eastAsiaTheme="minorEastAsia"/>
          <w:sz w:val="28"/>
          <w:szCs w:val="28"/>
          <w:highlight w:val="none"/>
          <w:lang w:bidi="ar"/>
        </w:rPr>
        <w:t xml:space="preserve">NY/T 1472 </w:t>
      </w:r>
      <w:r>
        <w:rPr>
          <w:rFonts w:hint="eastAsia" w:ascii="Times New Roman" w:eastAsiaTheme="minorEastAsia"/>
          <w:sz w:val="28"/>
          <w:szCs w:val="28"/>
          <w:highlight w:val="none"/>
          <w:lang w:val="en-US" w:eastAsia="zh-CN" w:bidi="ar"/>
        </w:rPr>
        <w:t xml:space="preserve"> </w:t>
      </w:r>
      <w:r>
        <w:rPr>
          <w:rFonts w:hint="eastAsia" w:ascii="Times New Roman" w:eastAsiaTheme="minorEastAsia"/>
          <w:sz w:val="28"/>
          <w:szCs w:val="28"/>
          <w:highlight w:val="none"/>
          <w:lang w:bidi="ar"/>
        </w:rPr>
        <w:t>龙眼 种苗</w:t>
      </w:r>
      <w:r>
        <w:rPr>
          <w:rFonts w:ascii="Times New Roman" w:eastAsiaTheme="minorEastAsia"/>
          <w:sz w:val="28"/>
          <w:szCs w:val="28"/>
          <w:highlight w:val="none"/>
          <w:lang w:bidi="ar"/>
        </w:rPr>
        <w:t>》</w:t>
      </w:r>
      <w:r>
        <w:rPr>
          <w:rFonts w:hint="eastAsia" w:ascii="Times New Roman" w:eastAsiaTheme="minorEastAsia"/>
          <w:sz w:val="28"/>
          <w:szCs w:val="28"/>
          <w:highlight w:val="none"/>
          <w:lang w:eastAsia="zh-CN" w:bidi="ar"/>
        </w:rPr>
        <w:t>、</w:t>
      </w:r>
      <w:r>
        <w:rPr>
          <w:rFonts w:ascii="Times New Roman" w:eastAsiaTheme="minorEastAsia"/>
          <w:sz w:val="28"/>
          <w:szCs w:val="28"/>
          <w:highlight w:val="none"/>
          <w:lang w:bidi="ar"/>
        </w:rPr>
        <w:t>《</w:t>
      </w:r>
      <w:r>
        <w:rPr>
          <w:rFonts w:hint="eastAsia" w:ascii="Times New Roman" w:eastAsiaTheme="minorEastAsia"/>
          <w:sz w:val="28"/>
          <w:szCs w:val="28"/>
          <w:highlight w:val="none"/>
          <w:lang w:bidi="ar"/>
        </w:rPr>
        <w:t>NY/T 2260  龙眼等级规格</w:t>
      </w:r>
      <w:r>
        <w:rPr>
          <w:rFonts w:ascii="Times New Roman" w:eastAsiaTheme="minorEastAsia"/>
          <w:sz w:val="28"/>
          <w:szCs w:val="28"/>
          <w:highlight w:val="none"/>
          <w:lang w:bidi="ar"/>
        </w:rPr>
        <w:t>》</w:t>
      </w:r>
      <w:r>
        <w:rPr>
          <w:rFonts w:hint="eastAsia" w:ascii="Times New Roman" w:eastAsiaTheme="minorEastAsia"/>
          <w:sz w:val="28"/>
          <w:szCs w:val="28"/>
          <w:highlight w:val="none"/>
          <w:lang w:eastAsia="zh-CN" w:bidi="ar"/>
        </w:rPr>
        <w:t>、</w:t>
      </w:r>
      <w:r>
        <w:rPr>
          <w:rFonts w:ascii="Times New Roman" w:eastAsiaTheme="minorEastAsia"/>
          <w:sz w:val="28"/>
          <w:szCs w:val="28"/>
          <w:highlight w:val="none"/>
          <w:lang w:bidi="ar"/>
        </w:rPr>
        <w:t>《</w:t>
      </w:r>
      <w:r>
        <w:rPr>
          <w:rFonts w:hint="eastAsia" w:ascii="Times New Roman" w:eastAsiaTheme="minorEastAsia"/>
          <w:sz w:val="28"/>
          <w:szCs w:val="28"/>
          <w:highlight w:val="none"/>
          <w:lang w:bidi="ar"/>
        </w:rPr>
        <w:t>DBHN/016</w:t>
      </w:r>
      <w:r>
        <w:rPr>
          <w:rFonts w:hint="eastAsia" w:ascii="Times New Roman" w:eastAsiaTheme="minorEastAsia"/>
          <w:sz w:val="28"/>
          <w:szCs w:val="28"/>
          <w:highlight w:val="none"/>
          <w:lang w:val="en-US" w:eastAsia="zh-CN" w:bidi="ar"/>
        </w:rPr>
        <w:t xml:space="preserve"> </w:t>
      </w:r>
      <w:r>
        <w:rPr>
          <w:rFonts w:hint="eastAsia" w:ascii="Times New Roman" w:eastAsiaTheme="minorEastAsia"/>
          <w:sz w:val="28"/>
          <w:szCs w:val="28"/>
          <w:highlight w:val="none"/>
          <w:lang w:bidi="ar"/>
        </w:rPr>
        <w:t>海南名牌农产品标准 龙眼</w:t>
      </w:r>
      <w:r>
        <w:rPr>
          <w:rFonts w:ascii="Times New Roman" w:eastAsiaTheme="minorEastAsia"/>
          <w:sz w:val="28"/>
          <w:szCs w:val="28"/>
          <w:highlight w:val="none"/>
          <w:lang w:bidi="ar"/>
        </w:rPr>
        <w:t>》等标准的基础上</w:t>
      </w:r>
      <w:r>
        <w:rPr>
          <w:rFonts w:ascii="Times New Roman" w:eastAsiaTheme="minorEastAsia"/>
          <w:sz w:val="28"/>
          <w:szCs w:val="28"/>
          <w:highlight w:val="none"/>
        </w:rPr>
        <w:t>，结合海南</w:t>
      </w:r>
      <w:r>
        <w:rPr>
          <w:rFonts w:hint="eastAsia" w:ascii="Times New Roman" w:eastAsiaTheme="minorEastAsia"/>
          <w:sz w:val="28"/>
          <w:szCs w:val="28"/>
          <w:lang w:eastAsia="zh-CN"/>
        </w:rPr>
        <w:t>龙眼</w:t>
      </w:r>
      <w:r>
        <w:rPr>
          <w:rFonts w:ascii="Times New Roman" w:eastAsiaTheme="minorEastAsia"/>
          <w:sz w:val="28"/>
          <w:szCs w:val="28"/>
        </w:rPr>
        <w:t>实际生产情况，围绕</w:t>
      </w:r>
      <w:r>
        <w:rPr>
          <w:rFonts w:hint="eastAsia" w:ascii="Times New Roman" w:eastAsiaTheme="minorEastAsia"/>
          <w:sz w:val="28"/>
          <w:szCs w:val="28"/>
          <w:lang w:eastAsia="zh-CN"/>
        </w:rPr>
        <w:t>龙眼</w:t>
      </w:r>
      <w:r>
        <w:rPr>
          <w:rFonts w:ascii="Times New Roman" w:eastAsiaTheme="minorEastAsia"/>
          <w:sz w:val="28"/>
          <w:szCs w:val="28"/>
        </w:rPr>
        <w:t>生产全产业链制定的管理技术规范，具有很强可操作性。</w:t>
      </w:r>
    </w:p>
    <w:p w14:paraId="5C8A3C86">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（六）重大分歧意见的处理依据和结果</w:t>
      </w:r>
    </w:p>
    <w:p w14:paraId="40325F15">
      <w:pPr>
        <w:pStyle w:val="11"/>
        <w:widowControl/>
        <w:numPr>
          <w:ilvl w:val="255"/>
          <w:numId w:val="0"/>
        </w:numPr>
        <w:spacing w:beforeAutospacing="0" w:afterAutospacing="0" w:line="360" w:lineRule="auto"/>
        <w:ind w:firstLine="560" w:firstLineChars="200"/>
        <w:jc w:val="both"/>
        <w:rPr>
          <w:rFonts w:ascii="Times New Roman" w:hAnsi="Times New Roman"/>
          <w:sz w:val="28"/>
          <w:szCs w:val="28"/>
          <w:lang w:bidi="ar"/>
        </w:rPr>
      </w:pPr>
      <w:r>
        <w:rPr>
          <w:rFonts w:hint="eastAsia" w:ascii="Times New Roman" w:hAnsi="Times New Roman"/>
          <w:sz w:val="28"/>
          <w:szCs w:val="28"/>
          <w:lang w:bidi="ar"/>
        </w:rPr>
        <w:t>无。</w:t>
      </w:r>
    </w:p>
    <w:p w14:paraId="2934B332">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（七）贯彻标准的要求和措施建议（包括组织措施、技术措施、过渡办法、实施日期等）</w:t>
      </w:r>
    </w:p>
    <w:p w14:paraId="2FB46BB4">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 xml:space="preserve">1、政府部门推动实施的承诺 </w:t>
      </w:r>
    </w:p>
    <w:p w14:paraId="6A35464B">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切实加强组织领导，坚持政府推动、企业为主，充分发挥协会的作用，统一思想、凝聚共识，采取有力措施，推动标准实施工作深入扎实开展。建议把标准宣贯纳入高素质农民培训课程中。</w:t>
      </w:r>
    </w:p>
    <w:p w14:paraId="0FA5F2D9">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 xml:space="preserve">2、培训计划 </w:t>
      </w:r>
    </w:p>
    <w:p w14:paraId="70F1FCB2">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联合行业协会、市县热作中心、农技推广中心对标准使用相关人员进行针对性、操作性强的指导培训</w:t>
      </w:r>
      <w:r>
        <w:rPr>
          <w:rFonts w:hint="default" w:ascii="Times New Roman" w:hAnsi="Times New Roman" w:cs="Times New Roman"/>
          <w:bCs/>
          <w:color w:val="000000"/>
          <w:sz w:val="28"/>
          <w:szCs w:val="28"/>
        </w:rPr>
        <w:t>2~3</w:t>
      </w:r>
      <w:r>
        <w:rPr>
          <w:bCs/>
          <w:color w:val="000000"/>
          <w:sz w:val="28"/>
          <w:szCs w:val="28"/>
        </w:rPr>
        <w:t>次/年，培养大批标准化实际操作能力强的技术骨干。</w:t>
      </w:r>
    </w:p>
    <w:p w14:paraId="3FCCD95F">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3、实施的技术指导措施</w:t>
      </w:r>
    </w:p>
    <w:p w14:paraId="386F6E52">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在海南</w:t>
      </w:r>
      <w:r>
        <w:rPr>
          <w:rFonts w:hint="eastAsia"/>
          <w:bCs/>
          <w:color w:val="000000"/>
          <w:sz w:val="28"/>
          <w:szCs w:val="28"/>
          <w:lang w:val="en-US" w:eastAsia="zh-CN"/>
        </w:rPr>
        <w:t>乐东、儋州</w:t>
      </w:r>
      <w:r>
        <w:rPr>
          <w:rFonts w:hint="eastAsia"/>
          <w:bCs/>
          <w:color w:val="000000"/>
          <w:sz w:val="28"/>
          <w:szCs w:val="28"/>
        </w:rPr>
        <w:t>、</w:t>
      </w:r>
      <w:r>
        <w:rPr>
          <w:rFonts w:hint="eastAsia"/>
          <w:bCs/>
          <w:color w:val="000000"/>
          <w:sz w:val="28"/>
          <w:szCs w:val="28"/>
          <w:lang w:val="en-US" w:eastAsia="zh-CN"/>
        </w:rPr>
        <w:t>东方</w:t>
      </w:r>
      <w:r>
        <w:rPr>
          <w:rFonts w:hint="eastAsia"/>
          <w:bCs/>
          <w:color w:val="000000"/>
          <w:sz w:val="28"/>
          <w:szCs w:val="28"/>
        </w:rPr>
        <w:t>、临高</w:t>
      </w:r>
      <w:r>
        <w:rPr>
          <w:bCs/>
          <w:color w:val="000000"/>
          <w:sz w:val="28"/>
          <w:szCs w:val="28"/>
        </w:rPr>
        <w:t>等主产区指导标准实施单位采用该标准，规范</w:t>
      </w:r>
      <w:r>
        <w:rPr>
          <w:rFonts w:hint="eastAsia"/>
          <w:bCs/>
          <w:color w:val="000000"/>
          <w:sz w:val="28"/>
          <w:szCs w:val="28"/>
          <w:lang w:eastAsia="zh-CN"/>
        </w:rPr>
        <w:t>龙眼</w:t>
      </w:r>
      <w:r>
        <w:rPr>
          <w:bCs/>
          <w:color w:val="000000"/>
          <w:sz w:val="28"/>
          <w:szCs w:val="28"/>
        </w:rPr>
        <w:t>产业标准化生产。</w:t>
      </w:r>
    </w:p>
    <w:p w14:paraId="0BD26D61">
      <w:pPr>
        <w:pStyle w:val="11"/>
        <w:widowControl/>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4、对实施情况的监督检查措施</w:t>
      </w:r>
    </w:p>
    <w:p w14:paraId="00E2E4D0">
      <w:pPr>
        <w:tabs>
          <w:tab w:val="center" w:pos="2980"/>
        </w:tabs>
        <w:autoSpaceDE w:val="0"/>
        <w:autoSpaceDN w:val="0"/>
        <w:adjustRightInd w:val="0"/>
        <w:snapToGrid w:val="0"/>
        <w:spacing w:line="360" w:lineRule="auto"/>
        <w:ind w:firstLine="590"/>
        <w:rPr>
          <w:bCs/>
          <w:color w:val="000000"/>
          <w:sz w:val="28"/>
          <w:szCs w:val="28"/>
        </w:rPr>
      </w:pPr>
      <w:r>
        <w:rPr>
          <w:bCs/>
          <w:color w:val="000000"/>
          <w:sz w:val="28"/>
          <w:szCs w:val="28"/>
        </w:rPr>
        <w:t>市场监督管理局、农业农村局不定期组织专家对作物主产区应用标准生产情况现场进行监督检查。</w:t>
      </w:r>
    </w:p>
    <w:p w14:paraId="63612289">
      <w:pPr>
        <w:pStyle w:val="11"/>
        <w:widowControl/>
        <w:numPr>
          <w:ilvl w:val="255"/>
          <w:numId w:val="0"/>
        </w:numPr>
        <w:spacing w:beforeAutospacing="0" w:afterAutospacing="0" w:line="360" w:lineRule="auto"/>
        <w:jc w:val="both"/>
        <w:rPr>
          <w:rFonts w:ascii="Times New Roman" w:hAnsi="Times New Roman"/>
          <w:b/>
          <w:bCs/>
          <w:kern w:val="2"/>
          <w:sz w:val="28"/>
          <w:szCs w:val="28"/>
        </w:rPr>
      </w:pPr>
      <w:r>
        <w:rPr>
          <w:rFonts w:ascii="Times New Roman" w:hAnsi="Times New Roman"/>
          <w:b/>
          <w:bCs/>
          <w:kern w:val="2"/>
          <w:sz w:val="28"/>
          <w:szCs w:val="28"/>
        </w:rPr>
        <w:t>（八）预期效果</w:t>
      </w:r>
    </w:p>
    <w:p w14:paraId="64A2892B">
      <w:pPr>
        <w:widowControl/>
        <w:spacing w:line="360" w:lineRule="auto"/>
        <w:ind w:firstLine="560" w:firstLineChars="200"/>
        <w:rPr>
          <w:rFonts w:ascii="Times New Roman" w:hAnsi="Times New Roman" w:eastAsia="宋体" w:cs="Times New Roman"/>
          <w:b/>
          <w:bCs/>
          <w:sz w:val="28"/>
          <w:szCs w:val="28"/>
        </w:rPr>
      </w:pPr>
      <w:r>
        <w:rPr>
          <w:rFonts w:ascii="Times New Roman" w:hAnsi="Times New Roman" w:eastAsia="宋体" w:cs="Times New Roman"/>
          <w:kern w:val="0"/>
          <w:sz w:val="28"/>
          <w:szCs w:val="28"/>
          <w:lang w:bidi="ar"/>
        </w:rPr>
        <w:t>海南省</w:t>
      </w:r>
      <w:r>
        <w:rPr>
          <w:rFonts w:hint="eastAsia" w:ascii="Times New Roman" w:hAnsi="Times New Roman" w:eastAsia="宋体" w:cs="Times New Roman"/>
          <w:kern w:val="0"/>
          <w:sz w:val="28"/>
          <w:szCs w:val="28"/>
          <w:lang w:eastAsia="zh-CN" w:bidi="ar"/>
        </w:rPr>
        <w:t>地方</w:t>
      </w:r>
      <w:r>
        <w:rPr>
          <w:rFonts w:hint="eastAsia" w:ascii="Times New Roman" w:hAnsi="Times New Roman" w:eastAsia="宋体" w:cs="Times New Roman"/>
          <w:kern w:val="0"/>
          <w:sz w:val="28"/>
          <w:szCs w:val="28"/>
          <w:lang w:bidi="ar"/>
        </w:rPr>
        <w:t>标准</w:t>
      </w:r>
      <w:r>
        <w:rPr>
          <w:rFonts w:ascii="Times New Roman" w:hAnsi="Times New Roman" w:eastAsia="宋体" w:cs="Times New Roman"/>
          <w:kern w:val="0"/>
          <w:sz w:val="28"/>
          <w:szCs w:val="28"/>
          <w:lang w:bidi="ar"/>
        </w:rPr>
        <w:t xml:space="preserve">《农产品全产业链生产规范 </w:t>
      </w:r>
      <w:r>
        <w:rPr>
          <w:rFonts w:hint="eastAsia" w:ascii="Times New Roman" w:hAnsi="Times New Roman" w:eastAsia="宋体" w:cs="Times New Roman"/>
          <w:kern w:val="0"/>
          <w:sz w:val="28"/>
          <w:szCs w:val="28"/>
          <w:lang w:eastAsia="zh-CN" w:bidi="ar"/>
        </w:rPr>
        <w:t>龙眼</w:t>
      </w:r>
      <w:r>
        <w:rPr>
          <w:rFonts w:ascii="Times New Roman" w:hAnsi="Times New Roman" w:eastAsia="宋体" w:cs="Times New Roman"/>
          <w:kern w:val="0"/>
          <w:sz w:val="28"/>
          <w:szCs w:val="28"/>
          <w:lang w:bidi="ar"/>
        </w:rPr>
        <w:t>》的推广应用，将进一步提高我省</w:t>
      </w:r>
      <w:r>
        <w:rPr>
          <w:rFonts w:hint="eastAsia" w:ascii="Times New Roman" w:hAnsi="Times New Roman" w:eastAsia="宋体" w:cs="Times New Roman"/>
          <w:kern w:val="0"/>
          <w:sz w:val="28"/>
          <w:szCs w:val="28"/>
          <w:lang w:eastAsia="zh-CN" w:bidi="ar"/>
        </w:rPr>
        <w:t>龙眼</w:t>
      </w:r>
      <w:r>
        <w:rPr>
          <w:rFonts w:ascii="Times New Roman" w:hAnsi="Times New Roman" w:eastAsia="宋体" w:cs="Times New Roman"/>
          <w:kern w:val="0"/>
          <w:sz w:val="28"/>
          <w:szCs w:val="28"/>
          <w:lang w:bidi="ar"/>
        </w:rPr>
        <w:t>生产技术水平，完善全产业链生产体系，提高我省</w:t>
      </w:r>
      <w:r>
        <w:rPr>
          <w:rFonts w:hint="eastAsia" w:ascii="Times New Roman" w:hAnsi="Times New Roman" w:eastAsia="宋体" w:cs="Times New Roman"/>
          <w:kern w:val="0"/>
          <w:sz w:val="28"/>
          <w:szCs w:val="28"/>
          <w:lang w:eastAsia="zh-CN" w:bidi="ar"/>
        </w:rPr>
        <w:t>龙眼</w:t>
      </w:r>
      <w:r>
        <w:rPr>
          <w:rFonts w:ascii="Times New Roman" w:hAnsi="Times New Roman" w:eastAsia="宋体" w:cs="Times New Roman"/>
          <w:kern w:val="0"/>
          <w:sz w:val="28"/>
          <w:szCs w:val="28"/>
          <w:lang w:bidi="ar"/>
        </w:rPr>
        <w:t>产量和品质，有助于</w:t>
      </w:r>
      <w:r>
        <w:rPr>
          <w:rFonts w:ascii="Times New Roman" w:hAnsi="Times New Roman" w:eastAsia="宋体" w:cs="Times New Roman"/>
          <w:sz w:val="28"/>
          <w:szCs w:val="28"/>
          <w:lang w:bidi="ar"/>
        </w:rPr>
        <w:t>加快了调整优化</w:t>
      </w:r>
      <w:r>
        <w:rPr>
          <w:rFonts w:hint="eastAsia" w:ascii="Times New Roman" w:hAnsi="Times New Roman" w:eastAsia="宋体" w:cs="Times New Roman"/>
          <w:sz w:val="28"/>
          <w:szCs w:val="28"/>
          <w:lang w:eastAsia="zh-CN" w:bidi="ar"/>
        </w:rPr>
        <w:t>龙眼</w:t>
      </w:r>
      <w:r>
        <w:rPr>
          <w:rFonts w:ascii="Times New Roman" w:hAnsi="Times New Roman" w:eastAsia="宋体" w:cs="Times New Roman"/>
          <w:sz w:val="28"/>
          <w:szCs w:val="28"/>
          <w:lang w:bidi="ar"/>
        </w:rPr>
        <w:t>品种结构步伐，培育和打</w:t>
      </w:r>
      <w:r>
        <w:rPr>
          <w:rFonts w:hint="eastAsia" w:ascii="Times New Roman" w:hAnsi="Times New Roman" w:eastAsia="宋体" w:cs="Times New Roman"/>
          <w:sz w:val="28"/>
          <w:szCs w:val="28"/>
          <w:lang w:val="en-US" w:eastAsia="zh-CN" w:bidi="ar"/>
        </w:rPr>
        <w:t>造</w:t>
      </w:r>
      <w:r>
        <w:rPr>
          <w:rFonts w:ascii="Times New Roman" w:hAnsi="Times New Roman" w:eastAsia="宋体" w:cs="Times New Roman"/>
          <w:sz w:val="28"/>
          <w:szCs w:val="28"/>
          <w:lang w:bidi="ar"/>
        </w:rPr>
        <w:t>优质品牌商标，培育一批优质特色</w:t>
      </w:r>
      <w:r>
        <w:rPr>
          <w:rFonts w:hint="eastAsia" w:ascii="Times New Roman" w:hAnsi="Times New Roman" w:eastAsia="宋体" w:cs="Times New Roman"/>
          <w:sz w:val="28"/>
          <w:szCs w:val="28"/>
          <w:lang w:eastAsia="zh-CN" w:bidi="ar"/>
        </w:rPr>
        <w:t>龙眼</w:t>
      </w:r>
      <w:r>
        <w:rPr>
          <w:rFonts w:ascii="Times New Roman" w:hAnsi="Times New Roman" w:eastAsia="宋体" w:cs="Times New Roman"/>
          <w:sz w:val="28"/>
          <w:szCs w:val="28"/>
          <w:lang w:bidi="ar"/>
        </w:rPr>
        <w:t>生产和经营主体，更加充分发挥海南</w:t>
      </w:r>
      <w:r>
        <w:rPr>
          <w:rFonts w:hint="eastAsia" w:ascii="Times New Roman" w:hAnsi="Times New Roman" w:eastAsia="宋体" w:cs="Times New Roman"/>
          <w:sz w:val="28"/>
          <w:szCs w:val="28"/>
          <w:lang w:eastAsia="zh-CN" w:bidi="ar"/>
        </w:rPr>
        <w:t>龙眼</w:t>
      </w:r>
      <w:r>
        <w:rPr>
          <w:rFonts w:ascii="Times New Roman" w:hAnsi="Times New Roman" w:eastAsia="宋体" w:cs="Times New Roman"/>
          <w:sz w:val="28"/>
          <w:szCs w:val="28"/>
          <w:lang w:bidi="ar"/>
        </w:rPr>
        <w:t>产业的区域和特色优势，</w:t>
      </w:r>
      <w:r>
        <w:rPr>
          <w:rFonts w:ascii="Times New Roman" w:hAnsi="Times New Roman" w:eastAsia="宋体" w:cs="Times New Roman"/>
          <w:kern w:val="0"/>
          <w:sz w:val="28"/>
          <w:szCs w:val="28"/>
          <w:lang w:bidi="ar"/>
        </w:rPr>
        <w:t>将促进我省</w:t>
      </w:r>
      <w:r>
        <w:rPr>
          <w:rFonts w:hint="eastAsia" w:ascii="Times New Roman" w:hAnsi="Times New Roman" w:eastAsia="宋体" w:cs="Times New Roman"/>
          <w:kern w:val="0"/>
          <w:sz w:val="28"/>
          <w:szCs w:val="28"/>
          <w:lang w:eastAsia="zh-CN" w:bidi="ar"/>
        </w:rPr>
        <w:t>龙眼</w:t>
      </w:r>
      <w:r>
        <w:rPr>
          <w:rFonts w:ascii="Times New Roman" w:hAnsi="Times New Roman" w:eastAsia="宋体" w:cs="Times New Roman"/>
          <w:kern w:val="0"/>
          <w:sz w:val="28"/>
          <w:szCs w:val="28"/>
          <w:lang w:bidi="ar"/>
        </w:rPr>
        <w:t>产业高效、健康、可持续发展，社会效益、经济效益显著。</w:t>
      </w:r>
    </w:p>
    <w:p w14:paraId="18FA37C4">
      <w:pPr>
        <w:pStyle w:val="11"/>
        <w:widowControl/>
        <w:spacing w:beforeAutospacing="0" w:afterAutospacing="0" w:line="360" w:lineRule="auto"/>
        <w:jc w:val="both"/>
        <w:rPr>
          <w:rFonts w:ascii="Times New Roman" w:hAnsi="Times New Roman" w:eastAsia="宋体"/>
          <w:b/>
          <w:bCs/>
          <w:kern w:val="2"/>
          <w:sz w:val="28"/>
          <w:szCs w:val="28"/>
        </w:rPr>
      </w:pPr>
      <w:r>
        <w:rPr>
          <w:rFonts w:ascii="Times New Roman" w:hAnsi="Times New Roman" w:eastAsia="宋体"/>
          <w:b/>
          <w:bCs/>
          <w:kern w:val="2"/>
          <w:sz w:val="28"/>
          <w:szCs w:val="28"/>
        </w:rPr>
        <w:t>（九）其他应予说明的事项</w:t>
      </w:r>
    </w:p>
    <w:p w14:paraId="1B2445D5">
      <w:pPr>
        <w:widowControl/>
        <w:spacing w:line="360" w:lineRule="auto"/>
        <w:ind w:firstLine="560" w:firstLineChars="200"/>
        <w:jc w:val="left"/>
        <w:rPr>
          <w:rFonts w:ascii="Times New Roman" w:hAnsi="Times New Roman" w:cs="Times New Roman"/>
          <w:sz w:val="28"/>
          <w:szCs w:val="28"/>
          <w:lang w:bidi="ar"/>
        </w:rPr>
      </w:pPr>
      <w:r>
        <w:rPr>
          <w:rFonts w:ascii="Times New Roman" w:hAnsi="Times New Roman" w:cs="Times New Roman"/>
          <w:sz w:val="28"/>
          <w:szCs w:val="28"/>
          <w:lang w:bidi="ar"/>
        </w:rPr>
        <w:t>无。</w:t>
      </w:r>
    </w:p>
    <w:p w14:paraId="2C676D4F">
      <w:pPr>
        <w:pStyle w:val="11"/>
        <w:widowControl/>
        <w:spacing w:beforeAutospacing="0" w:afterAutospacing="0" w:line="360" w:lineRule="auto"/>
        <w:jc w:val="both"/>
        <w:rPr>
          <w:rFonts w:hint="eastAsia" w:ascii="Times New Roman" w:hAnsi="Times New Roman" w:eastAsia="宋体"/>
          <w:b/>
          <w:bCs/>
          <w:kern w:val="2"/>
          <w:sz w:val="28"/>
          <w:szCs w:val="28"/>
          <w:lang w:eastAsia="zh-CN"/>
        </w:rPr>
      </w:pPr>
      <w:r>
        <w:rPr>
          <w:rFonts w:hint="eastAsia" w:ascii="Times New Roman" w:hAnsi="Times New Roman" w:eastAsia="宋体"/>
          <w:b/>
          <w:bCs/>
          <w:kern w:val="2"/>
          <w:sz w:val="28"/>
          <w:szCs w:val="28"/>
        </w:rPr>
        <w:t>参考文献</w:t>
      </w:r>
      <w:r>
        <w:rPr>
          <w:rFonts w:hint="eastAsia" w:ascii="Times New Roman" w:hAnsi="Times New Roman" w:eastAsia="宋体"/>
          <w:b/>
          <w:bCs/>
          <w:kern w:val="2"/>
          <w:sz w:val="28"/>
          <w:szCs w:val="28"/>
          <w:lang w:eastAsia="zh-CN"/>
        </w:rPr>
        <w:t>：</w:t>
      </w:r>
    </w:p>
    <w:p w14:paraId="54BC1FE6">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GB/T 191</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包装储运图示标志</w:t>
      </w:r>
    </w:p>
    <w:p w14:paraId="213021F2">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 2762</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食品安全国家标准食品中污染物限量</w:t>
      </w:r>
    </w:p>
    <w:p w14:paraId="4F156490">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 2763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食品安全国家标准 食品中农药最大残留限量</w:t>
      </w:r>
    </w:p>
    <w:p w14:paraId="032FDF1C">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 3095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环境空气质量标准</w:t>
      </w:r>
    </w:p>
    <w:p w14:paraId="524F3D61">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 4806.7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食品安全国家标准 食品接触用塑料材料及制品</w:t>
      </w:r>
    </w:p>
    <w:p w14:paraId="58A6D1BA">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 5084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农田灌溉水质标准</w:t>
      </w:r>
    </w:p>
    <w:p w14:paraId="602B3B7C">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5737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食品塑料周转箱</w:t>
      </w:r>
    </w:p>
    <w:p w14:paraId="74FC9653">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6543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运输包装用单瓦楞纸箱和双瓦楞纸箱</w:t>
      </w:r>
    </w:p>
    <w:p w14:paraId="4AF8007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8166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缓冲包装设计</w:t>
      </w:r>
    </w:p>
    <w:p w14:paraId="16A76F75">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8321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(所有部分) 农药合理使用准则</w:t>
      </w:r>
    </w:p>
    <w:p w14:paraId="34B7F730">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12123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包装设计通用要求</w:t>
      </w:r>
    </w:p>
    <w:p w14:paraId="6162C8D0">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 15618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土壤环境质量 农用地土壤污染风险管控标准(试行)</w:t>
      </w:r>
    </w:p>
    <w:p w14:paraId="7DB7BA6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16716.1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包装与环境 第1部分:通则</w:t>
      </w:r>
    </w:p>
    <w:p w14:paraId="65748A5C">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17419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含有机质叶面肥料</w:t>
      </w:r>
    </w:p>
    <w:p w14:paraId="47A7F1E4">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17420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微量元素叶面肥料</w:t>
      </w:r>
    </w:p>
    <w:p w14:paraId="2BDDC2A0">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28117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食品包装用多层共挤膜、袋</w:t>
      </w:r>
    </w:p>
    <w:p w14:paraId="5976A66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29373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农产品追溯要求 果蔬</w:t>
      </w:r>
    </w:p>
    <w:p w14:paraId="1D34CCFA">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lang w:eastAsia="zh-CN"/>
        </w:rPr>
      </w:pPr>
      <w:bookmarkStart w:id="21" w:name="_Hlk174567443"/>
      <w:r>
        <w:rPr>
          <w:rFonts w:hint="eastAsia" w:ascii="Times New Roman" w:hAnsi="Times New Roman" w:eastAsia="宋体"/>
          <w:b w:val="0"/>
          <w:bCs w:val="0"/>
          <w:kern w:val="2"/>
          <w:sz w:val="24"/>
          <w:szCs w:val="24"/>
        </w:rPr>
        <w:t>GB/T 31735</w:t>
      </w:r>
      <w:bookmarkEnd w:id="21"/>
      <w:r>
        <w:rPr>
          <w:rFonts w:hint="eastAsia" w:ascii="Times New Roman" w:hAnsi="Times New Roman" w:eastAsia="宋体"/>
          <w:b w:val="0"/>
          <w:bCs w:val="0"/>
          <w:kern w:val="2"/>
          <w:sz w:val="24"/>
          <w:szCs w:val="24"/>
        </w:rPr>
        <w:t xml:space="preserve">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龙眼</w:t>
      </w:r>
    </w:p>
    <w:p w14:paraId="3D0364A3">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34343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农产品物流包装容器通用技术要求</w:t>
      </w:r>
    </w:p>
    <w:p w14:paraId="7F4864A4">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34344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农产品物流包装材料通用技术要求</w:t>
      </w:r>
    </w:p>
    <w:p w14:paraId="3E4623E9">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 38400</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肥料中有毒有害物质的限量要求</w:t>
      </w:r>
    </w:p>
    <w:p w14:paraId="104272EF">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GB/T 39906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品牌管理要求</w:t>
      </w:r>
    </w:p>
    <w:p w14:paraId="1D1A789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GB/T 39907</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果蔬类周转箱尺寸系列及技术要求</w:t>
      </w:r>
    </w:p>
    <w:p w14:paraId="1FC9CFB8">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GB/T 40065</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果蔬类周转箱循环共用管理规范</w:t>
      </w:r>
    </w:p>
    <w:p w14:paraId="4CA3743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GB/T 42478</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农产品生产档案记载规范</w:t>
      </w:r>
    </w:p>
    <w:p w14:paraId="35BA7735">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lang w:eastAsia="zh-CN"/>
        </w:rPr>
      </w:pPr>
      <w:r>
        <w:rPr>
          <w:rFonts w:hint="eastAsia" w:ascii="Times New Roman" w:hAnsi="Times New Roman" w:eastAsia="宋体"/>
          <w:b w:val="0"/>
          <w:bCs w:val="0"/>
          <w:kern w:val="2"/>
          <w:sz w:val="24"/>
          <w:szCs w:val="24"/>
        </w:rPr>
        <w:t>GB 43284 限制商品过度包装要求 生鲜食用农产品</w:t>
      </w:r>
    </w:p>
    <w:p w14:paraId="41B97165">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JJF</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1070</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定量包装商品净含量计量检验规则(含第1号修改单)</w:t>
      </w:r>
    </w:p>
    <w:p w14:paraId="188EF7A1">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496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肥料合理使用准则 通则</w:t>
      </w:r>
    </w:p>
    <w:p w14:paraId="6C96EBC5">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525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有机肥料</w:t>
      </w:r>
    </w:p>
    <w:p w14:paraId="14459811">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798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复合微生物肥料</w:t>
      </w:r>
    </w:p>
    <w:p w14:paraId="1F2B698D">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1105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肥料合理使用准则 氮肥</w:t>
      </w:r>
    </w:p>
    <w:p w14:paraId="59E25E10">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1276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农药安全使用规范 总则</w:t>
      </w:r>
    </w:p>
    <w:p w14:paraId="5AB21BD5">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1472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龙眼 种苗</w:t>
      </w:r>
    </w:p>
    <w:p w14:paraId="7C4D1CC4">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1479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龙眼病虫害防治技术规范</w:t>
      </w:r>
    </w:p>
    <w:p w14:paraId="2278BF6A">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1530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龙眼、荔枝产后贮运保鲜技术规程</w:t>
      </w:r>
    </w:p>
    <w:p w14:paraId="364AD9CB">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1535</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肥料合理使用准则 微生物肥料</w:t>
      </w:r>
    </w:p>
    <w:p w14:paraId="23F03EB2">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1761</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农产品质量安全追溯操作规程 通则</w:t>
      </w:r>
    </w:p>
    <w:p w14:paraId="2F9828E6">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1762</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农产品质量安全追溯操作规程 水果</w:t>
      </w:r>
    </w:p>
    <w:p w14:paraId="512C7232">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1778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新鲜水果包装标识 通则</w:t>
      </w:r>
    </w:p>
    <w:p w14:paraId="3BF7F8DC">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1868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肥料合理使用准则 有机肥料</w:t>
      </w:r>
    </w:p>
    <w:p w14:paraId="620383AE">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1869</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 xml:space="preserve"> 肥料合理使用准则 钾肥</w:t>
      </w:r>
    </w:p>
    <w:p w14:paraId="7C787592">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lang w:val="en-US"/>
        </w:rPr>
      </w:pPr>
      <w:r>
        <w:rPr>
          <w:rFonts w:hint="eastAsia" w:ascii="Times New Roman" w:hAnsi="Times New Roman" w:eastAsia="宋体"/>
          <w:b w:val="0"/>
          <w:bCs w:val="0"/>
          <w:kern w:val="2"/>
          <w:sz w:val="24"/>
          <w:szCs w:val="24"/>
          <w:lang w:val="en-US" w:eastAsia="zh-CN"/>
        </w:rPr>
        <w:t>NY/T 2260  龙眼等级规格</w:t>
      </w:r>
    </w:p>
    <w:p w14:paraId="502F279D">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2637</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水果和蔬菜可溶性固形物含量的测定 折射仪法</w:t>
      </w:r>
    </w:p>
    <w:p w14:paraId="7E9D1A08">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NY/T 4169</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农产品区域公用品牌建设指南</w:t>
      </w:r>
    </w:p>
    <w:p w14:paraId="04332599">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 xml:space="preserve">NY/T 5295 </w:t>
      </w:r>
      <w:r>
        <w:rPr>
          <w:rFonts w:hint="eastAsia" w:ascii="Times New Roman" w:hAnsi="Times New Roman" w:eastAsia="宋体"/>
          <w:b w:val="0"/>
          <w:bCs w:val="0"/>
          <w:kern w:val="2"/>
          <w:sz w:val="24"/>
          <w:szCs w:val="24"/>
          <w:lang w:val="en-US" w:eastAsia="zh-CN"/>
        </w:rPr>
        <w:t xml:space="preserve"> </w:t>
      </w:r>
      <w:r>
        <w:rPr>
          <w:rFonts w:hint="eastAsia" w:ascii="Times New Roman" w:hAnsi="Times New Roman" w:eastAsia="宋体"/>
          <w:b w:val="0"/>
          <w:bCs w:val="0"/>
          <w:kern w:val="2"/>
          <w:sz w:val="24"/>
          <w:szCs w:val="24"/>
        </w:rPr>
        <w:t>无公害农产品产地环境评价准则</w:t>
      </w:r>
    </w:p>
    <w:p w14:paraId="6973AE9B">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海南经济特区禁止生产运输储存销售使用农药名录</w:t>
      </w:r>
    </w:p>
    <w:p w14:paraId="4D063E3F">
      <w:pPr>
        <w:pStyle w:val="11"/>
        <w:widowControl/>
        <w:numPr>
          <w:ilvl w:val="0"/>
          <w:numId w:val="8"/>
        </w:numPr>
        <w:spacing w:beforeAutospacing="0" w:afterAutospacing="0" w:line="360" w:lineRule="auto"/>
        <w:ind w:left="425" w:leftChars="0" w:hanging="425" w:firstLineChars="0"/>
        <w:jc w:val="both"/>
        <w:rPr>
          <w:rFonts w:hint="eastAsia" w:ascii="Times New Roman" w:hAnsi="Times New Roman" w:eastAsia="宋体"/>
          <w:b w:val="0"/>
          <w:bCs w:val="0"/>
          <w:kern w:val="2"/>
          <w:sz w:val="24"/>
          <w:szCs w:val="24"/>
        </w:rPr>
      </w:pPr>
      <w:r>
        <w:rPr>
          <w:rFonts w:hint="eastAsia" w:ascii="Times New Roman" w:hAnsi="Times New Roman" w:eastAsia="宋体"/>
          <w:b w:val="0"/>
          <w:bCs w:val="0"/>
          <w:kern w:val="2"/>
          <w:sz w:val="24"/>
          <w:szCs w:val="24"/>
        </w:rPr>
        <w:t>定量包装商品计量监督管理办法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7277126"/>
    </w:sdtPr>
    <w:sdtContent>
      <w:p w14:paraId="5A8874ED">
        <w:pPr>
          <w:pStyle w:val="9"/>
          <w:jc w:val="center"/>
        </w:pPr>
        <w:r>
          <w:fldChar w:fldCharType="begin"/>
        </w:r>
        <w:r>
          <w:instrText xml:space="preserve">PAGE   \* MERGEFORMAT</w:instrText>
        </w:r>
        <w:r>
          <w:fldChar w:fldCharType="separate"/>
        </w:r>
        <w:r>
          <w:rPr>
            <w:lang w:val="zh-CN"/>
          </w:rPr>
          <w:t>4</w:t>
        </w:r>
        <w:r>
          <w:fldChar w:fldCharType="end"/>
        </w:r>
      </w:p>
    </w:sdtContent>
  </w:sdt>
  <w:p w14:paraId="256D2472">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4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1FC91163"/>
    <w:multiLevelType w:val="multilevel"/>
    <w:tmpl w:val="1FC91163"/>
    <w:lvl w:ilvl="0" w:tentative="0">
      <w:start w:val="1"/>
      <w:numFmt w:val="decimal"/>
      <w:pStyle w:val="22"/>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426"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603797C"/>
    <w:multiLevelType w:val="multilevel"/>
    <w:tmpl w:val="5603797C"/>
    <w:lvl w:ilvl="0" w:tentative="0">
      <w:start w:val="1"/>
      <w:numFmt w:val="upperLetter"/>
      <w:pStyle w:val="49"/>
      <w:suff w:val="space"/>
      <w:lvlText w:val="%1"/>
      <w:lvlJc w:val="left"/>
      <w:pPr>
        <w:ind w:left="425" w:hanging="425"/>
      </w:pPr>
      <w:rPr>
        <w:rFonts w:hint="eastAsia"/>
      </w:rPr>
    </w:lvl>
    <w:lvl w:ilvl="1" w:tentative="0">
      <w:start w:val="1"/>
      <w:numFmt w:val="decimal"/>
      <w:pStyle w:val="4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2972B5E"/>
    <w:multiLevelType w:val="singleLevel"/>
    <w:tmpl w:val="62972B5E"/>
    <w:lvl w:ilvl="0" w:tentative="0">
      <w:start w:val="1"/>
      <w:numFmt w:val="decimal"/>
      <w:lvlText w:val="%1)"/>
      <w:lvlJc w:val="left"/>
      <w:pPr>
        <w:ind w:left="425" w:hanging="425"/>
      </w:pPr>
      <w:rPr>
        <w:rFonts w:hint="default"/>
      </w:rPr>
    </w:lvl>
  </w:abstractNum>
  <w:abstractNum w:abstractNumId="4">
    <w:nsid w:val="646260FA"/>
    <w:multiLevelType w:val="multilevel"/>
    <w:tmpl w:val="646260FA"/>
    <w:lvl w:ilvl="0" w:tentative="0">
      <w:start w:val="1"/>
      <w:numFmt w:val="decimal"/>
      <w:pStyle w:val="41"/>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657D3FBC"/>
    <w:multiLevelType w:val="multilevel"/>
    <w:tmpl w:val="657D3FBC"/>
    <w:lvl w:ilvl="0" w:tentative="0">
      <w:start w:val="1"/>
      <w:numFmt w:val="upperLetter"/>
      <w:pStyle w:val="52"/>
      <w:suff w:val="nothing"/>
      <w:lvlText w:val="附录%1"/>
      <w:lvlJc w:val="left"/>
      <w:pPr>
        <w:ind w:left="5245" w:firstLine="0"/>
      </w:pPr>
      <w:rPr>
        <w:rFonts w:hint="eastAsia"/>
        <w:color w:val="000000" w:themeColor="text1"/>
        <w:spacing w:val="100"/>
        <w14:textFill>
          <w14:solidFill>
            <w14:schemeClr w14:val="tx1"/>
          </w14:solidFill>
        </w14:textFill>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color w:val="000000" w:themeColor="text1"/>
        <w:sz w:val="21"/>
        <w14:textFill>
          <w14:solidFill>
            <w14:schemeClr w14:val="tx1"/>
          </w14:solidFill>
        </w14:textFill>
      </w:rPr>
    </w:lvl>
    <w:lvl w:ilvl="4" w:tentative="0">
      <w:start w:val="1"/>
      <w:numFmt w:val="decimal"/>
      <w:suff w:val="nothing"/>
      <w:lvlText w:val="%1.%2.%3.%4.%5　"/>
      <w:lvlJc w:val="left"/>
      <w:pPr>
        <w:ind w:left="708"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31"/>
      <w:suff w:val="nothing"/>
      <w:lvlText w:val="%1%2.%3　"/>
      <w:lvlJc w:val="left"/>
      <w:pPr>
        <w:ind w:left="0" w:firstLine="0"/>
      </w:pPr>
      <w:rPr>
        <w:rFonts w:hint="eastAsia" w:ascii="黑体" w:hAnsi="Times New Roman" w:eastAsia="黑体"/>
        <w:b w:val="0"/>
        <w:i w:val="0"/>
        <w:sz w:val="21"/>
      </w:rPr>
    </w:lvl>
    <w:lvl w:ilvl="3" w:tentative="0">
      <w:start w:val="1"/>
      <w:numFmt w:val="decimal"/>
      <w:pStyle w:val="30"/>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6DBF04F4"/>
    <w:multiLevelType w:val="multilevel"/>
    <w:tmpl w:val="6DBF04F4"/>
    <w:lvl w:ilvl="0" w:tentative="0">
      <w:start w:val="1"/>
      <w:numFmt w:val="none"/>
      <w:pStyle w:val="47"/>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
  </w:num>
  <w:num w:numId="2">
    <w:abstractNumId w:val="6"/>
  </w:num>
  <w:num w:numId="3">
    <w:abstractNumId w:val="4"/>
  </w:num>
  <w:num w:numId="4">
    <w:abstractNumId w:val="0"/>
  </w:num>
  <w:num w:numId="5">
    <w:abstractNumId w:val="7"/>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wMDRmMzNjOGM4NDBhNDhkNmJmZDg4M2FhN2NlNzQifQ=="/>
  </w:docVars>
  <w:rsids>
    <w:rsidRoot w:val="1A9005C8"/>
    <w:rsid w:val="000014F4"/>
    <w:rsid w:val="00011375"/>
    <w:rsid w:val="00012850"/>
    <w:rsid w:val="00017D34"/>
    <w:rsid w:val="00021441"/>
    <w:rsid w:val="00023D6E"/>
    <w:rsid w:val="00044507"/>
    <w:rsid w:val="000624C0"/>
    <w:rsid w:val="00062863"/>
    <w:rsid w:val="000706A7"/>
    <w:rsid w:val="0007518D"/>
    <w:rsid w:val="000A633C"/>
    <w:rsid w:val="000B78B6"/>
    <w:rsid w:val="000C460E"/>
    <w:rsid w:val="000F0565"/>
    <w:rsid w:val="000F2B1D"/>
    <w:rsid w:val="001056BB"/>
    <w:rsid w:val="0012387E"/>
    <w:rsid w:val="00130F27"/>
    <w:rsid w:val="00144AAF"/>
    <w:rsid w:val="00156116"/>
    <w:rsid w:val="001736BB"/>
    <w:rsid w:val="001746E4"/>
    <w:rsid w:val="001804A8"/>
    <w:rsid w:val="001905AD"/>
    <w:rsid w:val="001A6B92"/>
    <w:rsid w:val="001D48AB"/>
    <w:rsid w:val="001E2AF7"/>
    <w:rsid w:val="001E6B58"/>
    <w:rsid w:val="001F02EC"/>
    <w:rsid w:val="001F30F0"/>
    <w:rsid w:val="001F6050"/>
    <w:rsid w:val="00204594"/>
    <w:rsid w:val="00205DE6"/>
    <w:rsid w:val="00206203"/>
    <w:rsid w:val="002366B4"/>
    <w:rsid w:val="00237826"/>
    <w:rsid w:val="00263CBF"/>
    <w:rsid w:val="00271DD1"/>
    <w:rsid w:val="002741EA"/>
    <w:rsid w:val="00274EF8"/>
    <w:rsid w:val="00276031"/>
    <w:rsid w:val="00276442"/>
    <w:rsid w:val="002934CC"/>
    <w:rsid w:val="002B33C7"/>
    <w:rsid w:val="002C1BA2"/>
    <w:rsid w:val="002C73BD"/>
    <w:rsid w:val="002C75A6"/>
    <w:rsid w:val="002D5236"/>
    <w:rsid w:val="003319D2"/>
    <w:rsid w:val="003572FD"/>
    <w:rsid w:val="003611A7"/>
    <w:rsid w:val="00364DCF"/>
    <w:rsid w:val="0037502E"/>
    <w:rsid w:val="00376D74"/>
    <w:rsid w:val="00387105"/>
    <w:rsid w:val="003A6C3C"/>
    <w:rsid w:val="003A7EED"/>
    <w:rsid w:val="003C25B6"/>
    <w:rsid w:val="003D2EEF"/>
    <w:rsid w:val="003F4964"/>
    <w:rsid w:val="003F65A8"/>
    <w:rsid w:val="0042006C"/>
    <w:rsid w:val="00426ACC"/>
    <w:rsid w:val="004551D7"/>
    <w:rsid w:val="004567DC"/>
    <w:rsid w:val="00464702"/>
    <w:rsid w:val="00471A8E"/>
    <w:rsid w:val="00474FF7"/>
    <w:rsid w:val="004923A4"/>
    <w:rsid w:val="004B2339"/>
    <w:rsid w:val="004F4D91"/>
    <w:rsid w:val="0050399E"/>
    <w:rsid w:val="00507885"/>
    <w:rsid w:val="00512020"/>
    <w:rsid w:val="005149F5"/>
    <w:rsid w:val="005155D9"/>
    <w:rsid w:val="0052445D"/>
    <w:rsid w:val="005310B2"/>
    <w:rsid w:val="00554FC9"/>
    <w:rsid w:val="00565D24"/>
    <w:rsid w:val="00571FC5"/>
    <w:rsid w:val="00580420"/>
    <w:rsid w:val="00587143"/>
    <w:rsid w:val="00596886"/>
    <w:rsid w:val="005C6E67"/>
    <w:rsid w:val="005F027B"/>
    <w:rsid w:val="00603281"/>
    <w:rsid w:val="00645268"/>
    <w:rsid w:val="00667321"/>
    <w:rsid w:val="00676020"/>
    <w:rsid w:val="0069108F"/>
    <w:rsid w:val="0069617F"/>
    <w:rsid w:val="006A52FA"/>
    <w:rsid w:val="006A77CD"/>
    <w:rsid w:val="006B5313"/>
    <w:rsid w:val="006D050B"/>
    <w:rsid w:val="006E0A9B"/>
    <w:rsid w:val="006F28F9"/>
    <w:rsid w:val="007176DF"/>
    <w:rsid w:val="00724EC8"/>
    <w:rsid w:val="007369E4"/>
    <w:rsid w:val="00750013"/>
    <w:rsid w:val="00752635"/>
    <w:rsid w:val="00753E1B"/>
    <w:rsid w:val="00761A80"/>
    <w:rsid w:val="0076636E"/>
    <w:rsid w:val="0077621C"/>
    <w:rsid w:val="007C7BCE"/>
    <w:rsid w:val="007D36AF"/>
    <w:rsid w:val="007F68EC"/>
    <w:rsid w:val="00803C3C"/>
    <w:rsid w:val="00816B0B"/>
    <w:rsid w:val="00862649"/>
    <w:rsid w:val="00862FA1"/>
    <w:rsid w:val="008654A3"/>
    <w:rsid w:val="008713C0"/>
    <w:rsid w:val="0088360B"/>
    <w:rsid w:val="00884C87"/>
    <w:rsid w:val="00886ED7"/>
    <w:rsid w:val="008A235C"/>
    <w:rsid w:val="008A2694"/>
    <w:rsid w:val="008B1409"/>
    <w:rsid w:val="008B384F"/>
    <w:rsid w:val="008D542D"/>
    <w:rsid w:val="008F21DF"/>
    <w:rsid w:val="008F2C3A"/>
    <w:rsid w:val="00916884"/>
    <w:rsid w:val="009212E4"/>
    <w:rsid w:val="0092714B"/>
    <w:rsid w:val="009506B0"/>
    <w:rsid w:val="00952CCC"/>
    <w:rsid w:val="009541A5"/>
    <w:rsid w:val="00954557"/>
    <w:rsid w:val="00957E90"/>
    <w:rsid w:val="00965F70"/>
    <w:rsid w:val="009716AF"/>
    <w:rsid w:val="009904BF"/>
    <w:rsid w:val="009B42D0"/>
    <w:rsid w:val="009B666B"/>
    <w:rsid w:val="009C00E5"/>
    <w:rsid w:val="009C167B"/>
    <w:rsid w:val="009E0068"/>
    <w:rsid w:val="009E5EBE"/>
    <w:rsid w:val="009F08CA"/>
    <w:rsid w:val="009F53FD"/>
    <w:rsid w:val="00A1082F"/>
    <w:rsid w:val="00A12010"/>
    <w:rsid w:val="00A14547"/>
    <w:rsid w:val="00A22306"/>
    <w:rsid w:val="00A30BA3"/>
    <w:rsid w:val="00A35C13"/>
    <w:rsid w:val="00A63E22"/>
    <w:rsid w:val="00A7256F"/>
    <w:rsid w:val="00A77A18"/>
    <w:rsid w:val="00A86066"/>
    <w:rsid w:val="00A90A3E"/>
    <w:rsid w:val="00A976DC"/>
    <w:rsid w:val="00AA4194"/>
    <w:rsid w:val="00AB6A30"/>
    <w:rsid w:val="00AC55A0"/>
    <w:rsid w:val="00AF254E"/>
    <w:rsid w:val="00B04731"/>
    <w:rsid w:val="00B62C95"/>
    <w:rsid w:val="00B7683C"/>
    <w:rsid w:val="00B817DB"/>
    <w:rsid w:val="00B8540A"/>
    <w:rsid w:val="00BA4EBA"/>
    <w:rsid w:val="00BB641B"/>
    <w:rsid w:val="00BC0C9D"/>
    <w:rsid w:val="00BC33EE"/>
    <w:rsid w:val="00BD0D8B"/>
    <w:rsid w:val="00BD15EC"/>
    <w:rsid w:val="00BD28F1"/>
    <w:rsid w:val="00BE0F81"/>
    <w:rsid w:val="00BE3806"/>
    <w:rsid w:val="00C22DFA"/>
    <w:rsid w:val="00C30149"/>
    <w:rsid w:val="00C364A9"/>
    <w:rsid w:val="00C4376E"/>
    <w:rsid w:val="00C517DC"/>
    <w:rsid w:val="00C52574"/>
    <w:rsid w:val="00C65C9D"/>
    <w:rsid w:val="00C72CFF"/>
    <w:rsid w:val="00C74382"/>
    <w:rsid w:val="00C85CA7"/>
    <w:rsid w:val="00CD5DE6"/>
    <w:rsid w:val="00CF3634"/>
    <w:rsid w:val="00D022B2"/>
    <w:rsid w:val="00D04DBC"/>
    <w:rsid w:val="00D0568D"/>
    <w:rsid w:val="00D12661"/>
    <w:rsid w:val="00D335D8"/>
    <w:rsid w:val="00D42118"/>
    <w:rsid w:val="00D42602"/>
    <w:rsid w:val="00D442BB"/>
    <w:rsid w:val="00D5632C"/>
    <w:rsid w:val="00D75906"/>
    <w:rsid w:val="00DA638E"/>
    <w:rsid w:val="00DE016C"/>
    <w:rsid w:val="00DE2C68"/>
    <w:rsid w:val="00DF0F49"/>
    <w:rsid w:val="00DF7014"/>
    <w:rsid w:val="00E00139"/>
    <w:rsid w:val="00E32CC2"/>
    <w:rsid w:val="00E36312"/>
    <w:rsid w:val="00E4462E"/>
    <w:rsid w:val="00E55599"/>
    <w:rsid w:val="00E63AE5"/>
    <w:rsid w:val="00E66860"/>
    <w:rsid w:val="00E70F90"/>
    <w:rsid w:val="00E958CB"/>
    <w:rsid w:val="00EA00FC"/>
    <w:rsid w:val="00EA7B3B"/>
    <w:rsid w:val="00EB2505"/>
    <w:rsid w:val="00EB2DED"/>
    <w:rsid w:val="00ED3E8E"/>
    <w:rsid w:val="00ED5335"/>
    <w:rsid w:val="00EE7841"/>
    <w:rsid w:val="00F01FAF"/>
    <w:rsid w:val="00F10EDC"/>
    <w:rsid w:val="00F17D6C"/>
    <w:rsid w:val="00F25CCC"/>
    <w:rsid w:val="00F42D28"/>
    <w:rsid w:val="00F46B3C"/>
    <w:rsid w:val="00F516F7"/>
    <w:rsid w:val="00F538E0"/>
    <w:rsid w:val="00F62782"/>
    <w:rsid w:val="00F721EA"/>
    <w:rsid w:val="00F741B8"/>
    <w:rsid w:val="00F74DCB"/>
    <w:rsid w:val="00F83945"/>
    <w:rsid w:val="00F864F7"/>
    <w:rsid w:val="00F95188"/>
    <w:rsid w:val="00F973BF"/>
    <w:rsid w:val="00FA4FAC"/>
    <w:rsid w:val="00FB6B5E"/>
    <w:rsid w:val="00FC566A"/>
    <w:rsid w:val="00FE0AC2"/>
    <w:rsid w:val="016A09E0"/>
    <w:rsid w:val="02F92E6E"/>
    <w:rsid w:val="07193D97"/>
    <w:rsid w:val="07C82CA9"/>
    <w:rsid w:val="08964244"/>
    <w:rsid w:val="093C394F"/>
    <w:rsid w:val="0A1B35FF"/>
    <w:rsid w:val="0A685EF9"/>
    <w:rsid w:val="0ACE0DA3"/>
    <w:rsid w:val="0AEA5EC8"/>
    <w:rsid w:val="0B0F03EC"/>
    <w:rsid w:val="0B462863"/>
    <w:rsid w:val="0C234121"/>
    <w:rsid w:val="0F4672D5"/>
    <w:rsid w:val="0F790F45"/>
    <w:rsid w:val="0FCF7945"/>
    <w:rsid w:val="0FE64777"/>
    <w:rsid w:val="10167400"/>
    <w:rsid w:val="10375AA6"/>
    <w:rsid w:val="10B52A85"/>
    <w:rsid w:val="11D5049D"/>
    <w:rsid w:val="12DA2162"/>
    <w:rsid w:val="136A730B"/>
    <w:rsid w:val="139E0D62"/>
    <w:rsid w:val="13CE5A71"/>
    <w:rsid w:val="14BB4F0B"/>
    <w:rsid w:val="167D39D3"/>
    <w:rsid w:val="173840BF"/>
    <w:rsid w:val="179D3D05"/>
    <w:rsid w:val="181176DB"/>
    <w:rsid w:val="18FD246C"/>
    <w:rsid w:val="195022AC"/>
    <w:rsid w:val="19F17E3E"/>
    <w:rsid w:val="1A5378C1"/>
    <w:rsid w:val="1A9005C8"/>
    <w:rsid w:val="1AC83A43"/>
    <w:rsid w:val="1C0D31D7"/>
    <w:rsid w:val="1D3018ED"/>
    <w:rsid w:val="1E012619"/>
    <w:rsid w:val="209525ED"/>
    <w:rsid w:val="20A45034"/>
    <w:rsid w:val="21CF3A64"/>
    <w:rsid w:val="221072CF"/>
    <w:rsid w:val="221A73FD"/>
    <w:rsid w:val="233C6A01"/>
    <w:rsid w:val="23EF25ED"/>
    <w:rsid w:val="24144035"/>
    <w:rsid w:val="24DF150F"/>
    <w:rsid w:val="25441EE8"/>
    <w:rsid w:val="254D19CA"/>
    <w:rsid w:val="270B10B9"/>
    <w:rsid w:val="27323F92"/>
    <w:rsid w:val="277955E9"/>
    <w:rsid w:val="29C32569"/>
    <w:rsid w:val="2A3D4D8E"/>
    <w:rsid w:val="2A4B269E"/>
    <w:rsid w:val="2BC432DB"/>
    <w:rsid w:val="2CA973EF"/>
    <w:rsid w:val="2D5D7EB2"/>
    <w:rsid w:val="306C6018"/>
    <w:rsid w:val="34972B52"/>
    <w:rsid w:val="34FD7B87"/>
    <w:rsid w:val="364516AF"/>
    <w:rsid w:val="367F2A31"/>
    <w:rsid w:val="369F675A"/>
    <w:rsid w:val="387C7C7C"/>
    <w:rsid w:val="38C67F8C"/>
    <w:rsid w:val="3AF75082"/>
    <w:rsid w:val="3C685534"/>
    <w:rsid w:val="3CB61B58"/>
    <w:rsid w:val="3D0E62C9"/>
    <w:rsid w:val="3F4D5EC1"/>
    <w:rsid w:val="40860A30"/>
    <w:rsid w:val="416341FE"/>
    <w:rsid w:val="420B38E3"/>
    <w:rsid w:val="42CB3072"/>
    <w:rsid w:val="42D75EDF"/>
    <w:rsid w:val="42F24CA1"/>
    <w:rsid w:val="435E5C94"/>
    <w:rsid w:val="43F801DB"/>
    <w:rsid w:val="449241E1"/>
    <w:rsid w:val="453F7A55"/>
    <w:rsid w:val="46287FE4"/>
    <w:rsid w:val="466F1F67"/>
    <w:rsid w:val="46D02701"/>
    <w:rsid w:val="481F1648"/>
    <w:rsid w:val="4977360C"/>
    <w:rsid w:val="499F71C9"/>
    <w:rsid w:val="49A65B97"/>
    <w:rsid w:val="4AE3187D"/>
    <w:rsid w:val="4AF3760A"/>
    <w:rsid w:val="4C327CBE"/>
    <w:rsid w:val="4E6D76D3"/>
    <w:rsid w:val="501104E7"/>
    <w:rsid w:val="50894ED7"/>
    <w:rsid w:val="50956247"/>
    <w:rsid w:val="517B2907"/>
    <w:rsid w:val="53051C89"/>
    <w:rsid w:val="53422EDD"/>
    <w:rsid w:val="54C112CC"/>
    <w:rsid w:val="54DB640A"/>
    <w:rsid w:val="552830F0"/>
    <w:rsid w:val="55DD2C1F"/>
    <w:rsid w:val="56613F5C"/>
    <w:rsid w:val="59B1250E"/>
    <w:rsid w:val="59C26FBE"/>
    <w:rsid w:val="5AD07CAD"/>
    <w:rsid w:val="5C1B42CB"/>
    <w:rsid w:val="5C8D38C9"/>
    <w:rsid w:val="5DE828D3"/>
    <w:rsid w:val="5EAF16D7"/>
    <w:rsid w:val="608776B4"/>
    <w:rsid w:val="6113465C"/>
    <w:rsid w:val="621731E4"/>
    <w:rsid w:val="62D56F14"/>
    <w:rsid w:val="633103C9"/>
    <w:rsid w:val="64040CF7"/>
    <w:rsid w:val="65C21C5B"/>
    <w:rsid w:val="65E026D9"/>
    <w:rsid w:val="65ED1915"/>
    <w:rsid w:val="661029C7"/>
    <w:rsid w:val="67444E9F"/>
    <w:rsid w:val="67C1167A"/>
    <w:rsid w:val="682D3F73"/>
    <w:rsid w:val="68F60ACF"/>
    <w:rsid w:val="6A045629"/>
    <w:rsid w:val="6A843983"/>
    <w:rsid w:val="6AF704C1"/>
    <w:rsid w:val="6B1D2EF8"/>
    <w:rsid w:val="6B767FBE"/>
    <w:rsid w:val="6B7D00E3"/>
    <w:rsid w:val="6E393B0B"/>
    <w:rsid w:val="6F3E2352"/>
    <w:rsid w:val="6FF6793D"/>
    <w:rsid w:val="702F613F"/>
    <w:rsid w:val="704E5144"/>
    <w:rsid w:val="712A2806"/>
    <w:rsid w:val="71482A91"/>
    <w:rsid w:val="714A1482"/>
    <w:rsid w:val="719213F0"/>
    <w:rsid w:val="72E864DB"/>
    <w:rsid w:val="76A063E1"/>
    <w:rsid w:val="7843444F"/>
    <w:rsid w:val="797F3B37"/>
    <w:rsid w:val="7A803D2C"/>
    <w:rsid w:val="7C8A2C18"/>
    <w:rsid w:val="7D3461CD"/>
    <w:rsid w:val="7DA57A41"/>
    <w:rsid w:val="7E8A3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annotation text"/>
    <w:basedOn w:val="1"/>
    <w:qFormat/>
    <w:uiPriority w:val="0"/>
    <w:pPr>
      <w:jc w:val="left"/>
    </w:pPr>
  </w:style>
  <w:style w:type="paragraph" w:styleId="5">
    <w:name w:val="Body Text"/>
    <w:basedOn w:val="1"/>
    <w:unhideWhenUsed/>
    <w:qFormat/>
    <w:uiPriority w:val="99"/>
    <w:pPr>
      <w:ind w:left="103"/>
    </w:pPr>
    <w:rPr>
      <w:rFonts w:ascii="宋体" w:hAnsi="宋体" w:eastAsia="宋体"/>
      <w:sz w:val="28"/>
      <w:szCs w:val="28"/>
    </w:rPr>
  </w:style>
  <w:style w:type="paragraph" w:styleId="6">
    <w:name w:val="Body Text Indent"/>
    <w:basedOn w:val="1"/>
    <w:semiHidden/>
    <w:unhideWhenUsed/>
    <w:qFormat/>
    <w:uiPriority w:val="99"/>
    <w:pPr>
      <w:spacing w:after="120"/>
      <w:ind w:left="420" w:leftChars="200"/>
    </w:pPr>
  </w:style>
  <w:style w:type="paragraph" w:styleId="7">
    <w:name w:val="Block Text"/>
    <w:basedOn w:val="1"/>
    <w:qFormat/>
    <w:uiPriority w:val="0"/>
    <w:pPr>
      <w:ind w:left="1440" w:leftChars="700" w:right="700" w:rightChars="700"/>
    </w:pPr>
  </w:style>
  <w:style w:type="paragraph" w:styleId="8">
    <w:name w:val="Balloon Text"/>
    <w:basedOn w:val="1"/>
    <w:link w:val="29"/>
    <w:qFormat/>
    <w:uiPriority w:val="0"/>
    <w:rPr>
      <w:sz w:val="18"/>
      <w:szCs w:val="18"/>
    </w:rPr>
  </w:style>
  <w:style w:type="paragraph" w:styleId="9">
    <w:name w:val="footer"/>
    <w:basedOn w:val="1"/>
    <w:link w:val="35"/>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qFormat/>
    <w:uiPriority w:val="99"/>
    <w:pPr>
      <w:spacing w:beforeAutospacing="1" w:afterAutospacing="1"/>
      <w:jc w:val="left"/>
    </w:pPr>
    <w:rPr>
      <w:rFonts w:cs="Times New Roman"/>
      <w:kern w:val="0"/>
      <w:sz w:val="24"/>
    </w:rPr>
  </w:style>
  <w:style w:type="paragraph" w:styleId="12">
    <w:name w:val="Body Text First Indent 2"/>
    <w:basedOn w:val="6"/>
    <w:semiHidden/>
    <w:unhideWhenUsed/>
    <w:qFormat/>
    <w:uiPriority w:val="99"/>
    <w:pPr>
      <w:ind w:firstLine="420" w:firstLineChars="2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0"/>
    <w:rPr>
      <w:i/>
    </w:rPr>
  </w:style>
  <w:style w:type="character" w:styleId="17">
    <w:name w:val="Hyperlink"/>
    <w:basedOn w:val="15"/>
    <w:qFormat/>
    <w:uiPriority w:val="0"/>
    <w:rPr>
      <w:color w:val="0000FF"/>
      <w:u w:val="single"/>
    </w:r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character" w:customStyle="1" w:styleId="19">
    <w:name w:val="font31"/>
    <w:basedOn w:val="15"/>
    <w:qFormat/>
    <w:uiPriority w:val="0"/>
    <w:rPr>
      <w:rFonts w:hint="eastAsia" w:ascii="宋体" w:hAnsi="宋体" w:eastAsia="宋体" w:cs="宋体"/>
      <w:color w:val="FF0000"/>
      <w:sz w:val="21"/>
      <w:szCs w:val="21"/>
      <w:u w:val="none"/>
    </w:rPr>
  </w:style>
  <w:style w:type="character" w:customStyle="1" w:styleId="20">
    <w:name w:val="font21"/>
    <w:basedOn w:val="15"/>
    <w:qFormat/>
    <w:uiPriority w:val="0"/>
    <w:rPr>
      <w:rFonts w:hint="default" w:ascii="Times New Roman" w:hAnsi="Times New Roman" w:cs="Times New Roman"/>
      <w:color w:val="FF0000"/>
      <w:sz w:val="21"/>
      <w:szCs w:val="21"/>
      <w:u w:val="none"/>
    </w:rPr>
  </w:style>
  <w:style w:type="character" w:customStyle="1" w:styleId="21">
    <w:name w:val="font41"/>
    <w:basedOn w:val="15"/>
    <w:qFormat/>
    <w:uiPriority w:val="0"/>
    <w:rPr>
      <w:rFonts w:hint="default" w:ascii="Times New Roman" w:hAnsi="Times New Roman" w:cs="Times New Roman"/>
      <w:color w:val="000000"/>
      <w:sz w:val="21"/>
      <w:szCs w:val="21"/>
      <w:u w:val="none"/>
    </w:rPr>
  </w:style>
  <w:style w:type="paragraph" w:customStyle="1" w:styleId="22">
    <w:name w:val="章标题"/>
    <w:next w:val="18"/>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3">
    <w:name w:val="标准文件_段"/>
    <w:link w:val="4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4">
    <w:name w:val="font11"/>
    <w:basedOn w:val="15"/>
    <w:qFormat/>
    <w:uiPriority w:val="0"/>
    <w:rPr>
      <w:rFonts w:ascii="宋体" w:hAnsi="宋体" w:eastAsia="宋体" w:cs="宋体"/>
      <w:color w:val="000000"/>
      <w:sz w:val="36"/>
      <w:szCs w:val="36"/>
      <w:u w:val="none"/>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6">
    <w:name w:val="font51"/>
    <w:basedOn w:val="15"/>
    <w:qFormat/>
    <w:uiPriority w:val="0"/>
    <w:rPr>
      <w:rFonts w:hint="default" w:ascii="Times New Roman" w:hAnsi="Times New Roman" w:cs="Times New Roman"/>
      <w:color w:val="000000"/>
      <w:sz w:val="24"/>
      <w:szCs w:val="24"/>
      <w:u w:val="none"/>
    </w:rPr>
  </w:style>
  <w:style w:type="character" w:customStyle="1" w:styleId="27">
    <w:name w:val="font61"/>
    <w:basedOn w:val="15"/>
    <w:qFormat/>
    <w:uiPriority w:val="0"/>
    <w:rPr>
      <w:rFonts w:hint="default" w:ascii="Times New Roman" w:hAnsi="Times New Roman" w:cs="Times New Roman"/>
      <w:color w:val="000000"/>
      <w:sz w:val="24"/>
      <w:szCs w:val="24"/>
      <w:u w:val="none"/>
    </w:rPr>
  </w:style>
  <w:style w:type="character" w:customStyle="1" w:styleId="28">
    <w:name w:val="font01"/>
    <w:basedOn w:val="15"/>
    <w:qFormat/>
    <w:uiPriority w:val="0"/>
    <w:rPr>
      <w:rFonts w:hint="eastAsia" w:ascii="宋体" w:hAnsi="宋体" w:eastAsia="宋体" w:cs="宋体"/>
      <w:color w:val="000000"/>
      <w:sz w:val="24"/>
      <w:szCs w:val="24"/>
      <w:u w:val="none"/>
    </w:rPr>
  </w:style>
  <w:style w:type="character" w:customStyle="1" w:styleId="29">
    <w:name w:val="批注框文本 Char"/>
    <w:basedOn w:val="15"/>
    <w:link w:val="8"/>
    <w:qFormat/>
    <w:uiPriority w:val="0"/>
    <w:rPr>
      <w:rFonts w:asciiTheme="minorHAnsi" w:hAnsiTheme="minorHAnsi" w:eastAsiaTheme="minorEastAsia" w:cstheme="minorBidi"/>
      <w:kern w:val="2"/>
      <w:sz w:val="18"/>
      <w:szCs w:val="18"/>
    </w:rPr>
  </w:style>
  <w:style w:type="paragraph" w:customStyle="1" w:styleId="30">
    <w:name w:val="二级条标题"/>
    <w:basedOn w:val="31"/>
    <w:next w:val="18"/>
    <w:qFormat/>
    <w:uiPriority w:val="0"/>
    <w:pPr>
      <w:numPr>
        <w:ilvl w:val="3"/>
      </w:numPr>
      <w:tabs>
        <w:tab w:val="left" w:pos="360"/>
      </w:tabs>
      <w:outlineLvl w:val="3"/>
    </w:pPr>
  </w:style>
  <w:style w:type="paragraph" w:customStyle="1" w:styleId="31">
    <w:name w:val="一级条标题"/>
    <w:basedOn w:val="22"/>
    <w:next w:val="18"/>
    <w:qFormat/>
    <w:uiPriority w:val="0"/>
    <w:pPr>
      <w:numPr>
        <w:ilvl w:val="2"/>
        <w:numId w:val="2"/>
      </w:numPr>
      <w:tabs>
        <w:tab w:val="left" w:pos="360"/>
      </w:tabs>
      <w:spacing w:before="0" w:beforeLines="0" w:after="0" w:afterLines="0"/>
      <w:outlineLvl w:val="2"/>
    </w:pPr>
  </w:style>
  <w:style w:type="paragraph" w:customStyle="1" w:styleId="32">
    <w:name w:val="四级条标题"/>
    <w:basedOn w:val="33"/>
    <w:next w:val="18"/>
    <w:qFormat/>
    <w:uiPriority w:val="0"/>
    <w:pPr>
      <w:tabs>
        <w:tab w:val="left" w:pos="360"/>
      </w:tabs>
      <w:outlineLvl w:val="5"/>
    </w:pPr>
  </w:style>
  <w:style w:type="paragraph" w:customStyle="1" w:styleId="33">
    <w:name w:val="三级条标题"/>
    <w:basedOn w:val="30"/>
    <w:next w:val="18"/>
    <w:qFormat/>
    <w:uiPriority w:val="0"/>
    <w:pPr>
      <w:numPr>
        <w:ilvl w:val="0"/>
        <w:numId w:val="0"/>
      </w:numPr>
      <w:outlineLvl w:val="4"/>
    </w:p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5">
    <w:name w:val="页脚 Char"/>
    <w:basedOn w:val="15"/>
    <w:link w:val="9"/>
    <w:qFormat/>
    <w:uiPriority w:val="99"/>
    <w:rPr>
      <w:rFonts w:asciiTheme="minorHAnsi" w:hAnsiTheme="minorHAnsi" w:eastAsiaTheme="minorEastAsia" w:cstheme="minorBidi"/>
      <w:kern w:val="2"/>
      <w:sz w:val="18"/>
      <w:szCs w:val="24"/>
    </w:rPr>
  </w:style>
  <w:style w:type="paragraph" w:customStyle="1" w:styleId="36">
    <w:name w:val="标准文件_一级无标题"/>
    <w:basedOn w:val="37"/>
    <w:qFormat/>
    <w:uiPriority w:val="0"/>
    <w:pPr>
      <w:spacing w:before="0" w:beforeLines="0" w:after="0" w:afterLines="0"/>
      <w:outlineLvl w:val="9"/>
    </w:pPr>
    <w:rPr>
      <w:rFonts w:ascii="宋体" w:eastAsia="宋体"/>
    </w:rPr>
  </w:style>
  <w:style w:type="paragraph" w:customStyle="1" w:styleId="37">
    <w:name w:val="标准文件_一级条标题"/>
    <w:basedOn w:val="38"/>
    <w:next w:val="23"/>
    <w:qFormat/>
    <w:uiPriority w:val="0"/>
    <w:pPr>
      <w:spacing w:before="50" w:beforeLines="50" w:after="50" w:afterLines="50"/>
      <w:outlineLvl w:val="1"/>
    </w:pPr>
  </w:style>
  <w:style w:type="paragraph" w:customStyle="1" w:styleId="38">
    <w:name w:val="标准文件_章标题"/>
    <w:next w:val="23"/>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9">
    <w:name w:val="标准文件_二级条标题"/>
    <w:next w:val="23"/>
    <w:qFormat/>
    <w:uiPriority w:val="0"/>
    <w:pPr>
      <w:widowControl w:val="0"/>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40">
    <w:name w:val="标准文件_段 Char"/>
    <w:link w:val="23"/>
    <w:qFormat/>
    <w:locked/>
    <w:uiPriority w:val="0"/>
    <w:rPr>
      <w:rFonts w:ascii="宋体"/>
      <w:sz w:val="21"/>
    </w:rPr>
  </w:style>
  <w:style w:type="paragraph" w:customStyle="1" w:styleId="41">
    <w:name w:val="标准文件_正文表标题"/>
    <w:next w:val="23"/>
    <w:qFormat/>
    <w:uiPriority w:val="0"/>
    <w:pPr>
      <w:numPr>
        <w:ilvl w:val="0"/>
        <w:numId w:val="3"/>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42">
    <w:name w:val="标准文件_表格"/>
    <w:basedOn w:val="23"/>
    <w:qFormat/>
    <w:uiPriority w:val="99"/>
    <w:pPr>
      <w:ind w:firstLine="0" w:firstLineChars="0"/>
      <w:jc w:val="center"/>
    </w:pPr>
    <w:rPr>
      <w:sz w:val="18"/>
    </w:rPr>
  </w:style>
  <w:style w:type="paragraph" w:customStyle="1" w:styleId="43">
    <w:name w:val="Char"/>
    <w:basedOn w:val="1"/>
    <w:qFormat/>
    <w:uiPriority w:val="0"/>
    <w:pPr>
      <w:widowControl/>
      <w:spacing w:after="160" w:line="240" w:lineRule="exact"/>
      <w:jc w:val="left"/>
    </w:pPr>
    <w:rPr>
      <w:rFonts w:ascii="Times New Roman" w:hAnsi="Times New Roman" w:eastAsia="宋体" w:cs="Times New Roman"/>
    </w:rPr>
  </w:style>
  <w:style w:type="paragraph" w:customStyle="1" w:styleId="44">
    <w:name w:val="Char1"/>
    <w:basedOn w:val="1"/>
    <w:qFormat/>
    <w:uiPriority w:val="0"/>
    <w:pPr>
      <w:widowControl/>
      <w:spacing w:after="160" w:line="240" w:lineRule="exact"/>
      <w:jc w:val="left"/>
    </w:pPr>
    <w:rPr>
      <w:rFonts w:ascii="Times New Roman" w:hAnsi="Times New Roman" w:eastAsia="宋体" w:cs="Times New Roman"/>
    </w:rPr>
  </w:style>
  <w:style w:type="paragraph" w:customStyle="1" w:styleId="45">
    <w:name w:val="标准文件_注×："/>
    <w:qFormat/>
    <w:uiPriority w:val="0"/>
    <w:pPr>
      <w:widowControl w:val="0"/>
      <w:numPr>
        <w:ilvl w:val="0"/>
        <w:numId w:val="4"/>
      </w:numPr>
      <w:autoSpaceDE w:val="0"/>
      <w:autoSpaceDN w:val="0"/>
      <w:jc w:val="both"/>
    </w:pPr>
    <w:rPr>
      <w:rFonts w:ascii="宋体" w:hAnsi="Times New Roman" w:eastAsia="宋体" w:cs="Times New Roman"/>
      <w:sz w:val="18"/>
      <w:szCs w:val="18"/>
      <w:lang w:val="en-US" w:eastAsia="zh-CN" w:bidi="ar-SA"/>
    </w:rPr>
  </w:style>
  <w:style w:type="paragraph" w:customStyle="1" w:styleId="46">
    <w:name w:val="Char2"/>
    <w:basedOn w:val="1"/>
    <w:qFormat/>
    <w:uiPriority w:val="0"/>
    <w:pPr>
      <w:widowControl/>
      <w:spacing w:after="160" w:line="240" w:lineRule="exact"/>
      <w:jc w:val="left"/>
    </w:pPr>
    <w:rPr>
      <w:rFonts w:ascii="Times New Roman" w:hAnsi="Times New Roman" w:eastAsia="宋体" w:cs="Times New Roman"/>
    </w:rPr>
  </w:style>
  <w:style w:type="paragraph" w:customStyle="1" w:styleId="47">
    <w:name w:val="标准文件_注："/>
    <w:next w:val="23"/>
    <w:qFormat/>
    <w:uiPriority w:val="99"/>
    <w:pPr>
      <w:widowControl w:val="0"/>
      <w:numPr>
        <w:ilvl w:val="0"/>
        <w:numId w:val="5"/>
      </w:numPr>
      <w:autoSpaceDE w:val="0"/>
      <w:autoSpaceDN w:val="0"/>
      <w:jc w:val="both"/>
    </w:pPr>
    <w:rPr>
      <w:rFonts w:ascii="宋体" w:hAnsi="Times New Roman" w:eastAsia="宋体" w:cs="Times New Roman"/>
      <w:sz w:val="18"/>
      <w:szCs w:val="18"/>
      <w:lang w:val="en-US" w:eastAsia="zh-CN" w:bidi="ar-SA"/>
    </w:rPr>
  </w:style>
  <w:style w:type="paragraph" w:customStyle="1" w:styleId="48">
    <w:name w:val="标准文件_附录表标题"/>
    <w:next w:val="23"/>
    <w:qFormat/>
    <w:uiPriority w:val="0"/>
    <w:pPr>
      <w:numPr>
        <w:ilvl w:val="1"/>
        <w:numId w:val="6"/>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49">
    <w:name w:val="标准文件_附录表标号"/>
    <w:basedOn w:val="23"/>
    <w:next w:val="23"/>
    <w:qFormat/>
    <w:uiPriority w:val="0"/>
    <w:pPr>
      <w:numPr>
        <w:ilvl w:val="0"/>
        <w:numId w:val="6"/>
      </w:numPr>
      <w:spacing w:line="14" w:lineRule="exact"/>
      <w:ind w:firstLine="0" w:firstLineChars="0"/>
      <w:jc w:val="center"/>
    </w:pPr>
    <w:rPr>
      <w:rFonts w:eastAsia="黑体"/>
      <w:vanish/>
      <w:sz w:val="2"/>
    </w:rPr>
  </w:style>
  <w:style w:type="paragraph" w:customStyle="1" w:styleId="50">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5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2">
    <w:name w:val="标准文件_附录标识"/>
    <w:next w:val="23"/>
    <w:qFormat/>
    <w:uiPriority w:val="0"/>
    <w:pPr>
      <w:numPr>
        <w:ilvl w:val="0"/>
        <w:numId w:val="7"/>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jpeg"/><Relationship Id="rId23" Type="http://schemas.openxmlformats.org/officeDocument/2006/relationships/image" Target="file:///C:\DOCUME~1\ADMINI~1\LOCALS~1\Temp\@0M05K3RF9JERJY_D4ZCKN7.jpg" TargetMode="Externa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2691</Words>
  <Characters>2775</Characters>
  <Lines>121</Lines>
  <Paragraphs>34</Paragraphs>
  <TotalTime>3</TotalTime>
  <ScaleCrop>false</ScaleCrop>
  <LinksUpToDate>false</LinksUpToDate>
  <CharactersWithSpaces>2793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2023-07-22T14:22:00Z</dcterms:created>
  <dc:creator>周周</dc:creator>
  <cp:lastModifiedBy>杨子琴</cp:lastModifiedBy>
  <dcterms:modified xsi:type="dcterms:W3CDTF">2025-04-30T05:39:44Z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609A939B1F8C4A6395320D3D928C2D03_13</vt:lpwstr>
  </property>
  <property fmtid="{D5CDD505-2E9C-101B-9397-08002B2CF9AE}" pid="4" name="KSOTemplateDocerSaveRecord">
    <vt:lpwstr>eyJoZGlkIjoiNmNmNmIwZTZmNmFiOGU1YzU3YTExNDU0MTI5ZmYzMmMiLCJ1c2VySWQiOiI0Mjg2NjA2MjUifQ==</vt:lpwstr>
  </property>
</Properties>
</file>