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DD95E">
      <w:pPr>
        <w:sectPr>
          <w:pgSz w:w="11906" w:h="16838"/>
          <w:pgMar w:top="567" w:right="850" w:bottom="1111" w:left="1417" w:header="0" w:footer="0" w:gutter="0"/>
          <w:pgNumType w:fmt="decimal"/>
          <w:cols w:space="720" w:num="1"/>
          <w:formProt w:val="0"/>
          <w:docGrid w:type="lines" w:linePitch="312" w:charSpace="0"/>
        </w:sectPr>
      </w:pPr>
      <w:bookmarkStart w:id="334" w:name="_GoBack"/>
      <w:bookmarkEnd w:id="334"/>
      <w:r>
        <w:rPr>
          <w:rFonts w:ascii="等线" w:hAnsi="等线"/>
        </w:rPr>
        <mc:AlternateContent>
          <mc:Choice Requires="wps">
            <w:drawing>
              <wp:anchor distT="0" distB="10795" distL="0" distR="2540" simplePos="0" relativeHeight="251660288" behindDoc="0" locked="0" layoutInCell="0" allowOverlap="1">
                <wp:simplePos x="0" y="0"/>
                <wp:positionH relativeFrom="column">
                  <wp:posOffset>-635</wp:posOffset>
                </wp:positionH>
                <wp:positionV relativeFrom="paragraph">
                  <wp:posOffset>53340</wp:posOffset>
                </wp:positionV>
                <wp:extent cx="3730625" cy="389890"/>
                <wp:effectExtent l="635" t="0" r="0" b="0"/>
                <wp:wrapNone/>
                <wp:docPr id="1" name="文本框 ICS/CSS/备案号" title="ICS/CSS/备案号"/>
                <wp:cNvGraphicFramePr/>
                <a:graphic xmlns:a="http://schemas.openxmlformats.org/drawingml/2006/main">
                  <a:graphicData uri="http://schemas.microsoft.com/office/word/2010/wordprocessingShape">
                    <wps:wsp>
                      <wps:cNvSpPr/>
                      <wps:spPr>
                        <a:xfrm>
                          <a:off x="0" y="0"/>
                          <a:ext cx="3730680" cy="38988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0B0B385">
                            <w:pPr>
                              <w:pStyle w:val="80"/>
                              <w:snapToGrid w:val="0"/>
                              <w:rPr>
                                <w:rFonts w:ascii="宋体" w:hAnsi="宋体" w:eastAsia="宋体" w:cs="黑体"/>
                                <w:b/>
                              </w:rPr>
                            </w:pPr>
                            <w:r>
                              <w:rPr>
                                <w:rFonts w:ascii="宋体" w:hAnsi="宋体" w:eastAsia="宋体" w:cs="Times New Roman"/>
                                <w:b/>
                              </w:rPr>
                              <w:t>ICS</w:t>
                            </w:r>
                            <w:r>
                              <w:rPr>
                                <w:rFonts w:ascii="宋体" w:hAnsi="宋体" w:eastAsia="宋体" w:cs="Times New Roman"/>
                                <w:b/>
                              </w:rPr>
                              <w:tab/>
                            </w:r>
                            <w:r>
                              <w:rPr>
                                <w:rFonts w:ascii="宋体" w:hAnsi="宋体" w:eastAsia="宋体" w:cs="黑体"/>
                                <w:b/>
                              </w:rPr>
                              <w:t xml:space="preserve">65.020.20 </w:t>
                            </w:r>
                          </w:p>
                          <w:p w14:paraId="74762698">
                            <w:pPr>
                              <w:pStyle w:val="80"/>
                              <w:snapToGrid w:val="0"/>
                              <w:rPr>
                                <w:rFonts w:ascii="宋体" w:hAnsi="宋体" w:eastAsia="宋体"/>
                                <w:b/>
                              </w:rPr>
                            </w:pPr>
                            <w:r>
                              <w:rPr>
                                <w:rFonts w:ascii="宋体" w:hAnsi="宋体" w:eastAsia="宋体" w:cs="黑体"/>
                                <w:b/>
                              </w:rPr>
                              <w:t>CCS B04</w:t>
                            </w:r>
                          </w:p>
                        </w:txbxContent>
                      </wps:txbx>
                      <wps:bodyPr vert="horz" lIns="0" tIns="0" rIns="36360" bIns="0" anchor="t">
                        <a:noAutofit/>
                      </wps:bodyPr>
                    </wps:wsp>
                  </a:graphicData>
                </a:graphic>
              </wp:anchor>
            </w:drawing>
          </mc:Choice>
          <mc:Fallback>
            <w:pict>
              <v:rect id="文本框 ICS/CSS/备案号" o:spid="_x0000_s1026" o:spt="1" style="position:absolute;left:0pt;margin-left:-0.05pt;margin-top:4.2pt;height:30.7pt;width:293.75pt;z-index:251660288;mso-width-relative:page;mso-height-relative:page;" filled="f" stroked="f" coordsize="21600,21600" o:allowincell="f" o:gfxdata="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7wRFtcAAAAGAQAADwAAAAAAAAABACAAAAAiAAAAZHJzL2Rvd25yZXYueG1sUEsBAhQAFAAA&#10;AAgAh07iQJfM75jwAQAAxAMAAA4AAAAAAAAAAQAgAAAAJgEAAGRycy9lMm9Eb2MueG1sUEsFBgAA&#10;AAAGAAYAWQEAAIgFAAAAAA==&#10;">
                <v:fill on="f" focussize="0,0"/>
                <v:stroke on="f" weight="0.5pt"/>
                <v:imagedata o:title=""/>
                <o:lock v:ext="edit" aspectratio="f"/>
                <v:textbox inset="0mm,0mm,1.01mm,0mm">
                  <w:txbxContent>
                    <w:p w14:paraId="30B0B385">
                      <w:pPr>
                        <w:pStyle w:val="80"/>
                        <w:snapToGrid w:val="0"/>
                        <w:rPr>
                          <w:rFonts w:ascii="宋体" w:hAnsi="宋体" w:eastAsia="宋体" w:cs="黑体"/>
                          <w:b/>
                        </w:rPr>
                      </w:pPr>
                      <w:r>
                        <w:rPr>
                          <w:rFonts w:ascii="宋体" w:hAnsi="宋体" w:eastAsia="宋体" w:cs="Times New Roman"/>
                          <w:b/>
                        </w:rPr>
                        <w:t>ICS</w:t>
                      </w:r>
                      <w:r>
                        <w:rPr>
                          <w:rFonts w:ascii="宋体" w:hAnsi="宋体" w:eastAsia="宋体" w:cs="Times New Roman"/>
                          <w:b/>
                        </w:rPr>
                        <w:tab/>
                      </w:r>
                      <w:r>
                        <w:rPr>
                          <w:rFonts w:ascii="宋体" w:hAnsi="宋体" w:eastAsia="宋体" w:cs="黑体"/>
                          <w:b/>
                        </w:rPr>
                        <w:t xml:space="preserve">65.020.20 </w:t>
                      </w:r>
                    </w:p>
                    <w:p w14:paraId="74762698">
                      <w:pPr>
                        <w:pStyle w:val="80"/>
                        <w:snapToGrid w:val="0"/>
                        <w:rPr>
                          <w:rFonts w:ascii="宋体" w:hAnsi="宋体" w:eastAsia="宋体"/>
                          <w:b/>
                        </w:rPr>
                      </w:pPr>
                      <w:r>
                        <w:rPr>
                          <w:rFonts w:ascii="宋体" w:hAnsi="宋体" w:eastAsia="宋体" w:cs="黑体"/>
                          <w:b/>
                        </w:rPr>
                        <w:t>CCS B04</w:t>
                      </w: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1214755</wp:posOffset>
                </wp:positionH>
                <wp:positionV relativeFrom="paragraph">
                  <wp:posOffset>52070</wp:posOffset>
                </wp:positionV>
                <wp:extent cx="4523740" cy="882650"/>
                <wp:effectExtent l="0" t="0" r="0" b="0"/>
                <wp:wrapNone/>
                <wp:docPr id="3" name="文本框 标准代码" title="标准代码"/>
                <wp:cNvGraphicFramePr/>
                <a:graphic xmlns:a="http://schemas.openxmlformats.org/drawingml/2006/main">
                  <a:graphicData uri="http://schemas.microsoft.com/office/word/2010/wordprocessingShape">
                    <wps:wsp>
                      <wps:cNvSpPr/>
                      <wps:spPr>
                        <a:xfrm>
                          <a:off x="0" y="0"/>
                          <a:ext cx="4523760" cy="8827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D5B6EB7">
                            <w:pPr>
                              <w:pStyle w:val="80"/>
                              <w:jc w:val="right"/>
                              <w:rPr>
                                <w:rFonts w:ascii="Times New Roman" w:hAnsi="Times New Roman" w:cs="Times New Roman"/>
                                <w:sz w:val="84"/>
                                <w:szCs w:val="84"/>
                              </w:rPr>
                            </w:pPr>
                            <w:r>
                              <w:rPr>
                                <w:rFonts w:eastAsia="等线"/>
                              </w:rPr>
                              <w:pict>
                                <v:shape id="shape_0" o:spid="_x0000_s1026" o:spt="75" type="#_x0000_t75" style="position:absolute;left:0pt;margin-left:0pt;height:44.95pt;width:90.7pt;mso-position-vertical:top;mso-wrap-distance-bottom:0pt;mso-wrap-distance-left:9pt;mso-wrap-distance-right:9pt;mso-wrap-distance-top:0pt;mso-wrap-style:none;z-index:251661312;v-text-anchor:middle;mso-width-relative:page;mso-height-relative:page;" filled="f" o:preferrelative="t" stroked="f" coordsize="21600,21600" o:allowincell="f">
                                  <v:path/>
                                  <v:fill on="f" focussize="0,0"/>
                                  <v:stroke on="f" color="#3465A4" joinstyle="round"/>
                                  <v:imagedata r:id="rId9" o:title=""/>
                                  <o:lock v:ext="edit" aspectratio="t"/>
                                  <w10:wrap type="square"/>
                                </v:shape>
                              </w:pict>
                            </w:r>
                          </w:p>
                        </w:txbxContent>
                      </wps:txbx>
                      <wps:bodyPr vert="horz" lIns="0" tIns="0" rIns="0" bIns="0" anchor="t">
                        <a:noAutofit/>
                      </wps:bodyPr>
                    </wps:wsp>
                  </a:graphicData>
                </a:graphic>
              </wp:anchor>
            </w:drawing>
          </mc:Choice>
          <mc:Fallback>
            <w:pict>
              <v:rect id="文本框 标准代码" o:spid="_x0000_s1026" o:spt="1" style="position:absolute;left:0pt;margin-left:95.65pt;margin-top:4.1pt;height:69.5pt;width:356.2pt;z-index:251660288;mso-width-relative:page;mso-height-relative:page;" filled="f" stroked="f" coordsize="21600,21600" o:allowincell="f" o:gfxdata="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Ab&#10;bdcAAAAJAQAADwAAAAAAAAABACAAAAAiAAAAZHJzL2Rvd25yZXYueG1sUEsBAhQAFAAAAAgAh07i&#10;QI8fE7LqAQAAtgMAAA4AAAAAAAAAAQAgAAAAJgEAAGRycy9lMm9Eb2MueG1sUEsFBgAAAAAGAAYA&#10;WQEAAIIFAAAAAA==&#10;">
                <v:fill on="f" focussize="0,0"/>
                <v:stroke on="f" weight="0.5pt"/>
                <v:imagedata o:title=""/>
                <o:lock v:ext="edit" aspectratio="f"/>
                <v:textbox inset="0mm,0mm,0mm,0mm">
                  <w:txbxContent>
                    <w:p w14:paraId="3D5B6EB7">
                      <w:pPr>
                        <w:pStyle w:val="80"/>
                        <w:jc w:val="right"/>
                        <w:rPr>
                          <w:rFonts w:ascii="Times New Roman" w:hAnsi="Times New Roman" w:cs="Times New Roman"/>
                          <w:sz w:val="84"/>
                          <w:szCs w:val="84"/>
                        </w:rPr>
                      </w:pPr>
                      <w:r>
                        <w:rPr>
                          <w:rFonts w:eastAsia="等线"/>
                        </w:rPr>
                        <w:pict>
                          <v:shape id="shape_0" o:spid="_x0000_s1026" o:spt="75" type="#_x0000_t75" style="position:absolute;left:0pt;margin-left:0pt;height:44.95pt;width:90.7pt;mso-position-vertical:top;mso-wrap-distance-bottom:0pt;mso-wrap-distance-left:9pt;mso-wrap-distance-right:9pt;mso-wrap-distance-top:0pt;mso-wrap-style:none;z-index:251661312;v-text-anchor:middle;mso-width-relative:page;mso-height-relative:page;" filled="f" o:preferrelative="t" stroked="f" coordsize="21600,21600" o:allowincell="f">
                            <v:path/>
                            <v:fill on="f" focussize="0,0"/>
                            <v:stroke on="f" color="#3465A4" joinstyle="round"/>
                            <v:imagedata r:id="rId9" o:title=""/>
                            <o:lock v:ext="edit" aspectratio="t"/>
                            <w10:wrap type="square"/>
                          </v:shape>
                        </w:pict>
                      </w: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-71120</wp:posOffset>
                </wp:positionH>
                <wp:positionV relativeFrom="paragraph">
                  <wp:posOffset>963295</wp:posOffset>
                </wp:positionV>
                <wp:extent cx="6216650" cy="658495"/>
                <wp:effectExtent l="0" t="0" r="0" b="0"/>
                <wp:wrapNone/>
                <wp:docPr id="6" name="文本框 标准抬头" title="标准抬头"/>
                <wp:cNvGraphicFramePr/>
                <a:graphic xmlns:a="http://schemas.openxmlformats.org/drawingml/2006/main">
                  <a:graphicData uri="http://schemas.microsoft.com/office/word/2010/wordprocessingShape">
                    <wps:wsp>
                      <wps:cNvSpPr/>
                      <wps:spPr>
                        <a:xfrm>
                          <a:off x="0" y="0"/>
                          <a:ext cx="6216480" cy="65844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6214E2F0">
                            <w:pPr>
                              <w:pStyle w:val="80"/>
                              <w:snapToGrid w:val="0"/>
                              <w:jc w:val="distribute"/>
                            </w:pPr>
                            <w:r>
                              <w:rPr>
                                <w:rFonts w:ascii="黑体" w:hAnsi="黑体" w:eastAsia="黑体" w:cs="黑体"/>
                                <w:sz w:val="51"/>
                                <w:szCs w:val="51"/>
                              </w:rPr>
                              <w:t>中华人民共和国农业行业标准</w:t>
                            </w:r>
                          </w:p>
                        </w:txbxContent>
                      </wps:txbx>
                      <wps:bodyPr vert="horz" lIns="0" tIns="0" rIns="0" bIns="0" anchor="ctr">
                        <a:noAutofit/>
                      </wps:bodyPr>
                    </wps:wsp>
                  </a:graphicData>
                </a:graphic>
              </wp:anchor>
            </w:drawing>
          </mc:Choice>
          <mc:Fallback>
            <w:pict>
              <v:rect id="文本框 标准抬头" o:spid="_x0000_s1026" o:spt="1" style="position:absolute;left:0pt;margin-left:-5.6pt;margin-top:75.85pt;height:51.85pt;width:489.5pt;z-index:251660288;v-text-anchor:middle;mso-width-relative:page;mso-height-relative:page;" filled="f" stroked="f" coordsize="21600,21600" o:allowincell="f" o:gfxdata="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FQ942wAAAAsBAAAPAAAAAAAAAAEAIAAAACIAAABkcnMvZG93bnJldi54bWxQSwECFAAUAAAACACH&#10;TuJARcCELugBAAC4AwAADgAAAAAAAAABACAAAAAqAQAAZHJzL2Uyb0RvYy54bWxQSwUGAAAAAAYA&#10;BgBZAQAAhAUAAAAA&#10;">
                <v:fill on="f" focussize="0,0"/>
                <v:stroke on="f" weight="0.5pt"/>
                <v:imagedata o:title=""/>
                <o:lock v:ext="edit" aspectratio="f"/>
                <v:textbox inset="0mm,0mm,0mm,0mm">
                  <w:txbxContent>
                    <w:p w14:paraId="6214E2F0">
                      <w:pPr>
                        <w:pStyle w:val="80"/>
                        <w:snapToGrid w:val="0"/>
                        <w:jc w:val="distribute"/>
                      </w:pPr>
                      <w:r>
                        <w:rPr>
                          <w:rFonts w:ascii="黑体" w:hAnsi="黑体" w:eastAsia="黑体" w:cs="黑体"/>
                          <w:sz w:val="51"/>
                          <w:szCs w:val="51"/>
                        </w:rPr>
                        <w:t>中华人民共和国农业行业标准</w:t>
                      </w: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-3175</wp:posOffset>
                </wp:positionH>
                <wp:positionV relativeFrom="paragraph">
                  <wp:posOffset>1720850</wp:posOffset>
                </wp:positionV>
                <wp:extent cx="5975985" cy="278130"/>
                <wp:effectExtent l="0" t="0" r="0" b="0"/>
                <wp:wrapNone/>
                <wp:docPr id="8" name="文本框 标准编号" title="标准编号"/>
                <wp:cNvGraphicFramePr/>
                <a:graphic xmlns:a="http://schemas.openxmlformats.org/drawingml/2006/main">
                  <a:graphicData uri="http://schemas.microsoft.com/office/word/2010/wordprocessingShape">
                    <wps:wsp>
                      <wps:cNvSpPr/>
                      <wps:spPr>
                        <a:xfrm>
                          <a:off x="0" y="0"/>
                          <a:ext cx="5976000" cy="278280"/>
                        </a:xfrm>
                        <a:prstGeom prst="rect">
                          <a:avLst/>
                        </a:prstGeom>
                        <a:noFill/>
                        <a:ln w="6350">
                          <a:noFill/>
                        </a:ln>
                      </wps:spPr>
                      <wps:style>
                        <a:lnRef idx="0">
                          <a:srgbClr val="FFFFFF"/>
                        </a:lnRef>
                        <a:fillRef idx="0">
                          <a:srgbClr val="FFFFFF"/>
                        </a:fillRef>
                        <a:effectRef idx="0">
                          <a:srgbClr val="FFFFFF"/>
                        </a:effectRef>
                        <a:fontRef idx="minor"/>
                      </wps:style>
                      <wps:txbx>
                        <w:txbxContent>
                          <w:p w14:paraId="7A6492BD">
                            <w:pPr>
                              <w:pStyle w:val="80"/>
                              <w:snapToGrid w:val="0"/>
                              <w:jc w:val="right"/>
                              <w:rPr>
                                <w:rFonts w:ascii="黑体" w:hAnsi="黑体" w:eastAsia="黑体" w:cs="黑体"/>
                                <w:sz w:val="28"/>
                                <w:szCs w:val="28"/>
                              </w:rPr>
                            </w:pPr>
                            <w:r>
                              <w:rPr>
                                <w:rFonts w:ascii="黑体" w:hAnsi="黑体" w:eastAsia="黑体" w:cs="黑体"/>
                                <w:sz w:val="28"/>
                                <w:szCs w:val="28"/>
                              </w:rPr>
                              <w:t>NY/T XXX—XXXX</w:t>
                            </w:r>
                          </w:p>
                        </w:txbxContent>
                      </wps:txbx>
                      <wps:bodyPr vert="horz" lIns="36360" tIns="0" rIns="36360" bIns="0" anchor="ctr">
                        <a:noAutofit/>
                      </wps:bodyPr>
                    </wps:wsp>
                  </a:graphicData>
                </a:graphic>
              </wp:anchor>
            </w:drawing>
          </mc:Choice>
          <mc:Fallback>
            <w:pict>
              <v:rect id="文本框 标准编号" o:spid="_x0000_s1026" o:spt="1" style="position:absolute;left:0pt;margin-left:-0.25pt;margin-top:135.5pt;height:21.9pt;width:470.55pt;z-index:251660288;v-text-anchor:middle;mso-width-relative:page;mso-height-relative:page;" filled="f" stroked="f" coordsize="21600,21600" o:allowincell="f" o:gfxdata="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Xz&#10;GPLVAAAACQEAAA8AAAAAAAAAAQAgAAAAIgAAAGRycy9kb3ducmV2LnhtbFBLAQIUABQAAAAIAIdO&#10;4kBoPCU87QEAAMADAAAOAAAAAAAAAAEAIAAAACQBAABkcnMvZTJvRG9jLnhtbFBLBQYAAAAABgAG&#10;AFkBAACDBQAAAAA=&#10;">
                <v:fill on="f" focussize="0,0"/>
                <v:stroke on="f" weight="0.5pt"/>
                <v:imagedata o:title=""/>
                <o:lock v:ext="edit" aspectratio="f"/>
                <v:textbox inset="1.01mm,0mm,1.01mm,0mm">
                  <w:txbxContent>
                    <w:p w14:paraId="7A6492BD">
                      <w:pPr>
                        <w:pStyle w:val="80"/>
                        <w:snapToGrid w:val="0"/>
                        <w:jc w:val="right"/>
                        <w:rPr>
                          <w:rFonts w:ascii="黑体" w:hAnsi="黑体" w:eastAsia="黑体" w:cs="黑体"/>
                          <w:sz w:val="28"/>
                          <w:szCs w:val="28"/>
                        </w:rPr>
                      </w:pPr>
                      <w:r>
                        <w:rPr>
                          <w:rFonts w:ascii="黑体" w:hAnsi="黑体" w:eastAsia="黑体" w:cs="黑体"/>
                          <w:sz w:val="28"/>
                          <w:szCs w:val="28"/>
                        </w:rPr>
                        <w:t>NY/T XXX—XXXX</w:t>
                      </w: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1905</wp:posOffset>
                </wp:positionH>
                <wp:positionV relativeFrom="paragraph">
                  <wp:posOffset>1955800</wp:posOffset>
                </wp:positionV>
                <wp:extent cx="6007735" cy="278130"/>
                <wp:effectExtent l="0" t="0" r="0" b="0"/>
                <wp:wrapNone/>
                <wp:docPr id="10" name="文本框 代替标准编号" title="代替标准编号"/>
                <wp:cNvGraphicFramePr/>
                <a:graphic xmlns:a="http://schemas.openxmlformats.org/drawingml/2006/main">
                  <a:graphicData uri="http://schemas.microsoft.com/office/word/2010/wordprocessingShape">
                    <wps:wsp>
                      <wps:cNvSpPr/>
                      <wps:spPr>
                        <a:xfrm>
                          <a:off x="0" y="0"/>
                          <a:ext cx="6007680" cy="278280"/>
                        </a:xfrm>
                        <a:prstGeom prst="rect">
                          <a:avLst/>
                        </a:prstGeom>
                        <a:noFill/>
                        <a:ln w="6350">
                          <a:noFill/>
                        </a:ln>
                      </wps:spPr>
                      <wps:style>
                        <a:lnRef idx="0">
                          <a:srgbClr val="FFFFFF"/>
                        </a:lnRef>
                        <a:fillRef idx="0">
                          <a:srgbClr val="FFFFFF"/>
                        </a:fillRef>
                        <a:effectRef idx="0">
                          <a:srgbClr val="FFFFFF"/>
                        </a:effectRef>
                        <a:fontRef idx="minor"/>
                      </wps:style>
                      <wps:txbx>
                        <w:txbxContent>
                          <w:p w14:paraId="6B97631D">
                            <w:pPr>
                              <w:pStyle w:val="80"/>
                              <w:wordWrap w:val="0"/>
                              <w:snapToGrid w:val="0"/>
                              <w:jc w:val="righ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代替NY/T 1690-2009</w:t>
                            </w:r>
                          </w:p>
                        </w:txbxContent>
                      </wps:txbx>
                      <wps:bodyPr vert="horz" lIns="36360" tIns="0" rIns="36360" bIns="0" anchor="ctr">
                        <a:noAutofit/>
                      </wps:bodyPr>
                    </wps:wsp>
                  </a:graphicData>
                </a:graphic>
              </wp:anchor>
            </w:drawing>
          </mc:Choice>
          <mc:Fallback>
            <w:pict>
              <v:rect id="文本框 代替标准编号" o:spid="_x0000_s1026" o:spt="1" style="position:absolute;left:0pt;margin-left:0.15pt;margin-top:154pt;height:21.9pt;width:473.05pt;z-index:251660288;v-text-anchor:middle;mso-width-relative:page;mso-height-relative:page;" filled="f" stroked="f" coordsize="21600,21600" o:allowincell="f" o:gfxdata="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VkhEdQAAAAIAQAADwAAAAAAAAABACAAAAAiAAAAZHJzL2Rvd25yZXYueG1sUEsBAhQA&#10;FAAAAAgAh07iQNpdkMX2AQAAzQMAAA4AAAAAAAAAAQAgAAAAIwEAAGRycy9lMm9Eb2MueG1sUEsF&#10;BgAAAAAGAAYAWQEAAIsFAAAAAA==&#10;">
                <v:fill on="f" focussize="0,0"/>
                <v:stroke on="f" weight="0.5pt"/>
                <v:imagedata o:title=""/>
                <o:lock v:ext="edit" aspectratio="f"/>
                <v:textbox inset="1.01mm,0mm,1.01mm,0mm">
                  <w:txbxContent>
                    <w:p w14:paraId="6B97631D">
                      <w:pPr>
                        <w:pStyle w:val="80"/>
                        <w:wordWrap w:val="0"/>
                        <w:snapToGrid w:val="0"/>
                        <w:jc w:val="righ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代替NY/T 1690-2009</w:t>
                      </w: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-6985</wp:posOffset>
                </wp:positionH>
                <wp:positionV relativeFrom="paragraph">
                  <wp:posOffset>3709035</wp:posOffset>
                </wp:positionV>
                <wp:extent cx="6137275" cy="4199255"/>
                <wp:effectExtent l="0" t="0" r="0" b="0"/>
                <wp:wrapNone/>
                <wp:docPr id="12" name="文本框 标准名称" title="标准名称"/>
                <wp:cNvGraphicFramePr/>
                <a:graphic xmlns:a="http://schemas.openxmlformats.org/drawingml/2006/main">
                  <a:graphicData uri="http://schemas.microsoft.com/office/word/2010/wordprocessingShape">
                    <wps:wsp>
                      <wps:cNvSpPr/>
                      <wps:spPr>
                        <a:xfrm>
                          <a:off x="0" y="0"/>
                          <a:ext cx="6137280" cy="41994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71A5168A">
                            <w:pPr>
                              <w:pStyle w:val="80"/>
                              <w:snapToGrid w:val="0"/>
                              <w:spacing w:before="370" w:after="0" w:line="400" w:lineRule="exact"/>
                              <w:jc w:val="center"/>
                              <w:rPr>
                                <w:rFonts w:ascii="黑体" w:hAnsi="黑体" w:eastAsia="黑体" w:cs="黑体"/>
                                <w:sz w:val="55"/>
                                <w:szCs w:val="55"/>
                              </w:rPr>
                            </w:pPr>
                            <w:r>
                              <w:rPr>
                                <w:rFonts w:ascii="黑体" w:hAnsi="黑体" w:eastAsia="黑体" w:cs="黑体"/>
                                <w:sz w:val="55"/>
                                <w:szCs w:val="55"/>
                              </w:rPr>
                              <w:t>香蕉种质资源离体保存技术规程</w:t>
                            </w:r>
                          </w:p>
                          <w:p w14:paraId="42F2DF58">
                            <w:pPr>
                              <w:pStyle w:val="80"/>
                              <w:snapToGrid w:val="0"/>
                              <w:spacing w:line="680" w:lineRule="exact"/>
                              <w:jc w:val="center"/>
                              <w:rPr>
                                <w:rFonts w:ascii="黑体" w:hAnsi="黑体" w:eastAsia="黑体" w:cs="黑体"/>
                                <w:sz w:val="52"/>
                                <w:szCs w:val="52"/>
                              </w:rPr>
                            </w:pPr>
                          </w:p>
                          <w:p w14:paraId="5B4550F1">
                            <w:pPr>
                              <w:pStyle w:val="80"/>
                              <w:spacing w:before="640" w:after="0" w:line="400" w:lineRule="exact"/>
                              <w:jc w:val="center"/>
                              <w:rPr>
                                <w:rFonts w:ascii="Times New Roman" w:hAnsi="Times New Roman" w:cs="Times New Roman"/>
                                <w:sz w:val="28"/>
                                <w:szCs w:val="28"/>
                              </w:rPr>
                            </w:pPr>
                            <w:r>
                              <w:rPr>
                                <w:rFonts w:ascii="Times New Roman" w:hAnsi="Times New Roman" w:cs="Times New Roman"/>
                                <w:sz w:val="28"/>
                                <w:szCs w:val="28"/>
                              </w:rPr>
                              <w:t xml:space="preserve">Technical regulation for invitro conservation of </w:t>
                            </w:r>
                            <w:r>
                              <w:rPr>
                                <w:rFonts w:hint="eastAsia" w:ascii="Times New Roman" w:hAnsi="Times New Roman" w:cs="Times New Roman"/>
                                <w:sz w:val="28"/>
                                <w:szCs w:val="28"/>
                                <w:lang w:val="en-US" w:eastAsia="zh-CN"/>
                              </w:rPr>
                              <w:t>ba</w:t>
                            </w:r>
                            <w:r>
                              <w:rPr>
                                <w:rFonts w:ascii="Times New Roman" w:hAnsi="Times New Roman" w:cs="Times New Roman"/>
                                <w:sz w:val="28"/>
                                <w:szCs w:val="28"/>
                              </w:rPr>
                              <w:t>nana germplasm</w:t>
                            </w:r>
                          </w:p>
                          <w:p w14:paraId="0B201F6C">
                            <w:pPr>
                              <w:pStyle w:val="80"/>
                              <w:spacing w:before="500" w:after="240"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征求意见</w:t>
                            </w:r>
                            <w:r>
                              <w:rPr>
                                <w:rFonts w:ascii="宋体" w:hAnsi="宋体" w:eastAsia="宋体" w:cs="宋体"/>
                                <w:sz w:val="24"/>
                              </w:rPr>
                              <w:t>稿</w:t>
                            </w:r>
                            <w:r>
                              <w:rPr>
                                <w:rFonts w:ascii="等线" w:hAnsi="等线"/>
                              </w:rPr>
                              <w:br w:type="textWrapping"/>
                            </w:r>
                          </w:p>
                          <w:p w14:paraId="76C4361A">
                            <w:pPr>
                              <w:pStyle w:val="80"/>
                              <w:spacing w:before="500" w:after="240"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(本草稿完成时间：2025.10.11)</w:t>
                            </w:r>
                          </w:p>
                          <w:p w14:paraId="220F0FF9">
                            <w:pPr>
                              <w:pStyle w:val="80"/>
                              <w:spacing w:before="500" w:after="240" w:line="400" w:lineRule="exact"/>
                              <w:jc w:val="center"/>
                              <w:rPr>
                                <w:rFonts w:hint="eastAsia" w:ascii="宋体" w:hAnsi="宋体" w:eastAsia="宋体" w:cs="宋体"/>
                                <w:sz w:val="24"/>
                                <w:lang w:val="en-US" w:eastAsia="zh-CN"/>
                              </w:rPr>
                            </w:pPr>
                          </w:p>
                        </w:txbxContent>
                      </wps:txbx>
                      <wps:bodyPr vert="horz" lIns="36360" tIns="0" rIns="36360" bIns="0" anchor="t">
                        <a:noAutofit/>
                      </wps:bodyPr>
                    </wps:wsp>
                  </a:graphicData>
                </a:graphic>
              </wp:anchor>
            </w:drawing>
          </mc:Choice>
          <mc:Fallback>
            <w:pict>
              <v:rect id="文本框 标准名称" o:spid="_x0000_s1026" o:spt="1" style="position:absolute;left:0pt;margin-left:-0.55pt;margin-top:292.05pt;height:330.65pt;width:483.25pt;z-index:251660288;mso-width-relative:page;mso-height-relative:page;" filled="f" stroked="f" coordsize="21600,21600" o:allowincell="f" o:gfxdata="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yuuj2AAAAAsBAAAPAAAAAAAAAAEAIAAAACIAAABkcnMvZG93bnJldi54bWxQSwECFAAU&#10;AAAACACHTuJAAZmkIfEBAADAAwAADgAAAAAAAAABACAAAAAnAQAAZHJzL2Uyb0RvYy54bWxQSwUG&#10;AAAAAAYABgBZAQAAigUAAAAA&#10;">
                <v:fill on="f" focussize="0,0"/>
                <v:stroke on="f" weight="0.5pt"/>
                <v:imagedata o:title=""/>
                <o:lock v:ext="edit" aspectratio="f"/>
                <v:textbox inset="1.01mm,0mm,1.01mm,0mm">
                  <w:txbxContent>
                    <w:p w14:paraId="71A5168A">
                      <w:pPr>
                        <w:pStyle w:val="80"/>
                        <w:snapToGrid w:val="0"/>
                        <w:spacing w:before="370" w:after="0" w:line="400" w:lineRule="exact"/>
                        <w:jc w:val="center"/>
                        <w:rPr>
                          <w:rFonts w:ascii="黑体" w:hAnsi="黑体" w:eastAsia="黑体" w:cs="黑体"/>
                          <w:sz w:val="55"/>
                          <w:szCs w:val="55"/>
                        </w:rPr>
                      </w:pPr>
                      <w:r>
                        <w:rPr>
                          <w:rFonts w:ascii="黑体" w:hAnsi="黑体" w:eastAsia="黑体" w:cs="黑体"/>
                          <w:sz w:val="55"/>
                          <w:szCs w:val="55"/>
                        </w:rPr>
                        <w:t>香蕉种质资源离体保存技术规程</w:t>
                      </w:r>
                    </w:p>
                    <w:p w14:paraId="42F2DF58">
                      <w:pPr>
                        <w:pStyle w:val="80"/>
                        <w:snapToGrid w:val="0"/>
                        <w:spacing w:line="680" w:lineRule="exact"/>
                        <w:jc w:val="center"/>
                        <w:rPr>
                          <w:rFonts w:ascii="黑体" w:hAnsi="黑体" w:eastAsia="黑体" w:cs="黑体"/>
                          <w:sz w:val="52"/>
                          <w:szCs w:val="52"/>
                        </w:rPr>
                      </w:pPr>
                    </w:p>
                    <w:p w14:paraId="5B4550F1">
                      <w:pPr>
                        <w:pStyle w:val="80"/>
                        <w:spacing w:before="640" w:after="0" w:line="400" w:lineRule="exact"/>
                        <w:jc w:val="center"/>
                        <w:rPr>
                          <w:rFonts w:ascii="Times New Roman" w:hAnsi="Times New Roman" w:cs="Times New Roman"/>
                          <w:sz w:val="28"/>
                          <w:szCs w:val="28"/>
                        </w:rPr>
                      </w:pPr>
                      <w:r>
                        <w:rPr>
                          <w:rFonts w:ascii="Times New Roman" w:hAnsi="Times New Roman" w:cs="Times New Roman"/>
                          <w:sz w:val="28"/>
                          <w:szCs w:val="28"/>
                        </w:rPr>
                        <w:t xml:space="preserve">Technical regulation for invitro conservation of </w:t>
                      </w:r>
                      <w:r>
                        <w:rPr>
                          <w:rFonts w:hint="eastAsia" w:ascii="Times New Roman" w:hAnsi="Times New Roman" w:cs="Times New Roman"/>
                          <w:sz w:val="28"/>
                          <w:szCs w:val="28"/>
                          <w:lang w:val="en-US" w:eastAsia="zh-CN"/>
                        </w:rPr>
                        <w:t>ba</w:t>
                      </w:r>
                      <w:r>
                        <w:rPr>
                          <w:rFonts w:ascii="Times New Roman" w:hAnsi="Times New Roman" w:cs="Times New Roman"/>
                          <w:sz w:val="28"/>
                          <w:szCs w:val="28"/>
                        </w:rPr>
                        <w:t>nana germplasm</w:t>
                      </w:r>
                    </w:p>
                    <w:p w14:paraId="0B201F6C">
                      <w:pPr>
                        <w:pStyle w:val="80"/>
                        <w:spacing w:before="500" w:after="240"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征求意见</w:t>
                      </w:r>
                      <w:r>
                        <w:rPr>
                          <w:rFonts w:ascii="宋体" w:hAnsi="宋体" w:eastAsia="宋体" w:cs="宋体"/>
                          <w:sz w:val="24"/>
                        </w:rPr>
                        <w:t>稿</w:t>
                      </w:r>
                      <w:r>
                        <w:rPr>
                          <w:rFonts w:ascii="等线" w:hAnsi="等线"/>
                        </w:rPr>
                        <w:br w:type="textWrapping"/>
                      </w:r>
                    </w:p>
                    <w:p w14:paraId="76C4361A">
                      <w:pPr>
                        <w:pStyle w:val="80"/>
                        <w:spacing w:before="500" w:after="240"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(本草稿完成时间：2025.10.11)</w:t>
                      </w:r>
                    </w:p>
                    <w:p w14:paraId="220F0FF9">
                      <w:pPr>
                        <w:pStyle w:val="80"/>
                        <w:spacing w:before="500" w:after="240" w:line="400" w:lineRule="exact"/>
                        <w:jc w:val="center"/>
                        <w:rPr>
                          <w:rFonts w:hint="eastAsia" w:ascii="宋体" w:hAnsi="宋体" w:eastAsia="宋体" w:cs="宋体"/>
                          <w:sz w:val="24"/>
                          <w:lang w:val="en-US" w:eastAsia="zh-CN"/>
                        </w:rPr>
                      </w:pP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-28575</wp:posOffset>
                </wp:positionH>
                <wp:positionV relativeFrom="paragraph">
                  <wp:posOffset>8566150</wp:posOffset>
                </wp:positionV>
                <wp:extent cx="2613660" cy="360045"/>
                <wp:effectExtent l="0" t="0" r="0" b="0"/>
                <wp:wrapNone/>
                <wp:docPr id="14" name="文本框 发布日期" title="发布日期"/>
                <wp:cNvGraphicFramePr/>
                <a:graphic xmlns:a="http://schemas.openxmlformats.org/drawingml/2006/main">
                  <a:graphicData uri="http://schemas.microsoft.com/office/word/2010/wordprocessingShape">
                    <wps:wsp>
                      <wps:cNvSpPr/>
                      <wps:spPr>
                        <a:xfrm>
                          <a:off x="0" y="0"/>
                          <a:ext cx="2613600" cy="360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55BEBF2">
                            <w:pPr>
                              <w:pStyle w:val="80"/>
                              <w:snapToGrid w:val="0"/>
                              <w:jc w:val="left"/>
                            </w:pPr>
                            <w:r>
                              <w:rPr>
                                <w:rFonts w:ascii="黑体" w:hAnsi="黑体" w:eastAsia="黑体" w:cs="黑体"/>
                                <w:sz w:val="28"/>
                                <w:szCs w:val="28"/>
                              </w:rPr>
                              <w:t>XXXX-XX-XX 发布</w:t>
                            </w:r>
                          </w:p>
                        </w:txbxContent>
                      </wps:txbx>
                      <wps:bodyPr vert="horz" lIns="36360" tIns="0" rIns="36360" bIns="0" anchor="ctr">
                        <a:noAutofit/>
                      </wps:bodyPr>
                    </wps:wsp>
                  </a:graphicData>
                </a:graphic>
              </wp:anchor>
            </w:drawing>
          </mc:Choice>
          <mc:Fallback>
            <w:pict>
              <v:rect id="文本框 发布日期" o:spid="_x0000_s1026" o:spt="1" style="position:absolute;left:0pt;margin-left:-2.25pt;margin-top:674.5pt;height:28.35pt;width:205.8pt;z-index:251660288;v-text-anchor:middle;mso-width-relative:page;mso-height-relative:page;" filled="f" stroked="f" coordsize="21600,21600" o:allowincell="f" o:gfxdata="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D+&#10;akjWAAAADAEAAA8AAAAAAAAAAQAgAAAAIgAAAGRycy9kb3ducmV2LnhtbFBLAQIUABQAAAAIAIdO&#10;4kD8bvxb7AEAAMEDAAAOAAAAAAAAAAEAIAAAACUBAABkcnMvZTJvRG9jLnhtbFBLBQYAAAAABgAG&#10;AFkBAACDBQAAAAA=&#10;">
                <v:fill on="f" focussize="0,0"/>
                <v:stroke on="f" weight="0.5pt"/>
                <v:imagedata o:title=""/>
                <o:lock v:ext="edit" aspectratio="f"/>
                <v:textbox inset="1.01mm,0mm,1.01mm,0mm">
                  <w:txbxContent>
                    <w:p w14:paraId="355BEBF2">
                      <w:pPr>
                        <w:pStyle w:val="80"/>
                        <w:snapToGrid w:val="0"/>
                        <w:jc w:val="left"/>
                      </w:pPr>
                      <w:r>
                        <w:rPr>
                          <w:rFonts w:ascii="黑体" w:hAnsi="黑体" w:eastAsia="黑体" w:cs="黑体"/>
                          <w:sz w:val="28"/>
                          <w:szCs w:val="28"/>
                        </w:rPr>
                        <w:t>XXXX-XX-XX 发布</w:t>
                      </w: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3553460</wp:posOffset>
                </wp:positionH>
                <wp:positionV relativeFrom="paragraph">
                  <wp:posOffset>8566150</wp:posOffset>
                </wp:positionV>
                <wp:extent cx="2613660" cy="360045"/>
                <wp:effectExtent l="0" t="0" r="0" b="0"/>
                <wp:wrapNone/>
                <wp:docPr id="16" name="文本框 实施日期" title="实施日期"/>
                <wp:cNvGraphicFramePr/>
                <a:graphic xmlns:a="http://schemas.openxmlformats.org/drawingml/2006/main">
                  <a:graphicData uri="http://schemas.microsoft.com/office/word/2010/wordprocessingShape">
                    <wps:wsp>
                      <wps:cNvSpPr/>
                      <wps:spPr>
                        <a:xfrm>
                          <a:off x="0" y="0"/>
                          <a:ext cx="2613600" cy="360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236AA90">
                            <w:pPr>
                              <w:pStyle w:val="80"/>
                              <w:jc w:val="right"/>
                            </w:pPr>
                            <w:r>
                              <w:rPr>
                                <w:rFonts w:ascii="黑体" w:hAnsi="黑体" w:eastAsia="黑体" w:cs="黑体"/>
                                <w:sz w:val="28"/>
                              </w:rPr>
                              <w:t>XXXX-XX-XX 实施</w:t>
                            </w:r>
                          </w:p>
                        </w:txbxContent>
                      </wps:txbx>
                      <wps:bodyPr vert="horz" lIns="36360" tIns="0" rIns="36360" bIns="0" anchor="ctr">
                        <a:noAutofit/>
                      </wps:bodyPr>
                    </wps:wsp>
                  </a:graphicData>
                </a:graphic>
              </wp:anchor>
            </w:drawing>
          </mc:Choice>
          <mc:Fallback>
            <w:pict>
              <v:rect id="文本框 实施日期" o:spid="_x0000_s1026" o:spt="1" style="position:absolute;left:0pt;margin-left:279.8pt;margin-top:674.5pt;height:28.35pt;width:205.8pt;z-index:251660288;v-text-anchor:middle;mso-width-relative:page;mso-height-relative:page;" filled="f" stroked="f" coordsize="21600,21600" o:allowincell="f" o:gfxdata="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vb&#10;euzYAAAADQEAAA8AAAAAAAAAAQAgAAAAIgAAAGRycy9kb3ducmV2LnhtbFBLAQIUABQAAAAIAIdO&#10;4kAVuC9n6gEAAMEDAAAOAAAAAAAAAAEAIAAAACcBAABkcnMvZTJvRG9jLnhtbFBLBQYAAAAABgAG&#10;AFkBAACDBQAAAAA=&#10;">
                <v:fill on="f" focussize="0,0"/>
                <v:stroke on="f" weight="0.5pt"/>
                <v:imagedata o:title=""/>
                <o:lock v:ext="edit" aspectratio="f"/>
                <v:textbox inset="1.01mm,0mm,1.01mm,0mm">
                  <w:txbxContent>
                    <w:p w14:paraId="3236AA90">
                      <w:pPr>
                        <w:pStyle w:val="80"/>
                        <w:jc w:val="right"/>
                      </w:pPr>
                      <w:r>
                        <w:rPr>
                          <w:rFonts w:ascii="黑体" w:hAnsi="黑体" w:eastAsia="黑体" w:cs="黑体"/>
                          <w:sz w:val="28"/>
                        </w:rPr>
                        <w:t>XXXX-XX-XX 实施</w:t>
                      </w: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1905</wp:posOffset>
                </wp:positionH>
                <wp:positionV relativeFrom="paragraph">
                  <wp:posOffset>9217025</wp:posOffset>
                </wp:positionV>
                <wp:extent cx="6129020" cy="842010"/>
                <wp:effectExtent l="0" t="0" r="0" b="0"/>
                <wp:wrapNone/>
                <wp:docPr id="18" name="文本框 发布单位" title="发布单位"/>
                <wp:cNvGraphicFramePr/>
                <a:graphic xmlns:a="http://schemas.openxmlformats.org/drawingml/2006/main">
                  <a:graphicData uri="http://schemas.microsoft.com/office/word/2010/wordprocessingShape">
                    <wps:wsp>
                      <wps:cNvSpPr/>
                      <wps:spPr>
                        <a:xfrm>
                          <a:off x="0" y="0"/>
                          <a:ext cx="6129000" cy="842040"/>
                        </a:xfrm>
                        <a:prstGeom prst="rect">
                          <a:avLst/>
                        </a:prstGeom>
                        <a:noFill/>
                        <a:ln w="6350">
                          <a:noFill/>
                        </a:ln>
                      </wps:spPr>
                      <wps:style>
                        <a:lnRef idx="0">
                          <a:schemeClr val="accent1"/>
                        </a:lnRef>
                        <a:fillRef idx="0">
                          <a:schemeClr val="accent1"/>
                        </a:fillRef>
                        <a:effectRef idx="0">
                          <a:schemeClr val="accent1"/>
                        </a:effectRef>
                        <a:fontRef idx="minor"/>
                      </wps:style>
                      <wps:txbx>
                        <w:txbxContent>
                          <w:tbl>
                            <w:tblPr>
                              <w:tblStyle w:val="18"/>
                              <w:tblW w:w="6026" w:type="dxa"/>
                              <w:jc w:val="center"/>
                              <w:tblLayout w:type="fixed"/>
                              <w:tblCellMar>
                                <w:top w:w="85" w:type="dxa"/>
                                <w:left w:w="0" w:type="dxa"/>
                                <w:bottom w:w="85" w:type="dxa"/>
                                <w:right w:w="0" w:type="dxa"/>
                              </w:tblCellMar>
                            </w:tblPr>
                            <w:tblGrid>
                              <w:gridCol w:w="4428"/>
                              <w:gridCol w:w="1598"/>
                            </w:tblGrid>
                            <w:tr w14:paraId="697F2EF3">
                              <w:tblPrEx>
                                <w:tblCellMar>
                                  <w:top w:w="85" w:type="dxa"/>
                                  <w:left w:w="0" w:type="dxa"/>
                                  <w:bottom w:w="85" w:type="dxa"/>
                                  <w:right w:w="0" w:type="dxa"/>
                                </w:tblCellMar>
                              </w:tblPrEx>
                              <w:trPr>
                                <w:jc w:val="center"/>
                              </w:trPr>
                              <w:tc>
                                <w:tcPr>
                                  <w:tcW w:w="4428" w:type="dxa"/>
                                  <w:vAlign w:val="center"/>
                                </w:tcPr>
                                <w:p w14:paraId="6E1CD0EC">
                                  <w:pPr>
                                    <w:pStyle w:val="80"/>
                                    <w:widowControl w:val="0"/>
                                    <w:snapToGrid w:val="0"/>
                                    <w:spacing w:line="199" w:lineRule="auto"/>
                                    <w:jc w:val="distribute"/>
                                    <w:rPr>
                                      <w:spacing w:val="34"/>
                                      <w:w w:val="75"/>
                                    </w:rPr>
                                  </w:pPr>
                                  <w:r>
                                    <w:rPr>
                                      <w:rFonts w:ascii="黑体" w:hAnsi="黑体" w:eastAsia="黑体" w:cs="黑体"/>
                                      <w:sz w:val="36"/>
                                      <w:szCs w:val="36"/>
                                    </w:rPr>
                                    <w:t>中华人民共和国农业农村部</w:t>
                                  </w:r>
                                </w:p>
                              </w:tc>
                              <w:tc>
                                <w:tcPr>
                                  <w:tcW w:w="1598" w:type="dxa"/>
                                  <w:tcMar>
                                    <w:left w:w="510" w:type="dxa"/>
                                  </w:tcMar>
                                  <w:vAlign w:val="center"/>
                                </w:tcPr>
                                <w:p w14:paraId="4260C492">
                                  <w:pPr>
                                    <w:pStyle w:val="80"/>
                                    <w:widowControl w:val="0"/>
                                    <w:jc w:val="center"/>
                                  </w:pPr>
                                  <w:r>
                                    <w:rPr>
                                      <w:rFonts w:ascii="黑体" w:hAnsi="黑体" w:eastAsia="黑体" w:cs="黑体"/>
                                      <w:spacing w:val="85"/>
                                      <w:sz w:val="28"/>
                                      <w:szCs w:val="28"/>
                                    </w:rPr>
                                    <w:t>发布</w:t>
                                  </w:r>
                                </w:p>
                              </w:tc>
                            </w:tr>
                          </w:tbl>
                          <w:p w14:paraId="4C40F8D7">
                            <w:pPr>
                              <w:pStyle w:val="80"/>
                            </w:pPr>
                          </w:p>
                        </w:txbxContent>
                      </wps:txbx>
                      <wps:bodyPr vert="horz" lIns="36360" tIns="0" rIns="36360" bIns="0" anchor="ctr">
                        <a:noAutofit/>
                      </wps:bodyPr>
                    </wps:wsp>
                  </a:graphicData>
                </a:graphic>
              </wp:anchor>
            </w:drawing>
          </mc:Choice>
          <mc:Fallback>
            <w:pict>
              <v:rect id="文本框 发布单位" o:spid="_x0000_s1026" o:spt="1" style="position:absolute;left:0pt;margin-left:0.15pt;margin-top:725.75pt;height:66.3pt;width:482.6pt;z-index:251660288;v-text-anchor:middle;mso-width-relative:page;mso-height-relative:page;" filled="f" stroked="f" coordsize="21600,21600" o:allowincell="f" o:gfxdata="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lWycdQAAAAKAQAADwAAAAAAAAABACAAAAAiAAAAZHJzL2Rvd25yZXYueG1sUEsBAhQAFAAAAAgA&#10;h07iQOWDg3vwAQAAwQMAAA4AAAAAAAAAAQAgAAAAIwEAAGRycy9lMm9Eb2MueG1sUEsFBgAAAAAG&#10;AAYAWQEAAIUFAAAAAA==&#10;">
                <v:fill on="f" focussize="0,0"/>
                <v:stroke on="f" weight="0.5pt"/>
                <v:imagedata o:title=""/>
                <o:lock v:ext="edit" aspectratio="f"/>
                <v:textbox inset="1.01mm,0mm,1.01mm,0mm">
                  <w:txbxContent>
                    <w:tbl>
                      <w:tblPr>
                        <w:tblStyle w:val="18"/>
                        <w:tblW w:w="6026" w:type="dxa"/>
                        <w:jc w:val="center"/>
                        <w:tblLayout w:type="fixed"/>
                        <w:tblCellMar>
                          <w:top w:w="85" w:type="dxa"/>
                          <w:left w:w="0" w:type="dxa"/>
                          <w:bottom w:w="85" w:type="dxa"/>
                          <w:right w:w="0" w:type="dxa"/>
                        </w:tblCellMar>
                      </w:tblPr>
                      <w:tblGrid>
                        <w:gridCol w:w="4428"/>
                        <w:gridCol w:w="1598"/>
                      </w:tblGrid>
                      <w:tr w14:paraId="697F2EF3">
                        <w:tblPrEx>
                          <w:tblCellMar>
                            <w:top w:w="85" w:type="dxa"/>
                            <w:left w:w="0" w:type="dxa"/>
                            <w:bottom w:w="85" w:type="dxa"/>
                            <w:right w:w="0" w:type="dxa"/>
                          </w:tblCellMar>
                        </w:tblPrEx>
                        <w:trPr>
                          <w:jc w:val="center"/>
                        </w:trPr>
                        <w:tc>
                          <w:tcPr>
                            <w:tcW w:w="4428" w:type="dxa"/>
                            <w:vAlign w:val="center"/>
                          </w:tcPr>
                          <w:p w14:paraId="6E1CD0EC">
                            <w:pPr>
                              <w:pStyle w:val="80"/>
                              <w:widowControl w:val="0"/>
                              <w:snapToGrid w:val="0"/>
                              <w:spacing w:line="199" w:lineRule="auto"/>
                              <w:jc w:val="distribute"/>
                              <w:rPr>
                                <w:spacing w:val="34"/>
                                <w:w w:val="75"/>
                              </w:rPr>
                            </w:pPr>
                            <w:r>
                              <w:rPr>
                                <w:rFonts w:ascii="黑体" w:hAnsi="黑体" w:eastAsia="黑体" w:cs="黑体"/>
                                <w:sz w:val="36"/>
                                <w:szCs w:val="36"/>
                              </w:rPr>
                              <w:t>中华人民共和国农业农村部</w:t>
                            </w:r>
                          </w:p>
                        </w:tc>
                        <w:tc>
                          <w:tcPr>
                            <w:tcW w:w="1598" w:type="dxa"/>
                            <w:tcMar>
                              <w:left w:w="510" w:type="dxa"/>
                            </w:tcMar>
                            <w:vAlign w:val="center"/>
                          </w:tcPr>
                          <w:p w14:paraId="4260C492">
                            <w:pPr>
                              <w:pStyle w:val="80"/>
                              <w:widowControl w:val="0"/>
                              <w:jc w:val="center"/>
                            </w:pPr>
                            <w:r>
                              <w:rPr>
                                <w:rFonts w:ascii="黑体" w:hAnsi="黑体" w:eastAsia="黑体" w:cs="黑体"/>
                                <w:spacing w:val="85"/>
                                <w:sz w:val="28"/>
                                <w:szCs w:val="28"/>
                              </w:rPr>
                              <w:t>发布</w:t>
                            </w:r>
                          </w:p>
                        </w:tc>
                      </w:tr>
                    </w:tbl>
                    <w:p w14:paraId="4C40F8D7">
                      <w:pPr>
                        <w:pStyle w:val="80"/>
                      </w:pPr>
                    </w:p>
                  </w:txbxContent>
                </v:textbox>
              </v:rect>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1270</wp:posOffset>
                </wp:positionH>
                <wp:positionV relativeFrom="paragraph">
                  <wp:posOffset>2344420</wp:posOffset>
                </wp:positionV>
                <wp:extent cx="6124575" cy="635"/>
                <wp:effectExtent l="0" t="3810" r="0" b="3175"/>
                <wp:wrapNone/>
                <wp:docPr id="20" name="上横线"/>
                <wp:cNvGraphicFramePr/>
                <a:graphic xmlns:a="http://schemas.openxmlformats.org/drawingml/2006/main">
                  <a:graphicData uri="http://schemas.microsoft.com/office/word/2010/wordprocessingShape">
                    <wps:wsp>
                      <wps:cNvCnPr/>
                      <wps:spPr>
                        <a:xfrm>
                          <a:off x="0" y="0"/>
                          <a:ext cx="6124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上横线" o:spid="_x0000_s1026" o:spt="20" style="position:absolute;left:0pt;margin-left:0.1pt;margin-top:184.6pt;height:0.05pt;width:482.25pt;z-index:251660288;mso-width-relative:page;mso-height-relative:page;" filled="f" stroked="t" coordsize="21600,21600" o:allowincell="f" o:gfxdata="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LiQa1gAAAAgBAAAPAAAAAAAA&#10;AAEAIAAAACIAAABkcnMvZG93bnJldi54bWxQSwECFAAUAAAACACHTuJAc2QqlNsBAACsAwAADgAA&#10;AAAAAAABACAAAAAlAQAAZHJzL2Uyb0RvYy54bWxQSwUGAAAAAAYABgBZAQAAcgUAAAAA&#10;">
                <v:fill on="f" focussize="0,0"/>
                <v:stroke weight="0.5pt" color="#000000 [3200]" miterlimit="8" joinstyle="miter"/>
                <v:imagedata o:title=""/>
                <o:lock v:ext="edit" aspectratio="f"/>
              </v:line>
            </w:pict>
          </mc:Fallback>
        </mc:AlternateContent>
      </w:r>
      <w:r>
        <w:rPr>
          <w:rFonts w:ascii="等线" w:hAnsi="等线"/>
        </w:rPr>
        <mc:AlternateContent>
          <mc:Choice Requires="wps">
            <w:drawing>
              <wp:anchor distT="0" distB="0" distL="0" distR="0" simplePos="0" relativeHeight="251660288" behindDoc="0" locked="0" layoutInCell="0" allowOverlap="1">
                <wp:simplePos x="0" y="0"/>
                <wp:positionH relativeFrom="column">
                  <wp:posOffset>-7620</wp:posOffset>
                </wp:positionH>
                <wp:positionV relativeFrom="paragraph">
                  <wp:posOffset>8877300</wp:posOffset>
                </wp:positionV>
                <wp:extent cx="6136005" cy="635"/>
                <wp:effectExtent l="0" t="6350" r="0" b="6350"/>
                <wp:wrapNone/>
                <wp:docPr id="21" name="下横线"/>
                <wp:cNvGraphicFramePr/>
                <a:graphic xmlns:a="http://schemas.openxmlformats.org/drawingml/2006/main">
                  <a:graphicData uri="http://schemas.microsoft.com/office/word/2010/wordprocessingShape">
                    <wps:wsp>
                      <wps:cNvCnPr/>
                      <wps:spPr>
                        <a:xfrm>
                          <a:off x="0" y="0"/>
                          <a:ext cx="6135840" cy="720"/>
                        </a:xfrm>
                        <a:prstGeom prst="line">
                          <a:avLst/>
                        </a:prstGeom>
                        <a:ln w="12700">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下横线" o:spid="_x0000_s1026" o:spt="20" style="position:absolute;left:0pt;margin-left:-0.6pt;margin-top:699pt;height:0.05pt;width:483.15pt;z-index:251660288;mso-width-relative:page;mso-height-relative:page;" filled="f" stroked="t" coordsize="21600,21600" o:allowincell="f" o:gfxdata="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zWNgtoAAAAMAQAA&#10;DwAAAAAAAAABACAAAAAiAAAAZHJzL2Rvd25yZXYueG1sUEsBAhQAFAAAAAgAh07iQMKosYreAQAA&#10;rQMAAA4AAAAAAAAAAQAgAAAAKQEAAGRycy9lMm9Eb2MueG1sUEsFBgAAAAAGAAYAWQEAAHkFAAAA&#10;AA==&#10;">
                <v:fill on="f" focussize="0,0"/>
                <v:stroke weight="1pt" color="#000000 [3200]" miterlimit="8" joinstyle="miter"/>
                <v:imagedata o:title=""/>
                <o:lock v:ext="edit" aspectratio="f"/>
              </v:line>
            </w:pict>
          </mc:Fallback>
        </mc:AlternateContent>
      </w:r>
    </w:p>
    <w:p w14:paraId="1BCCBA4C">
      <w:pPr>
        <w:pStyle w:val="2"/>
        <w:spacing w:before="20" w:after="20" w:line="240" w:lineRule="auto"/>
        <w:jc w:val="center"/>
        <w:rPr>
          <w:rFonts w:ascii="黑体" w:hAnsi="黑体" w:eastAsia="黑体"/>
          <w:b w:val="0"/>
          <w:sz w:val="21"/>
          <w:szCs w:val="21"/>
        </w:rPr>
      </w:pPr>
      <w:bookmarkStart w:id="0" w:name="_Toc9380"/>
      <w:bookmarkStart w:id="1" w:name="_Toc20570"/>
      <w:bookmarkStart w:id="2" w:name="_Toc27499"/>
      <w:bookmarkStart w:id="3" w:name="_Toc26081"/>
      <w:r>
        <w:rPr>
          <w:rFonts w:ascii="黑体" w:hAnsi="黑体" w:eastAsia="黑体"/>
          <w:b w:val="0"/>
          <w:sz w:val="21"/>
          <w:szCs w:val="21"/>
        </w:rPr>
        <w:t>目</w:t>
      </w:r>
      <w:r>
        <w:rPr>
          <w:rFonts w:ascii="黑体" w:hAnsi="黑体" w:eastAsia="黑体" w:cs="MS Mincho"/>
          <w:b w:val="0"/>
          <w:sz w:val="21"/>
          <w:szCs w:val="21"/>
        </w:rPr>
        <w:t>  </w:t>
      </w:r>
      <w:r>
        <w:rPr>
          <w:rFonts w:ascii="黑体" w:hAnsi="黑体" w:eastAsia="黑体"/>
          <w:b w:val="0"/>
          <w:sz w:val="21"/>
          <w:szCs w:val="21"/>
        </w:rPr>
        <w:t>次</w:t>
      </w:r>
      <w:bookmarkEnd w:id="0"/>
      <w:bookmarkEnd w:id="1"/>
      <w:bookmarkEnd w:id="2"/>
      <w:bookmarkEnd w:id="3"/>
    </w:p>
    <w:p w14:paraId="1C318C6A">
      <w:pPr>
        <w:pStyle w:val="12"/>
        <w:tabs>
          <w:tab w:val="right" w:leader="dot" w:pos="9355"/>
          <w:tab w:val="clear" w:pos="9241"/>
        </w:tabs>
      </w:pPr>
      <w:r>
        <w:fldChar w:fldCharType="begin"/>
      </w:r>
      <w:r>
        <w:instrText xml:space="preserve">TOC \o "1-4" \h \u </w:instrText>
      </w:r>
      <w:r>
        <w:fldChar w:fldCharType="separate"/>
      </w:r>
      <w:r>
        <w:fldChar w:fldCharType="begin"/>
      </w:r>
      <w:r>
        <w:instrText xml:space="preserve"> HYPERLINK \l _Toc20570 </w:instrText>
      </w:r>
      <w:r>
        <w:fldChar w:fldCharType="separate"/>
      </w:r>
      <w:r>
        <w:rPr>
          <w:rFonts w:ascii="黑体" w:hAnsi="黑体" w:eastAsia="黑体"/>
          <w:szCs w:val="21"/>
        </w:rPr>
        <w:t>目</w:t>
      </w:r>
      <w:r>
        <w:rPr>
          <w:rFonts w:ascii="黑体" w:hAnsi="黑体" w:eastAsia="黑体" w:cs="MS Mincho"/>
          <w:szCs w:val="21"/>
        </w:rPr>
        <w:t>  </w:t>
      </w:r>
      <w:r>
        <w:rPr>
          <w:rFonts w:ascii="黑体" w:hAnsi="黑体" w:eastAsia="黑体"/>
          <w:szCs w:val="21"/>
        </w:rPr>
        <w:t>次</w:t>
      </w:r>
      <w:r>
        <w:tab/>
      </w:r>
      <w:r>
        <w:fldChar w:fldCharType="begin"/>
      </w:r>
      <w:r>
        <w:instrText xml:space="preserve"> PAGEREF _Toc20570 \h </w:instrText>
      </w:r>
      <w:r>
        <w:fldChar w:fldCharType="separate"/>
      </w:r>
      <w:r>
        <w:t>I</w:t>
      </w:r>
      <w:r>
        <w:fldChar w:fldCharType="end"/>
      </w:r>
      <w:r>
        <w:fldChar w:fldCharType="end"/>
      </w:r>
    </w:p>
    <w:p w14:paraId="6EC82432">
      <w:pPr>
        <w:pStyle w:val="12"/>
        <w:tabs>
          <w:tab w:val="right" w:leader="dot" w:pos="9355"/>
          <w:tab w:val="clear" w:pos="9241"/>
        </w:tabs>
      </w:pPr>
      <w:r>
        <w:fldChar w:fldCharType="begin"/>
      </w:r>
      <w:r>
        <w:instrText xml:space="preserve"> HYPERLINK \l _Toc587 </w:instrText>
      </w:r>
      <w:r>
        <w:fldChar w:fldCharType="separate"/>
      </w:r>
      <w:r>
        <w:rPr>
          <w:rFonts w:cs="黑体"/>
        </w:rPr>
        <w:t>前</w:t>
      </w:r>
      <w:r>
        <w:rPr>
          <w:rFonts w:ascii="MS Mincho" w:hAnsi="MS Mincho" w:eastAsia="MS Mincho" w:cs="MS Mincho"/>
        </w:rPr>
        <w:t>  </w:t>
      </w:r>
      <w:r>
        <w:rPr>
          <w:rFonts w:cs="黑体"/>
        </w:rPr>
        <w:t>言</w:t>
      </w:r>
      <w:r>
        <w:tab/>
      </w:r>
      <w:r>
        <w:fldChar w:fldCharType="begin"/>
      </w:r>
      <w:r>
        <w:instrText xml:space="preserve"> PAGEREF _Toc587 \h </w:instrText>
      </w:r>
      <w:r>
        <w:fldChar w:fldCharType="separate"/>
      </w:r>
      <w:r>
        <w:t>IV</w:t>
      </w:r>
      <w:r>
        <w:fldChar w:fldCharType="end"/>
      </w:r>
      <w:r>
        <w:fldChar w:fldCharType="end"/>
      </w:r>
    </w:p>
    <w:p w14:paraId="7D1B4E77">
      <w:pPr>
        <w:pStyle w:val="12"/>
        <w:tabs>
          <w:tab w:val="right" w:leader="dot" w:pos="9355"/>
          <w:tab w:val="clear" w:pos="9241"/>
        </w:tabs>
      </w:pPr>
      <w:r>
        <w:fldChar w:fldCharType="begin"/>
      </w:r>
      <w:r>
        <w:instrText xml:space="preserve"> HYPERLINK \l _Toc16345 </w:instrText>
      </w:r>
      <w:r>
        <w:fldChar w:fldCharType="separate"/>
      </w:r>
      <w:r>
        <w:rPr>
          <w:rFonts w:ascii="黑体" w:hAnsi="黑体" w:eastAsia="黑体" w:cs="黑体"/>
          <w:szCs w:val="21"/>
        </w:rPr>
        <w:t xml:space="preserve">1 </w:t>
      </w:r>
      <w:r>
        <w:rPr>
          <w:rFonts w:cs="黑体"/>
          <w:szCs w:val="21"/>
        </w:rPr>
        <w:t>范围</w:t>
      </w:r>
      <w:r>
        <w:tab/>
      </w:r>
      <w:r>
        <w:fldChar w:fldCharType="begin"/>
      </w:r>
      <w:r>
        <w:instrText xml:space="preserve"> PAGEREF _Toc16345 \h </w:instrText>
      </w:r>
      <w:r>
        <w:fldChar w:fldCharType="separate"/>
      </w:r>
      <w:r>
        <w:t>1</w:t>
      </w:r>
      <w:r>
        <w:fldChar w:fldCharType="end"/>
      </w:r>
      <w:r>
        <w:fldChar w:fldCharType="end"/>
      </w:r>
    </w:p>
    <w:p w14:paraId="5F238E78">
      <w:pPr>
        <w:pStyle w:val="12"/>
        <w:tabs>
          <w:tab w:val="right" w:leader="dot" w:pos="9355"/>
          <w:tab w:val="clear" w:pos="9241"/>
        </w:tabs>
      </w:pPr>
      <w:r>
        <w:fldChar w:fldCharType="begin"/>
      </w:r>
      <w:r>
        <w:instrText xml:space="preserve"> HYPERLINK \l _Toc28738 </w:instrText>
      </w:r>
      <w:r>
        <w:fldChar w:fldCharType="separate"/>
      </w:r>
      <w:r>
        <w:rPr>
          <w:rFonts w:ascii="黑体" w:hAnsi="黑体" w:eastAsia="黑体" w:cs="黑体"/>
          <w:szCs w:val="21"/>
        </w:rPr>
        <w:t xml:space="preserve">2 </w:t>
      </w:r>
      <w:r>
        <w:rPr>
          <w:rFonts w:cs="黑体"/>
          <w:szCs w:val="21"/>
        </w:rPr>
        <w:t>规范性引用文件</w:t>
      </w:r>
      <w:r>
        <w:tab/>
      </w:r>
      <w:r>
        <w:fldChar w:fldCharType="begin"/>
      </w:r>
      <w:r>
        <w:instrText xml:space="preserve"> PAGEREF _Toc28738 \h </w:instrText>
      </w:r>
      <w:r>
        <w:fldChar w:fldCharType="separate"/>
      </w:r>
      <w:r>
        <w:t>1</w:t>
      </w:r>
      <w:r>
        <w:fldChar w:fldCharType="end"/>
      </w:r>
      <w:r>
        <w:fldChar w:fldCharType="end"/>
      </w:r>
    </w:p>
    <w:p w14:paraId="0B64653B">
      <w:pPr>
        <w:pStyle w:val="12"/>
        <w:tabs>
          <w:tab w:val="right" w:leader="dot" w:pos="9355"/>
          <w:tab w:val="clear" w:pos="9241"/>
        </w:tabs>
      </w:pPr>
      <w:r>
        <w:fldChar w:fldCharType="begin"/>
      </w:r>
      <w:r>
        <w:instrText xml:space="preserve"> HYPERLINK \l _Toc14911 </w:instrText>
      </w:r>
      <w:r>
        <w:fldChar w:fldCharType="separate"/>
      </w:r>
      <w:r>
        <w:rPr>
          <w:rFonts w:ascii="黑体" w:hAnsi="黑体" w:eastAsia="黑体" w:cs="黑体"/>
          <w:szCs w:val="21"/>
        </w:rPr>
        <w:t xml:space="preserve">3 </w:t>
      </w:r>
      <w:r>
        <w:rPr>
          <w:rFonts w:cs="黑体"/>
          <w:szCs w:val="21"/>
        </w:rPr>
        <w:t>术语和定义</w:t>
      </w:r>
      <w:r>
        <w:tab/>
      </w:r>
      <w:r>
        <w:fldChar w:fldCharType="begin"/>
      </w:r>
      <w:r>
        <w:instrText xml:space="preserve"> PAGEREF _Toc14911 \h </w:instrText>
      </w:r>
      <w:r>
        <w:fldChar w:fldCharType="separate"/>
      </w:r>
      <w:r>
        <w:t>1</w:t>
      </w:r>
      <w:r>
        <w:fldChar w:fldCharType="end"/>
      </w:r>
      <w:r>
        <w:fldChar w:fldCharType="end"/>
      </w:r>
    </w:p>
    <w:p w14:paraId="78F0511F">
      <w:pPr>
        <w:pStyle w:val="16"/>
        <w:tabs>
          <w:tab w:val="right" w:leader="dot" w:pos="9355"/>
          <w:tab w:val="clear" w:pos="9241"/>
        </w:tabs>
      </w:pPr>
      <w:r>
        <w:fldChar w:fldCharType="begin"/>
      </w:r>
      <w:r>
        <w:instrText xml:space="preserve"> HYPERLINK \l _Toc18256 </w:instrText>
      </w:r>
      <w:r>
        <w:fldChar w:fldCharType="separate"/>
      </w:r>
      <w:r>
        <w:rPr>
          <w:rFonts w:ascii="黑体" w:hAnsi="黑体" w:eastAsia="黑体" w:cs="黑体"/>
          <w:szCs w:val="21"/>
        </w:rPr>
        <w:t xml:space="preserve">3.1 </w:t>
      </w:r>
      <w:r>
        <w:rPr>
          <w:rFonts w:cs="黑体"/>
          <w:szCs w:val="21"/>
        </w:rPr>
        <w:t>外植体</w:t>
      </w:r>
      <w:r>
        <w:rPr>
          <w:rFonts w:ascii="Times New Roman" w:hAnsi="Times New Roman" w:eastAsia="Times New Roman"/>
          <w:szCs w:val="21"/>
        </w:rPr>
        <w:t>explant</w:t>
      </w:r>
      <w:r>
        <w:tab/>
      </w:r>
      <w:r>
        <w:fldChar w:fldCharType="begin"/>
      </w:r>
      <w:r>
        <w:instrText xml:space="preserve"> PAGEREF _Toc18256 \h </w:instrText>
      </w:r>
      <w:r>
        <w:fldChar w:fldCharType="separate"/>
      </w:r>
      <w:r>
        <w:t>1</w:t>
      </w:r>
      <w:r>
        <w:fldChar w:fldCharType="end"/>
      </w:r>
      <w:r>
        <w:fldChar w:fldCharType="end"/>
      </w:r>
    </w:p>
    <w:p w14:paraId="1A71C2DA">
      <w:pPr>
        <w:pStyle w:val="16"/>
        <w:tabs>
          <w:tab w:val="right" w:leader="dot" w:pos="9355"/>
          <w:tab w:val="clear" w:pos="9241"/>
        </w:tabs>
      </w:pPr>
      <w:r>
        <w:fldChar w:fldCharType="begin"/>
      </w:r>
      <w:r>
        <w:instrText xml:space="preserve"> HYPERLINK \l _Toc10478 </w:instrText>
      </w:r>
      <w:r>
        <w:fldChar w:fldCharType="separate"/>
      </w:r>
      <w:r>
        <w:rPr>
          <w:rFonts w:ascii="黑体" w:hAnsi="黑体" w:eastAsia="黑体" w:cs="黑体"/>
          <w:szCs w:val="21"/>
        </w:rPr>
        <w:t xml:space="preserve">3.2 </w:t>
      </w:r>
      <w:r>
        <w:rPr>
          <w:rFonts w:cs="黑体"/>
          <w:szCs w:val="21"/>
        </w:rPr>
        <w:t>继代</w:t>
      </w:r>
      <w:r>
        <w:rPr>
          <w:rFonts w:ascii="Times New Roman" w:hAnsi="Times New Roman" w:eastAsia="Times New Roman"/>
          <w:szCs w:val="21"/>
        </w:rPr>
        <w:t>subculture</w:t>
      </w:r>
      <w:r>
        <w:tab/>
      </w:r>
      <w:r>
        <w:fldChar w:fldCharType="begin"/>
      </w:r>
      <w:r>
        <w:instrText xml:space="preserve"> PAGEREF _Toc10478 \h </w:instrText>
      </w:r>
      <w:r>
        <w:fldChar w:fldCharType="separate"/>
      </w:r>
      <w:r>
        <w:t>1</w:t>
      </w:r>
      <w:r>
        <w:fldChar w:fldCharType="end"/>
      </w:r>
      <w:r>
        <w:fldChar w:fldCharType="end"/>
      </w:r>
    </w:p>
    <w:p w14:paraId="3E76736C">
      <w:pPr>
        <w:pStyle w:val="16"/>
        <w:tabs>
          <w:tab w:val="right" w:leader="dot" w:pos="9355"/>
          <w:tab w:val="clear" w:pos="9241"/>
        </w:tabs>
      </w:pPr>
      <w:r>
        <w:fldChar w:fldCharType="begin"/>
      </w:r>
      <w:r>
        <w:instrText xml:space="preserve"> HYPERLINK \l _Toc19404 </w:instrText>
      </w:r>
      <w:r>
        <w:fldChar w:fldCharType="separate"/>
      </w:r>
      <w:r>
        <w:rPr>
          <w:rFonts w:ascii="黑体" w:hAnsi="黑体" w:eastAsia="黑体" w:cs="黑体"/>
          <w:szCs w:val="21"/>
        </w:rPr>
        <w:t xml:space="preserve">3.3 </w:t>
      </w:r>
      <w:r>
        <w:t>无害化（除害）</w:t>
      </w:r>
      <w:r>
        <w:rPr>
          <w:rFonts w:hint="default" w:ascii="Times New Roman" w:hAnsi="Times New Roman" w:cs="Times New Roman"/>
        </w:rPr>
        <w:t>deconta</w:t>
      </w:r>
      <w:r>
        <w:rPr>
          <w:rFonts w:hint="default" w:ascii="Times New Roman" w:hAnsi="Times New Roman" w:cs="Times New Roman"/>
          <w:lang w:val="en-US" w:eastAsia="zh-CN"/>
        </w:rPr>
        <w:t>min</w:t>
      </w:r>
      <w:r>
        <w:rPr>
          <w:rFonts w:hint="default" w:ascii="Times New Roman" w:hAnsi="Times New Roman" w:cs="Times New Roman"/>
        </w:rPr>
        <w:t>ation</w:t>
      </w:r>
      <w:r>
        <w:tab/>
      </w:r>
      <w:r>
        <w:fldChar w:fldCharType="begin"/>
      </w:r>
      <w:r>
        <w:instrText xml:space="preserve"> PAGEREF _Toc19404 \h </w:instrText>
      </w:r>
      <w:r>
        <w:fldChar w:fldCharType="separate"/>
      </w:r>
      <w:r>
        <w:t>1</w:t>
      </w:r>
      <w:r>
        <w:fldChar w:fldCharType="end"/>
      </w:r>
      <w:r>
        <w:fldChar w:fldCharType="end"/>
      </w:r>
    </w:p>
    <w:p w14:paraId="378CCBEA">
      <w:pPr>
        <w:pStyle w:val="16"/>
        <w:tabs>
          <w:tab w:val="right" w:leader="dot" w:pos="9355"/>
          <w:tab w:val="clear" w:pos="9241"/>
        </w:tabs>
      </w:pPr>
      <w:r>
        <w:fldChar w:fldCharType="begin"/>
      </w:r>
      <w:r>
        <w:instrText xml:space="preserve"> HYPERLINK \l _Toc9596 </w:instrText>
      </w:r>
      <w:r>
        <w:fldChar w:fldCharType="separate"/>
      </w:r>
      <w:r>
        <w:rPr>
          <w:rFonts w:ascii="黑体" w:hAnsi="黑体" w:eastAsia="黑体" w:cs="黑体"/>
          <w:szCs w:val="21"/>
        </w:rPr>
        <w:t xml:space="preserve">3.4 </w:t>
      </w:r>
      <w:r>
        <w:t>繁育</w:t>
      </w:r>
      <w:r>
        <w:rPr>
          <w:rFonts w:hint="default" w:ascii="Times New Roman" w:hAnsi="Times New Roman" w:cs="Times New Roman"/>
        </w:rPr>
        <w:t>breeding</w:t>
      </w:r>
      <w:r>
        <w:tab/>
      </w:r>
      <w:r>
        <w:fldChar w:fldCharType="begin"/>
      </w:r>
      <w:r>
        <w:instrText xml:space="preserve"> PAGEREF _Toc9596 \h </w:instrText>
      </w:r>
      <w:r>
        <w:fldChar w:fldCharType="separate"/>
      </w:r>
      <w:r>
        <w:t>1</w:t>
      </w:r>
      <w:r>
        <w:fldChar w:fldCharType="end"/>
      </w:r>
      <w:r>
        <w:fldChar w:fldCharType="end"/>
      </w:r>
    </w:p>
    <w:p w14:paraId="5CEBB5F2">
      <w:pPr>
        <w:pStyle w:val="16"/>
        <w:tabs>
          <w:tab w:val="right" w:leader="dot" w:pos="9355"/>
          <w:tab w:val="clear" w:pos="9241"/>
        </w:tabs>
      </w:pPr>
      <w:r>
        <w:fldChar w:fldCharType="begin"/>
      </w:r>
      <w:r>
        <w:instrText xml:space="preserve"> HYPERLINK \l _Toc17729 </w:instrText>
      </w:r>
      <w:r>
        <w:fldChar w:fldCharType="separate"/>
      </w:r>
      <w:r>
        <w:rPr>
          <w:rFonts w:ascii="黑体" w:hAnsi="黑体" w:eastAsia="黑体" w:cs="黑体"/>
          <w:szCs w:val="21"/>
        </w:rPr>
        <w:t xml:space="preserve">3.5 </w:t>
      </w:r>
      <w:r>
        <w:rPr>
          <w:rFonts w:cs="黑体"/>
          <w:szCs w:val="21"/>
        </w:rPr>
        <w:t>挽救</w:t>
      </w:r>
      <w:r>
        <w:rPr>
          <w:rFonts w:hint="eastAsia" w:ascii="Times New Roman" w:hAnsi="Times New Roman" w:eastAsia="Times New Roman"/>
          <w:szCs w:val="21"/>
        </w:rPr>
        <w:t>rescue</w:t>
      </w:r>
      <w:r>
        <w:tab/>
      </w:r>
      <w:r>
        <w:fldChar w:fldCharType="begin"/>
      </w:r>
      <w:r>
        <w:instrText xml:space="preserve"> PAGEREF _Toc17729 \h </w:instrText>
      </w:r>
      <w:r>
        <w:fldChar w:fldCharType="separate"/>
      </w:r>
      <w:r>
        <w:t>1</w:t>
      </w:r>
      <w:r>
        <w:fldChar w:fldCharType="end"/>
      </w:r>
      <w:r>
        <w:fldChar w:fldCharType="end"/>
      </w:r>
    </w:p>
    <w:p w14:paraId="08492C86">
      <w:pPr>
        <w:pStyle w:val="16"/>
        <w:tabs>
          <w:tab w:val="right" w:leader="dot" w:pos="9355"/>
          <w:tab w:val="clear" w:pos="9241"/>
        </w:tabs>
      </w:pPr>
      <w:r>
        <w:fldChar w:fldCharType="begin"/>
      </w:r>
      <w:r>
        <w:instrText xml:space="preserve"> HYPERLINK \l _Toc17509 </w:instrText>
      </w:r>
      <w:r>
        <w:fldChar w:fldCharType="separate"/>
      </w:r>
      <w:r>
        <w:rPr>
          <w:rFonts w:ascii="黑体" w:hAnsi="黑体" w:eastAsia="黑体" w:cs="黑体"/>
          <w:szCs w:val="21"/>
        </w:rPr>
        <w:t xml:space="preserve">3.6 </w:t>
      </w:r>
      <w:r>
        <w:rPr>
          <w:rFonts w:cs="黑体"/>
          <w:szCs w:val="21"/>
        </w:rPr>
        <w:t>常温</w:t>
      </w:r>
      <w:r>
        <w:t>保存</w:t>
      </w:r>
      <w:r>
        <w:rPr>
          <w:rFonts w:hint="default" w:ascii="Times New Roman" w:hAnsi="Times New Roman" w:cs="Times New Roman"/>
          <w:bCs/>
        </w:rPr>
        <w:t>normal</w:t>
      </w:r>
      <w:r>
        <w:rPr>
          <w:rFonts w:hint="default" w:ascii="Times New Roman" w:hAnsi="Times New Roman" w:cs="Times New Roman"/>
          <w:bCs/>
          <w:lang w:val="en-US"/>
        </w:rPr>
        <w:t xml:space="preserve"> </w:t>
      </w:r>
      <w:r>
        <w:rPr>
          <w:rFonts w:hint="default" w:ascii="Times New Roman" w:hAnsi="Times New Roman" w:cs="Times New Roman"/>
          <w:bCs/>
        </w:rPr>
        <w:t>temperature</w:t>
      </w:r>
      <w:r>
        <w:rPr>
          <w:rFonts w:hint="default" w:ascii="Times New Roman" w:hAnsi="Times New Roman" w:cs="Times New Roman"/>
          <w:bCs/>
          <w:lang w:val="en-US"/>
        </w:rPr>
        <w:t xml:space="preserve"> </w:t>
      </w:r>
      <w:r>
        <w:rPr>
          <w:rFonts w:hint="default" w:ascii="Times New Roman" w:hAnsi="Times New Roman" w:cs="Times New Roman"/>
          <w:bCs/>
        </w:rPr>
        <w:t>conservation</w:t>
      </w:r>
      <w:r>
        <w:tab/>
      </w:r>
      <w:r>
        <w:fldChar w:fldCharType="begin"/>
      </w:r>
      <w:r>
        <w:instrText xml:space="preserve"> PAGEREF _Toc17509 \h </w:instrText>
      </w:r>
      <w:r>
        <w:fldChar w:fldCharType="separate"/>
      </w:r>
      <w:r>
        <w:t>1</w:t>
      </w:r>
      <w:r>
        <w:fldChar w:fldCharType="end"/>
      </w:r>
      <w:r>
        <w:fldChar w:fldCharType="end"/>
      </w:r>
    </w:p>
    <w:p w14:paraId="3BB7F972">
      <w:pPr>
        <w:pStyle w:val="16"/>
        <w:tabs>
          <w:tab w:val="right" w:leader="dot" w:pos="9355"/>
          <w:tab w:val="clear" w:pos="9241"/>
        </w:tabs>
      </w:pPr>
      <w:r>
        <w:fldChar w:fldCharType="begin"/>
      </w:r>
      <w:r>
        <w:instrText xml:space="preserve"> HYPERLINK \l _Toc15570 </w:instrText>
      </w:r>
      <w:r>
        <w:fldChar w:fldCharType="separate"/>
      </w:r>
      <w:r>
        <w:rPr>
          <w:rFonts w:ascii="黑体" w:hAnsi="黑体" w:eastAsia="黑体" w:cs="黑体"/>
          <w:szCs w:val="21"/>
        </w:rPr>
        <w:t xml:space="preserve">3.7 </w:t>
      </w:r>
      <w:r>
        <w:t>低温保存</w:t>
      </w:r>
      <w:r>
        <w:rPr>
          <w:rFonts w:hint="default" w:ascii="Times New Roman" w:hAnsi="Times New Roman" w:cs="Times New Roman"/>
          <w:bCs/>
        </w:rPr>
        <w:t>low</w:t>
      </w:r>
      <w:r>
        <w:rPr>
          <w:rFonts w:hint="default" w:ascii="Times New Roman" w:hAnsi="Times New Roman" w:cs="Times New Roman"/>
          <w:bCs/>
          <w:lang w:val="en-US"/>
        </w:rPr>
        <w:t xml:space="preserve"> </w:t>
      </w:r>
      <w:r>
        <w:rPr>
          <w:rFonts w:hint="default" w:ascii="Times New Roman" w:hAnsi="Times New Roman" w:cs="Times New Roman"/>
          <w:bCs/>
        </w:rPr>
        <w:t>temperature</w:t>
      </w:r>
      <w:r>
        <w:rPr>
          <w:rFonts w:hint="default" w:ascii="Times New Roman" w:hAnsi="Times New Roman" w:cs="Times New Roman"/>
          <w:bCs/>
          <w:lang w:val="en-US"/>
        </w:rPr>
        <w:t xml:space="preserve"> </w:t>
      </w:r>
      <w:r>
        <w:rPr>
          <w:rFonts w:hint="default" w:ascii="Times New Roman" w:hAnsi="Times New Roman" w:cs="Times New Roman"/>
          <w:bCs/>
        </w:rPr>
        <w:t>conservation</w:t>
      </w:r>
      <w:r>
        <w:tab/>
      </w:r>
      <w:r>
        <w:fldChar w:fldCharType="begin"/>
      </w:r>
      <w:r>
        <w:instrText xml:space="preserve"> PAGEREF _Toc15570 \h </w:instrText>
      </w:r>
      <w:r>
        <w:fldChar w:fldCharType="separate"/>
      </w:r>
      <w:r>
        <w:t>1</w:t>
      </w:r>
      <w:r>
        <w:fldChar w:fldCharType="end"/>
      </w:r>
      <w:r>
        <w:fldChar w:fldCharType="end"/>
      </w:r>
    </w:p>
    <w:p w14:paraId="4640CCD7">
      <w:pPr>
        <w:pStyle w:val="16"/>
        <w:tabs>
          <w:tab w:val="right" w:leader="dot" w:pos="9355"/>
          <w:tab w:val="clear" w:pos="9241"/>
        </w:tabs>
      </w:pPr>
      <w:r>
        <w:fldChar w:fldCharType="begin"/>
      </w:r>
      <w:r>
        <w:instrText xml:space="preserve"> HYPERLINK \l _Toc32368 </w:instrText>
      </w:r>
      <w:r>
        <w:fldChar w:fldCharType="separate"/>
      </w:r>
      <w:r>
        <w:rPr>
          <w:rFonts w:ascii="黑体" w:hAnsi="黑体" w:eastAsia="黑体" w:cs="黑体"/>
          <w:szCs w:val="21"/>
        </w:rPr>
        <w:t xml:space="preserve">3.8 </w:t>
      </w:r>
      <w:r>
        <w:t>超低温保存</w:t>
      </w:r>
      <w:r>
        <w:rPr>
          <w:rFonts w:hint="default" w:ascii="Times New Roman" w:hAnsi="Times New Roman" w:cs="Times New Roman"/>
          <w:bCs/>
        </w:rPr>
        <w:t>cryopreservation</w:t>
      </w:r>
      <w:r>
        <w:tab/>
      </w:r>
      <w:r>
        <w:fldChar w:fldCharType="begin"/>
      </w:r>
      <w:r>
        <w:instrText xml:space="preserve"> PAGEREF _Toc32368 \h </w:instrText>
      </w:r>
      <w:r>
        <w:fldChar w:fldCharType="separate"/>
      </w:r>
      <w:r>
        <w:t>1</w:t>
      </w:r>
      <w:r>
        <w:fldChar w:fldCharType="end"/>
      </w:r>
      <w:r>
        <w:fldChar w:fldCharType="end"/>
      </w:r>
    </w:p>
    <w:p w14:paraId="2367B100">
      <w:pPr>
        <w:pStyle w:val="12"/>
        <w:tabs>
          <w:tab w:val="right" w:leader="dot" w:pos="9355"/>
          <w:tab w:val="clear" w:pos="9241"/>
        </w:tabs>
      </w:pPr>
      <w:r>
        <w:fldChar w:fldCharType="begin"/>
      </w:r>
      <w:r>
        <w:instrText xml:space="preserve"> HYPERLINK \l _Toc21395 </w:instrText>
      </w:r>
      <w:r>
        <w:fldChar w:fldCharType="separate"/>
      </w:r>
      <w:r>
        <w:rPr>
          <w:rFonts w:ascii="黑体" w:hAnsi="黑体" w:eastAsia="黑体" w:cs="黑体"/>
          <w:szCs w:val="21"/>
        </w:rPr>
        <w:t xml:space="preserve">4 </w:t>
      </w:r>
      <w:r>
        <w:rPr>
          <w:rFonts w:cs="黑体"/>
          <w:szCs w:val="21"/>
        </w:rPr>
        <w:t>基本要求</w:t>
      </w:r>
      <w:r>
        <w:tab/>
      </w:r>
      <w:r>
        <w:fldChar w:fldCharType="begin"/>
      </w:r>
      <w:r>
        <w:instrText xml:space="preserve"> PAGEREF _Toc21395 \h </w:instrText>
      </w:r>
      <w:r>
        <w:fldChar w:fldCharType="separate"/>
      </w:r>
      <w:r>
        <w:t>2</w:t>
      </w:r>
      <w:r>
        <w:fldChar w:fldCharType="end"/>
      </w:r>
      <w:r>
        <w:fldChar w:fldCharType="end"/>
      </w:r>
    </w:p>
    <w:p w14:paraId="2E1AC02E">
      <w:pPr>
        <w:pStyle w:val="12"/>
        <w:tabs>
          <w:tab w:val="right" w:leader="dot" w:pos="9355"/>
          <w:tab w:val="clear" w:pos="9241"/>
        </w:tabs>
      </w:pPr>
      <w:r>
        <w:fldChar w:fldCharType="begin"/>
      </w:r>
      <w:r>
        <w:instrText xml:space="preserve"> HYPERLINK \l _Toc30248 </w:instrText>
      </w:r>
      <w:r>
        <w:fldChar w:fldCharType="separate"/>
      </w:r>
      <w:r>
        <w:rPr>
          <w:rFonts w:hint="eastAsia" w:ascii="黑体" w:hAnsi="黑体" w:eastAsia="黑体" w:cs="黑体"/>
          <w:szCs w:val="21"/>
          <w:lang w:val="en-US" w:eastAsia="zh-CN"/>
        </w:rPr>
        <w:t xml:space="preserve">5 </w:t>
      </w:r>
      <w:r>
        <w:rPr>
          <w:rFonts w:hint="eastAsia" w:cs="黑体"/>
          <w:szCs w:val="21"/>
          <w:lang w:val="en-US" w:eastAsia="zh-CN"/>
        </w:rPr>
        <w:t>香蕉种质资源离体保存程序</w:t>
      </w:r>
      <w:r>
        <w:tab/>
      </w:r>
      <w:r>
        <w:fldChar w:fldCharType="begin"/>
      </w:r>
      <w:r>
        <w:instrText xml:space="preserve"> PAGEREF _Toc30248 \h </w:instrText>
      </w:r>
      <w:r>
        <w:fldChar w:fldCharType="separate"/>
      </w:r>
      <w:r>
        <w:t>2</w:t>
      </w:r>
      <w:r>
        <w:fldChar w:fldCharType="end"/>
      </w:r>
      <w:r>
        <w:fldChar w:fldCharType="end"/>
      </w:r>
    </w:p>
    <w:p w14:paraId="24B9DBA9">
      <w:pPr>
        <w:pStyle w:val="12"/>
        <w:tabs>
          <w:tab w:val="right" w:leader="dot" w:pos="9355"/>
          <w:tab w:val="clear" w:pos="9241"/>
        </w:tabs>
      </w:pPr>
      <w:r>
        <w:fldChar w:fldCharType="begin"/>
      </w:r>
      <w:r>
        <w:instrText xml:space="preserve"> HYPERLINK \l _Toc6301 </w:instrText>
      </w:r>
      <w:r>
        <w:fldChar w:fldCharType="separate"/>
      </w:r>
      <w:r>
        <w:rPr>
          <w:rFonts w:ascii="黑体" w:hAnsi="黑体" w:eastAsia="黑体" w:cs="黑体"/>
          <w:szCs w:val="21"/>
        </w:rPr>
        <w:t xml:space="preserve">6 </w:t>
      </w:r>
      <w:r>
        <w:rPr>
          <w:rFonts w:cs="黑体"/>
          <w:szCs w:val="21"/>
        </w:rPr>
        <w:t>资源的采集及包装</w:t>
      </w:r>
      <w:r>
        <w:tab/>
      </w:r>
      <w:r>
        <w:fldChar w:fldCharType="begin"/>
      </w:r>
      <w:r>
        <w:instrText xml:space="preserve"> PAGEREF _Toc6301 \h </w:instrText>
      </w:r>
      <w:r>
        <w:fldChar w:fldCharType="separate"/>
      </w:r>
      <w:r>
        <w:t>3</w:t>
      </w:r>
      <w:r>
        <w:fldChar w:fldCharType="end"/>
      </w:r>
      <w:r>
        <w:fldChar w:fldCharType="end"/>
      </w:r>
    </w:p>
    <w:p w14:paraId="1E0BD0BA">
      <w:pPr>
        <w:pStyle w:val="16"/>
        <w:tabs>
          <w:tab w:val="right" w:leader="dot" w:pos="9355"/>
          <w:tab w:val="clear" w:pos="9241"/>
        </w:tabs>
      </w:pPr>
      <w:r>
        <w:fldChar w:fldCharType="begin"/>
      </w:r>
      <w:r>
        <w:instrText xml:space="preserve"> HYPERLINK \l _Toc527 </w:instrText>
      </w:r>
      <w:r>
        <w:fldChar w:fldCharType="separate"/>
      </w:r>
      <w:r>
        <w:rPr>
          <w:rFonts w:ascii="黑体" w:hAnsi="黑体" w:eastAsia="黑体" w:cs="黑体"/>
          <w:szCs w:val="21"/>
        </w:rPr>
        <w:t xml:space="preserve">6.1 </w:t>
      </w:r>
      <w:r>
        <w:rPr>
          <w:rFonts w:cs="黑体"/>
          <w:szCs w:val="21"/>
        </w:rPr>
        <w:t>采集材料类型</w:t>
      </w:r>
      <w:r>
        <w:tab/>
      </w:r>
      <w:r>
        <w:fldChar w:fldCharType="begin"/>
      </w:r>
      <w:r>
        <w:instrText xml:space="preserve"> PAGEREF _Toc527 \h </w:instrText>
      </w:r>
      <w:r>
        <w:fldChar w:fldCharType="separate"/>
      </w:r>
      <w:r>
        <w:t>3</w:t>
      </w:r>
      <w:r>
        <w:fldChar w:fldCharType="end"/>
      </w:r>
      <w:r>
        <w:fldChar w:fldCharType="end"/>
      </w:r>
    </w:p>
    <w:p w14:paraId="6AE1482F">
      <w:pPr>
        <w:pStyle w:val="8"/>
        <w:tabs>
          <w:tab w:val="right" w:leader="dot" w:pos="9355"/>
          <w:tab w:val="clear" w:pos="9241"/>
        </w:tabs>
      </w:pPr>
      <w:r>
        <w:fldChar w:fldCharType="begin"/>
      </w:r>
      <w:r>
        <w:instrText xml:space="preserve"> HYPERLINK \l _Toc17654 </w:instrText>
      </w:r>
      <w:r>
        <w:fldChar w:fldCharType="separate"/>
      </w:r>
      <w:r>
        <w:rPr>
          <w:rFonts w:ascii="黑体" w:hAnsi="黑体" w:eastAsia="黑体" w:cs="黑体"/>
          <w:szCs w:val="21"/>
        </w:rPr>
        <w:t xml:space="preserve">6.1.2 </w:t>
      </w:r>
      <w:r>
        <w:rPr>
          <w:rFonts w:cs="黑体"/>
          <w:szCs w:val="21"/>
        </w:rPr>
        <w:t>果实</w:t>
      </w:r>
      <w:r>
        <w:tab/>
      </w:r>
      <w:r>
        <w:fldChar w:fldCharType="begin"/>
      </w:r>
      <w:r>
        <w:instrText xml:space="preserve"> PAGEREF _Toc17654 \h </w:instrText>
      </w:r>
      <w:r>
        <w:fldChar w:fldCharType="separate"/>
      </w:r>
      <w:r>
        <w:t>3</w:t>
      </w:r>
      <w:r>
        <w:fldChar w:fldCharType="end"/>
      </w:r>
      <w:r>
        <w:fldChar w:fldCharType="end"/>
      </w:r>
    </w:p>
    <w:p w14:paraId="5C5C44DF">
      <w:pPr>
        <w:pStyle w:val="8"/>
        <w:tabs>
          <w:tab w:val="right" w:leader="dot" w:pos="9355"/>
          <w:tab w:val="clear" w:pos="9241"/>
        </w:tabs>
      </w:pPr>
      <w:r>
        <w:fldChar w:fldCharType="begin"/>
      </w:r>
      <w:r>
        <w:instrText xml:space="preserve"> HYPERLINK \l _Toc27000 </w:instrText>
      </w:r>
      <w:r>
        <w:fldChar w:fldCharType="separate"/>
      </w:r>
      <w:r>
        <w:rPr>
          <w:rFonts w:hint="eastAsia" w:ascii="黑体" w:hAnsi="黑体" w:eastAsia="黑体" w:cs="黑体"/>
          <w:szCs w:val="21"/>
          <w:lang w:val="en-US" w:eastAsia="zh-CN"/>
        </w:rPr>
        <w:t xml:space="preserve">6.1.3 </w:t>
      </w:r>
      <w:r>
        <w:rPr>
          <w:rFonts w:hint="eastAsia" w:cs="黑体"/>
          <w:szCs w:val="21"/>
          <w:lang w:val="en-US" w:eastAsia="zh-CN"/>
        </w:rPr>
        <w:t>试管苗</w:t>
      </w:r>
      <w:r>
        <w:tab/>
      </w:r>
      <w:r>
        <w:fldChar w:fldCharType="begin"/>
      </w:r>
      <w:r>
        <w:instrText xml:space="preserve"> PAGEREF _Toc27000 \h </w:instrText>
      </w:r>
      <w:r>
        <w:fldChar w:fldCharType="separate"/>
      </w:r>
      <w:r>
        <w:t>3</w:t>
      </w:r>
      <w:r>
        <w:fldChar w:fldCharType="end"/>
      </w:r>
      <w:r>
        <w:fldChar w:fldCharType="end"/>
      </w:r>
    </w:p>
    <w:p w14:paraId="1BE134DB">
      <w:pPr>
        <w:pStyle w:val="16"/>
        <w:tabs>
          <w:tab w:val="right" w:leader="dot" w:pos="9355"/>
          <w:tab w:val="clear" w:pos="9241"/>
        </w:tabs>
      </w:pPr>
      <w:r>
        <w:fldChar w:fldCharType="begin"/>
      </w:r>
      <w:r>
        <w:instrText xml:space="preserve"> HYPERLINK \l _Toc13185 </w:instrText>
      </w:r>
      <w:r>
        <w:fldChar w:fldCharType="separate"/>
      </w:r>
      <w:r>
        <w:rPr>
          <w:rFonts w:ascii="黑体" w:hAnsi="黑体" w:eastAsia="黑体" w:cs="黑体"/>
          <w:szCs w:val="21"/>
        </w:rPr>
        <w:t xml:space="preserve">6.2 </w:t>
      </w:r>
      <w:r>
        <w:rPr>
          <w:rFonts w:cs="黑体"/>
          <w:szCs w:val="21"/>
        </w:rPr>
        <w:t>资源采集</w:t>
      </w:r>
      <w:r>
        <w:tab/>
      </w:r>
      <w:r>
        <w:fldChar w:fldCharType="begin"/>
      </w:r>
      <w:r>
        <w:instrText xml:space="preserve"> PAGEREF _Toc13185 \h </w:instrText>
      </w:r>
      <w:r>
        <w:fldChar w:fldCharType="separate"/>
      </w:r>
      <w:r>
        <w:t>3</w:t>
      </w:r>
      <w:r>
        <w:fldChar w:fldCharType="end"/>
      </w:r>
      <w:r>
        <w:fldChar w:fldCharType="end"/>
      </w:r>
    </w:p>
    <w:p w14:paraId="061A6A18">
      <w:pPr>
        <w:pStyle w:val="8"/>
        <w:tabs>
          <w:tab w:val="right" w:leader="dot" w:pos="9355"/>
          <w:tab w:val="clear" w:pos="9241"/>
        </w:tabs>
      </w:pPr>
      <w:r>
        <w:fldChar w:fldCharType="begin"/>
      </w:r>
      <w:r>
        <w:instrText xml:space="preserve"> HYPERLINK \l _Toc28971 </w:instrText>
      </w:r>
      <w:r>
        <w:fldChar w:fldCharType="separate"/>
      </w:r>
      <w:r>
        <w:rPr>
          <w:rFonts w:ascii="黑体" w:hAnsi="黑体" w:eastAsia="黑体" w:cs="黑体"/>
          <w:szCs w:val="21"/>
        </w:rPr>
        <w:t xml:space="preserve">6.2.1 </w:t>
      </w:r>
      <w:r>
        <w:rPr>
          <w:rFonts w:cs="黑体"/>
          <w:szCs w:val="21"/>
        </w:rPr>
        <w:t>吸芽采集</w:t>
      </w:r>
      <w:r>
        <w:tab/>
      </w:r>
      <w:r>
        <w:fldChar w:fldCharType="begin"/>
      </w:r>
      <w:r>
        <w:instrText xml:space="preserve"> PAGEREF _Toc28971 \h </w:instrText>
      </w:r>
      <w:r>
        <w:fldChar w:fldCharType="separate"/>
      </w:r>
      <w:r>
        <w:t>3</w:t>
      </w:r>
      <w:r>
        <w:fldChar w:fldCharType="end"/>
      </w:r>
      <w:r>
        <w:fldChar w:fldCharType="end"/>
      </w:r>
    </w:p>
    <w:p w14:paraId="77573CAA">
      <w:pPr>
        <w:pStyle w:val="8"/>
        <w:tabs>
          <w:tab w:val="right" w:leader="dot" w:pos="9355"/>
          <w:tab w:val="clear" w:pos="9241"/>
        </w:tabs>
      </w:pPr>
      <w:r>
        <w:fldChar w:fldCharType="begin"/>
      </w:r>
      <w:r>
        <w:instrText xml:space="preserve"> HYPERLINK \l _Toc23946 </w:instrText>
      </w:r>
      <w:r>
        <w:fldChar w:fldCharType="separate"/>
      </w:r>
      <w:r>
        <w:rPr>
          <w:rFonts w:ascii="黑体" w:hAnsi="黑体" w:eastAsia="黑体" w:cs="黑体"/>
          <w:szCs w:val="21"/>
        </w:rPr>
        <w:t xml:space="preserve">6.2.2 </w:t>
      </w:r>
      <w:r>
        <w:rPr>
          <w:rFonts w:cs="黑体"/>
          <w:szCs w:val="21"/>
        </w:rPr>
        <w:t>种子采集</w:t>
      </w:r>
      <w:r>
        <w:tab/>
      </w:r>
      <w:r>
        <w:fldChar w:fldCharType="begin"/>
      </w:r>
      <w:r>
        <w:instrText xml:space="preserve"> PAGEREF _Toc23946 \h </w:instrText>
      </w:r>
      <w:r>
        <w:fldChar w:fldCharType="separate"/>
      </w:r>
      <w:r>
        <w:t>3</w:t>
      </w:r>
      <w:r>
        <w:fldChar w:fldCharType="end"/>
      </w:r>
      <w:r>
        <w:fldChar w:fldCharType="end"/>
      </w:r>
    </w:p>
    <w:p w14:paraId="1A621415">
      <w:pPr>
        <w:pStyle w:val="16"/>
        <w:tabs>
          <w:tab w:val="right" w:leader="dot" w:pos="9355"/>
          <w:tab w:val="clear" w:pos="9241"/>
        </w:tabs>
      </w:pPr>
      <w:r>
        <w:fldChar w:fldCharType="begin"/>
      </w:r>
      <w:r>
        <w:instrText xml:space="preserve"> HYPERLINK \l _Toc32326 </w:instrText>
      </w:r>
      <w:r>
        <w:fldChar w:fldCharType="separate"/>
      </w:r>
      <w:r>
        <w:rPr>
          <w:rFonts w:ascii="黑体" w:hAnsi="黑体" w:eastAsia="黑体" w:cs="黑体"/>
          <w:szCs w:val="21"/>
        </w:rPr>
        <w:t xml:space="preserve">6.3 </w:t>
      </w:r>
      <w:r>
        <w:rPr>
          <w:rFonts w:cs="黑体"/>
          <w:szCs w:val="21"/>
        </w:rPr>
        <w:t>资源包装</w:t>
      </w:r>
      <w:r>
        <w:tab/>
      </w:r>
      <w:r>
        <w:fldChar w:fldCharType="begin"/>
      </w:r>
      <w:r>
        <w:instrText xml:space="preserve"> PAGEREF _Toc32326 \h </w:instrText>
      </w:r>
      <w:r>
        <w:fldChar w:fldCharType="separate"/>
      </w:r>
      <w:r>
        <w:t>3</w:t>
      </w:r>
      <w:r>
        <w:fldChar w:fldCharType="end"/>
      </w:r>
      <w:r>
        <w:fldChar w:fldCharType="end"/>
      </w:r>
    </w:p>
    <w:p w14:paraId="5E917EA1">
      <w:pPr>
        <w:pStyle w:val="8"/>
        <w:tabs>
          <w:tab w:val="right" w:leader="dot" w:pos="9355"/>
          <w:tab w:val="clear" w:pos="9241"/>
        </w:tabs>
      </w:pPr>
      <w:r>
        <w:fldChar w:fldCharType="begin"/>
      </w:r>
      <w:r>
        <w:instrText xml:space="preserve"> HYPERLINK \l _Toc10420 </w:instrText>
      </w:r>
      <w:r>
        <w:fldChar w:fldCharType="separate"/>
      </w:r>
      <w:r>
        <w:rPr>
          <w:rFonts w:ascii="黑体" w:hAnsi="黑体" w:eastAsia="黑体" w:cs="黑体"/>
          <w:szCs w:val="21"/>
        </w:rPr>
        <w:t xml:space="preserve">6.3.1 </w:t>
      </w:r>
      <w:r>
        <w:rPr>
          <w:rFonts w:cs="黑体"/>
          <w:szCs w:val="21"/>
        </w:rPr>
        <w:t>包装材料</w:t>
      </w:r>
      <w:r>
        <w:tab/>
      </w:r>
      <w:r>
        <w:fldChar w:fldCharType="begin"/>
      </w:r>
      <w:r>
        <w:instrText xml:space="preserve"> PAGEREF _Toc10420 \h </w:instrText>
      </w:r>
      <w:r>
        <w:fldChar w:fldCharType="separate"/>
      </w:r>
      <w:r>
        <w:t>3</w:t>
      </w:r>
      <w:r>
        <w:fldChar w:fldCharType="end"/>
      </w:r>
      <w:r>
        <w:fldChar w:fldCharType="end"/>
      </w:r>
    </w:p>
    <w:p w14:paraId="031900B7">
      <w:pPr>
        <w:pStyle w:val="8"/>
        <w:tabs>
          <w:tab w:val="right" w:leader="dot" w:pos="9355"/>
          <w:tab w:val="clear" w:pos="9241"/>
        </w:tabs>
      </w:pPr>
      <w:r>
        <w:fldChar w:fldCharType="begin"/>
      </w:r>
      <w:r>
        <w:instrText xml:space="preserve"> HYPERLINK \l _Toc2291 </w:instrText>
      </w:r>
      <w:r>
        <w:fldChar w:fldCharType="separate"/>
      </w:r>
      <w:r>
        <w:rPr>
          <w:rFonts w:ascii="黑体" w:hAnsi="黑体" w:eastAsia="黑体" w:cs="黑体"/>
          <w:szCs w:val="21"/>
        </w:rPr>
        <w:t xml:space="preserve">6.3.2 </w:t>
      </w:r>
      <w:r>
        <w:rPr>
          <w:rFonts w:cs="黑体"/>
          <w:szCs w:val="21"/>
        </w:rPr>
        <w:t>包装</w:t>
      </w:r>
      <w:r>
        <w:tab/>
      </w:r>
      <w:r>
        <w:fldChar w:fldCharType="begin"/>
      </w:r>
      <w:r>
        <w:instrText xml:space="preserve"> PAGEREF _Toc2291 \h </w:instrText>
      </w:r>
      <w:r>
        <w:fldChar w:fldCharType="separate"/>
      </w:r>
      <w:r>
        <w:t>3</w:t>
      </w:r>
      <w:r>
        <w:fldChar w:fldCharType="end"/>
      </w:r>
      <w:r>
        <w:fldChar w:fldCharType="end"/>
      </w:r>
    </w:p>
    <w:p w14:paraId="5ACF1B95">
      <w:pPr>
        <w:pStyle w:val="12"/>
        <w:tabs>
          <w:tab w:val="right" w:leader="dot" w:pos="9355"/>
          <w:tab w:val="clear" w:pos="9241"/>
        </w:tabs>
      </w:pPr>
      <w:r>
        <w:fldChar w:fldCharType="begin"/>
      </w:r>
      <w:r>
        <w:instrText xml:space="preserve"> HYPERLINK \l _Toc31056 </w:instrText>
      </w:r>
      <w:r>
        <w:fldChar w:fldCharType="separate"/>
      </w:r>
      <w:r>
        <w:rPr>
          <w:rFonts w:ascii="黑体" w:hAnsi="黑体" w:eastAsia="黑体" w:cs="黑体"/>
          <w:szCs w:val="21"/>
        </w:rPr>
        <w:t xml:space="preserve">7 </w:t>
      </w:r>
      <w:r>
        <w:rPr>
          <w:rFonts w:cs="黑体"/>
          <w:szCs w:val="21"/>
        </w:rPr>
        <w:t>无害化（除害）</w:t>
      </w:r>
      <w:r>
        <w:tab/>
      </w:r>
      <w:r>
        <w:fldChar w:fldCharType="begin"/>
      </w:r>
      <w:r>
        <w:instrText xml:space="preserve"> PAGEREF _Toc31056 \h </w:instrText>
      </w:r>
      <w:r>
        <w:fldChar w:fldCharType="separate"/>
      </w:r>
      <w:r>
        <w:t>3</w:t>
      </w:r>
      <w:r>
        <w:fldChar w:fldCharType="end"/>
      </w:r>
      <w:r>
        <w:fldChar w:fldCharType="end"/>
      </w:r>
    </w:p>
    <w:p w14:paraId="3B0792C6">
      <w:pPr>
        <w:pStyle w:val="16"/>
        <w:tabs>
          <w:tab w:val="right" w:leader="dot" w:pos="9355"/>
          <w:tab w:val="clear" w:pos="9241"/>
        </w:tabs>
      </w:pPr>
      <w:r>
        <w:fldChar w:fldCharType="begin"/>
      </w:r>
      <w:r>
        <w:instrText xml:space="preserve"> HYPERLINK \l _Toc9697 </w:instrText>
      </w:r>
      <w:r>
        <w:fldChar w:fldCharType="separate"/>
      </w:r>
      <w:r>
        <w:rPr>
          <w:rFonts w:ascii="黑体" w:hAnsi="黑体" w:eastAsia="黑体" w:cs="黑体"/>
          <w:szCs w:val="21"/>
        </w:rPr>
        <w:t xml:space="preserve">7.1 </w:t>
      </w:r>
      <w:r>
        <w:rPr>
          <w:rFonts w:cs="黑体"/>
          <w:szCs w:val="21"/>
        </w:rPr>
        <w:t>病虫害类型</w:t>
      </w:r>
      <w:r>
        <w:tab/>
      </w:r>
      <w:r>
        <w:fldChar w:fldCharType="begin"/>
      </w:r>
      <w:r>
        <w:instrText xml:space="preserve"> PAGEREF _Toc9697 \h </w:instrText>
      </w:r>
      <w:r>
        <w:fldChar w:fldCharType="separate"/>
      </w:r>
      <w:r>
        <w:t>3</w:t>
      </w:r>
      <w:r>
        <w:fldChar w:fldCharType="end"/>
      </w:r>
      <w:r>
        <w:fldChar w:fldCharType="end"/>
      </w:r>
    </w:p>
    <w:p w14:paraId="0361D62B">
      <w:pPr>
        <w:pStyle w:val="8"/>
        <w:tabs>
          <w:tab w:val="right" w:leader="dot" w:pos="9355"/>
          <w:tab w:val="clear" w:pos="9241"/>
        </w:tabs>
      </w:pPr>
      <w:r>
        <w:fldChar w:fldCharType="begin"/>
      </w:r>
      <w:r>
        <w:instrText xml:space="preserve"> HYPERLINK \l _Toc21601 </w:instrText>
      </w:r>
      <w:r>
        <w:fldChar w:fldCharType="separate"/>
      </w:r>
      <w:r>
        <w:rPr>
          <w:rFonts w:ascii="黑体" w:hAnsi="黑体" w:eastAsia="黑体" w:cs="黑体"/>
          <w:szCs w:val="21"/>
        </w:rPr>
        <w:t xml:space="preserve">7.1.1 </w:t>
      </w:r>
      <w:r>
        <w:rPr>
          <w:rFonts w:cs="黑体"/>
          <w:szCs w:val="21"/>
        </w:rPr>
        <w:t>主要病害</w:t>
      </w:r>
      <w:r>
        <w:tab/>
      </w:r>
      <w:r>
        <w:fldChar w:fldCharType="begin"/>
      </w:r>
      <w:r>
        <w:instrText xml:space="preserve"> PAGEREF _Toc21601 \h </w:instrText>
      </w:r>
      <w:r>
        <w:fldChar w:fldCharType="separate"/>
      </w:r>
      <w:r>
        <w:t>3</w:t>
      </w:r>
      <w:r>
        <w:fldChar w:fldCharType="end"/>
      </w:r>
      <w:r>
        <w:fldChar w:fldCharType="end"/>
      </w:r>
    </w:p>
    <w:p w14:paraId="0E9251CB">
      <w:pPr>
        <w:pStyle w:val="8"/>
        <w:tabs>
          <w:tab w:val="right" w:leader="dot" w:pos="9355"/>
          <w:tab w:val="clear" w:pos="9241"/>
        </w:tabs>
      </w:pPr>
      <w:r>
        <w:fldChar w:fldCharType="begin"/>
      </w:r>
      <w:r>
        <w:instrText xml:space="preserve"> HYPERLINK \l _Toc25785 </w:instrText>
      </w:r>
      <w:r>
        <w:fldChar w:fldCharType="separate"/>
      </w:r>
      <w:r>
        <w:rPr>
          <w:rFonts w:ascii="黑体" w:hAnsi="黑体" w:eastAsia="黑体" w:cs="黑体"/>
          <w:szCs w:val="21"/>
        </w:rPr>
        <w:t xml:space="preserve">7.1.2 </w:t>
      </w:r>
      <w:r>
        <w:rPr>
          <w:rFonts w:cs="黑体"/>
          <w:szCs w:val="21"/>
        </w:rPr>
        <w:t>主要虫害</w:t>
      </w:r>
      <w:r>
        <w:tab/>
      </w:r>
      <w:r>
        <w:fldChar w:fldCharType="begin"/>
      </w:r>
      <w:r>
        <w:instrText xml:space="preserve"> PAGEREF _Toc25785 \h </w:instrText>
      </w:r>
      <w:r>
        <w:fldChar w:fldCharType="separate"/>
      </w:r>
      <w:r>
        <w:t>3</w:t>
      </w:r>
      <w:r>
        <w:fldChar w:fldCharType="end"/>
      </w:r>
      <w:r>
        <w:fldChar w:fldCharType="end"/>
      </w:r>
    </w:p>
    <w:p w14:paraId="7B6B64F4">
      <w:pPr>
        <w:pStyle w:val="16"/>
        <w:tabs>
          <w:tab w:val="right" w:leader="dot" w:pos="9355"/>
          <w:tab w:val="clear" w:pos="9241"/>
        </w:tabs>
      </w:pPr>
      <w:r>
        <w:fldChar w:fldCharType="begin"/>
      </w:r>
      <w:r>
        <w:instrText xml:space="preserve"> HYPERLINK \l _Toc30431 </w:instrText>
      </w:r>
      <w:r>
        <w:fldChar w:fldCharType="separate"/>
      </w:r>
      <w:r>
        <w:rPr>
          <w:rFonts w:ascii="黑体" w:hAnsi="黑体" w:eastAsia="黑体" w:cs="黑体"/>
          <w:szCs w:val="21"/>
        </w:rPr>
        <w:t xml:space="preserve">7.2 </w:t>
      </w:r>
      <w:r>
        <w:rPr>
          <w:rFonts w:hint="eastAsia" w:cs="黑体"/>
          <w:szCs w:val="21"/>
          <w:lang w:val="en-US" w:eastAsia="zh-CN"/>
        </w:rPr>
        <w:t>不同材料的</w:t>
      </w:r>
      <w:r>
        <w:rPr>
          <w:rFonts w:cs="黑体"/>
          <w:szCs w:val="21"/>
        </w:rPr>
        <w:t>无害化</w:t>
      </w:r>
      <w:r>
        <w:rPr>
          <w:rFonts w:hint="eastAsia" w:cs="黑体"/>
          <w:szCs w:val="21"/>
          <w:lang w:val="en-US" w:eastAsia="zh-CN"/>
        </w:rPr>
        <w:t>方法</w:t>
      </w:r>
      <w:r>
        <w:tab/>
      </w:r>
      <w:r>
        <w:fldChar w:fldCharType="begin"/>
      </w:r>
      <w:r>
        <w:instrText xml:space="preserve"> PAGEREF _Toc30431 \h </w:instrText>
      </w:r>
      <w:r>
        <w:fldChar w:fldCharType="separate"/>
      </w:r>
      <w:r>
        <w:t>3</w:t>
      </w:r>
      <w:r>
        <w:fldChar w:fldCharType="end"/>
      </w:r>
      <w:r>
        <w:fldChar w:fldCharType="end"/>
      </w:r>
    </w:p>
    <w:p w14:paraId="15B129D3">
      <w:pPr>
        <w:pStyle w:val="8"/>
        <w:tabs>
          <w:tab w:val="right" w:leader="dot" w:pos="9355"/>
          <w:tab w:val="clear" w:pos="9241"/>
        </w:tabs>
      </w:pPr>
      <w:r>
        <w:fldChar w:fldCharType="begin"/>
      </w:r>
      <w:r>
        <w:instrText xml:space="preserve"> HYPERLINK \l _Toc29394 </w:instrText>
      </w:r>
      <w:r>
        <w:fldChar w:fldCharType="separate"/>
      </w:r>
      <w:r>
        <w:rPr>
          <w:rFonts w:ascii="黑体" w:hAnsi="黑体" w:eastAsia="黑体" w:cs="黑体"/>
          <w:szCs w:val="21"/>
        </w:rPr>
        <w:t xml:space="preserve">7.2.1 </w:t>
      </w:r>
      <w:r>
        <w:rPr>
          <w:rFonts w:cs="黑体"/>
          <w:szCs w:val="21"/>
        </w:rPr>
        <w:t>吸芽无害化</w:t>
      </w:r>
      <w:r>
        <w:tab/>
      </w:r>
      <w:r>
        <w:fldChar w:fldCharType="begin"/>
      </w:r>
      <w:r>
        <w:instrText xml:space="preserve"> PAGEREF _Toc29394 \h </w:instrText>
      </w:r>
      <w:r>
        <w:fldChar w:fldCharType="separate"/>
      </w:r>
      <w:r>
        <w:t>4</w:t>
      </w:r>
      <w:r>
        <w:fldChar w:fldCharType="end"/>
      </w:r>
      <w:r>
        <w:fldChar w:fldCharType="end"/>
      </w:r>
    </w:p>
    <w:p w14:paraId="07BBD43D">
      <w:pPr>
        <w:pStyle w:val="13"/>
        <w:tabs>
          <w:tab w:val="right" w:leader="dot" w:pos="9355"/>
          <w:tab w:val="clear" w:pos="9241"/>
        </w:tabs>
      </w:pPr>
      <w:r>
        <w:fldChar w:fldCharType="begin"/>
      </w:r>
      <w:r>
        <w:instrText xml:space="preserve"> HYPERLINK \l _Toc13303 </w:instrText>
      </w:r>
      <w:r>
        <w:fldChar w:fldCharType="separate"/>
      </w:r>
      <w:r>
        <w:rPr>
          <w:rFonts w:ascii="黑体" w:hAnsi="黑体" w:eastAsia="黑体" w:cs="黑体"/>
          <w:szCs w:val="21"/>
        </w:rPr>
        <w:t xml:space="preserve">7.2.1.1 </w:t>
      </w:r>
      <w:r>
        <w:rPr>
          <w:rFonts w:cs="黑体"/>
          <w:szCs w:val="21"/>
        </w:rPr>
        <w:t>取材方法</w:t>
      </w:r>
      <w:r>
        <w:tab/>
      </w:r>
      <w:r>
        <w:fldChar w:fldCharType="begin"/>
      </w:r>
      <w:r>
        <w:instrText xml:space="preserve"> PAGEREF _Toc13303 \h </w:instrText>
      </w:r>
      <w:r>
        <w:fldChar w:fldCharType="separate"/>
      </w:r>
      <w:r>
        <w:t>4</w:t>
      </w:r>
      <w:r>
        <w:fldChar w:fldCharType="end"/>
      </w:r>
      <w:r>
        <w:fldChar w:fldCharType="end"/>
      </w:r>
    </w:p>
    <w:p w14:paraId="5B0074D7">
      <w:pPr>
        <w:pStyle w:val="13"/>
        <w:tabs>
          <w:tab w:val="right" w:leader="dot" w:pos="9355"/>
          <w:tab w:val="clear" w:pos="9241"/>
        </w:tabs>
      </w:pPr>
      <w:r>
        <w:fldChar w:fldCharType="begin"/>
      </w:r>
      <w:r>
        <w:instrText xml:space="preserve"> HYPERLINK \l _Toc11512 </w:instrText>
      </w:r>
      <w:r>
        <w:fldChar w:fldCharType="separate"/>
      </w:r>
      <w:r>
        <w:rPr>
          <w:rFonts w:ascii="黑体" w:hAnsi="黑体" w:eastAsia="黑体" w:cs="黑体"/>
          <w:szCs w:val="21"/>
        </w:rPr>
        <w:t xml:space="preserve">7.2.1.2 </w:t>
      </w:r>
      <w:r>
        <w:rPr>
          <w:rFonts w:cs="黑体"/>
          <w:szCs w:val="21"/>
        </w:rPr>
        <w:t>培养条件</w:t>
      </w:r>
      <w:r>
        <w:tab/>
      </w:r>
      <w:r>
        <w:fldChar w:fldCharType="begin"/>
      </w:r>
      <w:r>
        <w:instrText xml:space="preserve"> PAGEREF _Toc11512 \h </w:instrText>
      </w:r>
      <w:r>
        <w:fldChar w:fldCharType="separate"/>
      </w:r>
      <w:r>
        <w:t>4</w:t>
      </w:r>
      <w:r>
        <w:fldChar w:fldCharType="end"/>
      </w:r>
      <w:r>
        <w:fldChar w:fldCharType="end"/>
      </w:r>
    </w:p>
    <w:p w14:paraId="2CA8AF5F">
      <w:pPr>
        <w:pStyle w:val="13"/>
        <w:tabs>
          <w:tab w:val="right" w:leader="dot" w:pos="9355"/>
          <w:tab w:val="clear" w:pos="9241"/>
        </w:tabs>
      </w:pPr>
      <w:r>
        <w:fldChar w:fldCharType="begin"/>
      </w:r>
      <w:r>
        <w:instrText xml:space="preserve"> HYPERLINK \l _Toc14936 </w:instrText>
      </w:r>
      <w:r>
        <w:fldChar w:fldCharType="separate"/>
      </w:r>
      <w:r>
        <w:rPr>
          <w:rFonts w:ascii="黑体" w:hAnsi="黑体" w:eastAsia="黑体" w:cs="黑体"/>
          <w:szCs w:val="21"/>
        </w:rPr>
        <w:t xml:space="preserve">7.2.1.3 </w:t>
      </w:r>
      <w:r>
        <w:rPr>
          <w:rFonts w:cs="黑体"/>
          <w:szCs w:val="21"/>
        </w:rPr>
        <w:t>繁育</w:t>
      </w:r>
      <w:r>
        <w:tab/>
      </w:r>
      <w:r>
        <w:fldChar w:fldCharType="begin"/>
      </w:r>
      <w:r>
        <w:instrText xml:space="preserve"> PAGEREF _Toc14936 \h </w:instrText>
      </w:r>
      <w:r>
        <w:fldChar w:fldCharType="separate"/>
      </w:r>
      <w:r>
        <w:t>4</w:t>
      </w:r>
      <w:r>
        <w:fldChar w:fldCharType="end"/>
      </w:r>
      <w:r>
        <w:fldChar w:fldCharType="end"/>
      </w:r>
    </w:p>
    <w:p w14:paraId="0F8C332E">
      <w:pPr>
        <w:pStyle w:val="13"/>
        <w:tabs>
          <w:tab w:val="right" w:leader="dot" w:pos="9355"/>
          <w:tab w:val="clear" w:pos="9241"/>
        </w:tabs>
      </w:pPr>
      <w:r>
        <w:fldChar w:fldCharType="begin"/>
      </w:r>
      <w:r>
        <w:instrText xml:space="preserve"> HYPERLINK \l _Toc24580 </w:instrText>
      </w:r>
      <w:r>
        <w:fldChar w:fldCharType="separate"/>
      </w:r>
      <w:r>
        <w:rPr>
          <w:rFonts w:ascii="黑体" w:hAnsi="黑体" w:eastAsia="黑体" w:cs="黑体"/>
          <w:szCs w:val="21"/>
        </w:rPr>
        <w:t xml:space="preserve">7.2.1.4 </w:t>
      </w:r>
      <w:r>
        <w:rPr>
          <w:rFonts w:cs="黑体"/>
          <w:szCs w:val="21"/>
        </w:rPr>
        <w:t>生根培养</w:t>
      </w:r>
      <w:r>
        <w:tab/>
      </w:r>
      <w:r>
        <w:fldChar w:fldCharType="begin"/>
      </w:r>
      <w:r>
        <w:instrText xml:space="preserve"> PAGEREF _Toc24580 \h </w:instrText>
      </w:r>
      <w:r>
        <w:fldChar w:fldCharType="separate"/>
      </w:r>
      <w:r>
        <w:t>4</w:t>
      </w:r>
      <w:r>
        <w:fldChar w:fldCharType="end"/>
      </w:r>
      <w:r>
        <w:fldChar w:fldCharType="end"/>
      </w:r>
    </w:p>
    <w:p w14:paraId="33A0117F">
      <w:pPr>
        <w:pStyle w:val="13"/>
        <w:tabs>
          <w:tab w:val="right" w:leader="dot" w:pos="9355"/>
          <w:tab w:val="clear" w:pos="9241"/>
        </w:tabs>
      </w:pPr>
      <w:r>
        <w:fldChar w:fldCharType="begin"/>
      </w:r>
      <w:r>
        <w:instrText xml:space="preserve"> HYPERLINK \l _Toc8391 </w:instrText>
      </w:r>
      <w:r>
        <w:fldChar w:fldCharType="separate"/>
      </w:r>
      <w:r>
        <w:rPr>
          <w:rFonts w:ascii="黑体" w:hAnsi="黑体" w:eastAsia="黑体" w:cs="黑体"/>
          <w:szCs w:val="21"/>
        </w:rPr>
        <w:t xml:space="preserve">7.2.1.5 </w:t>
      </w:r>
      <w:r>
        <w:rPr>
          <w:rFonts w:cs="黑体"/>
          <w:szCs w:val="21"/>
        </w:rPr>
        <w:t>残余物的处理</w:t>
      </w:r>
      <w:r>
        <w:tab/>
      </w:r>
      <w:r>
        <w:fldChar w:fldCharType="begin"/>
      </w:r>
      <w:r>
        <w:instrText xml:space="preserve"> PAGEREF _Toc8391 \h </w:instrText>
      </w:r>
      <w:r>
        <w:fldChar w:fldCharType="separate"/>
      </w:r>
      <w:r>
        <w:t>4</w:t>
      </w:r>
      <w:r>
        <w:fldChar w:fldCharType="end"/>
      </w:r>
      <w:r>
        <w:fldChar w:fldCharType="end"/>
      </w:r>
    </w:p>
    <w:p w14:paraId="48171754">
      <w:pPr>
        <w:pStyle w:val="8"/>
        <w:tabs>
          <w:tab w:val="right" w:leader="dot" w:pos="9355"/>
          <w:tab w:val="clear" w:pos="9241"/>
        </w:tabs>
      </w:pPr>
      <w:r>
        <w:fldChar w:fldCharType="begin"/>
      </w:r>
      <w:r>
        <w:instrText xml:space="preserve"> HYPERLINK \l _Toc14229 </w:instrText>
      </w:r>
      <w:r>
        <w:fldChar w:fldCharType="separate"/>
      </w:r>
      <w:r>
        <w:rPr>
          <w:rFonts w:ascii="黑体" w:hAnsi="黑体" w:eastAsia="黑体" w:cs="黑体"/>
          <w:szCs w:val="21"/>
        </w:rPr>
        <w:t xml:space="preserve">7.2.2 </w:t>
      </w:r>
      <w:r>
        <w:rPr>
          <w:rFonts w:cs="黑体"/>
          <w:szCs w:val="21"/>
        </w:rPr>
        <w:t>种子无害化</w:t>
      </w:r>
      <w:r>
        <w:tab/>
      </w:r>
      <w:r>
        <w:fldChar w:fldCharType="begin"/>
      </w:r>
      <w:r>
        <w:instrText xml:space="preserve"> PAGEREF _Toc14229 \h </w:instrText>
      </w:r>
      <w:r>
        <w:fldChar w:fldCharType="separate"/>
      </w:r>
      <w:r>
        <w:t>4</w:t>
      </w:r>
      <w:r>
        <w:fldChar w:fldCharType="end"/>
      </w:r>
      <w:r>
        <w:fldChar w:fldCharType="end"/>
      </w:r>
    </w:p>
    <w:p w14:paraId="1B5E93B8">
      <w:pPr>
        <w:pStyle w:val="13"/>
        <w:tabs>
          <w:tab w:val="right" w:leader="dot" w:pos="9355"/>
          <w:tab w:val="clear" w:pos="9241"/>
        </w:tabs>
      </w:pPr>
      <w:r>
        <w:fldChar w:fldCharType="begin"/>
      </w:r>
      <w:r>
        <w:instrText xml:space="preserve"> HYPERLINK \l _Toc23707 </w:instrText>
      </w:r>
      <w:r>
        <w:fldChar w:fldCharType="separate"/>
      </w:r>
      <w:r>
        <w:rPr>
          <w:rFonts w:ascii="黑体" w:hAnsi="黑体" w:eastAsia="黑体" w:cs="黑体"/>
          <w:szCs w:val="21"/>
        </w:rPr>
        <w:t xml:space="preserve">7.2.2.1 </w:t>
      </w:r>
      <w:r>
        <w:rPr>
          <w:rFonts w:cs="黑体"/>
          <w:szCs w:val="21"/>
        </w:rPr>
        <w:t>取材方法</w:t>
      </w:r>
      <w:r>
        <w:tab/>
      </w:r>
      <w:r>
        <w:fldChar w:fldCharType="begin"/>
      </w:r>
      <w:r>
        <w:instrText xml:space="preserve"> PAGEREF _Toc23707 \h </w:instrText>
      </w:r>
      <w:r>
        <w:fldChar w:fldCharType="separate"/>
      </w:r>
      <w:r>
        <w:t>4</w:t>
      </w:r>
      <w:r>
        <w:fldChar w:fldCharType="end"/>
      </w:r>
      <w:r>
        <w:fldChar w:fldCharType="end"/>
      </w:r>
    </w:p>
    <w:p w14:paraId="4133F96A">
      <w:pPr>
        <w:pStyle w:val="13"/>
        <w:tabs>
          <w:tab w:val="right" w:leader="dot" w:pos="9355"/>
          <w:tab w:val="clear" w:pos="9241"/>
        </w:tabs>
      </w:pPr>
      <w:r>
        <w:fldChar w:fldCharType="begin"/>
      </w:r>
      <w:r>
        <w:instrText xml:space="preserve"> HYPERLINK \l _Toc4905 </w:instrText>
      </w:r>
      <w:r>
        <w:fldChar w:fldCharType="separate"/>
      </w:r>
      <w:r>
        <w:rPr>
          <w:rFonts w:ascii="黑体" w:hAnsi="黑体" w:eastAsia="黑体" w:cs="黑体"/>
          <w:szCs w:val="21"/>
        </w:rPr>
        <w:t xml:space="preserve">7.2.2.2 </w:t>
      </w:r>
      <w:r>
        <w:rPr>
          <w:rFonts w:cs="黑体"/>
          <w:szCs w:val="21"/>
        </w:rPr>
        <w:t>培养方法</w:t>
      </w:r>
      <w:r>
        <w:tab/>
      </w:r>
      <w:r>
        <w:fldChar w:fldCharType="begin"/>
      </w:r>
      <w:r>
        <w:instrText xml:space="preserve"> PAGEREF _Toc4905 \h </w:instrText>
      </w:r>
      <w:r>
        <w:fldChar w:fldCharType="separate"/>
      </w:r>
      <w:r>
        <w:t>4</w:t>
      </w:r>
      <w:r>
        <w:fldChar w:fldCharType="end"/>
      </w:r>
      <w:r>
        <w:fldChar w:fldCharType="end"/>
      </w:r>
    </w:p>
    <w:p w14:paraId="703D3C7A">
      <w:pPr>
        <w:pStyle w:val="13"/>
        <w:tabs>
          <w:tab w:val="right" w:leader="dot" w:pos="9355"/>
          <w:tab w:val="clear" w:pos="9241"/>
        </w:tabs>
      </w:pPr>
      <w:r>
        <w:fldChar w:fldCharType="begin"/>
      </w:r>
      <w:r>
        <w:instrText xml:space="preserve"> HYPERLINK \l _Toc6350 </w:instrText>
      </w:r>
      <w:r>
        <w:fldChar w:fldCharType="separate"/>
      </w:r>
      <w:r>
        <w:rPr>
          <w:rFonts w:ascii="黑体" w:hAnsi="黑体" w:eastAsia="黑体" w:cs="黑体"/>
          <w:szCs w:val="21"/>
        </w:rPr>
        <w:t xml:space="preserve">7.2.2.3 </w:t>
      </w:r>
      <w:r>
        <w:rPr>
          <w:rFonts w:cs="黑体"/>
          <w:szCs w:val="21"/>
        </w:rPr>
        <w:t>繁育</w:t>
      </w:r>
      <w:r>
        <w:tab/>
      </w:r>
      <w:r>
        <w:fldChar w:fldCharType="begin"/>
      </w:r>
      <w:r>
        <w:instrText xml:space="preserve"> PAGEREF _Toc6350 \h </w:instrText>
      </w:r>
      <w:r>
        <w:fldChar w:fldCharType="separate"/>
      </w:r>
      <w:r>
        <w:t>4</w:t>
      </w:r>
      <w:r>
        <w:fldChar w:fldCharType="end"/>
      </w:r>
      <w:r>
        <w:fldChar w:fldCharType="end"/>
      </w:r>
    </w:p>
    <w:p w14:paraId="0A2B87F6">
      <w:pPr>
        <w:pStyle w:val="13"/>
        <w:tabs>
          <w:tab w:val="right" w:leader="dot" w:pos="9355"/>
          <w:tab w:val="clear" w:pos="9241"/>
        </w:tabs>
      </w:pPr>
      <w:r>
        <w:fldChar w:fldCharType="begin"/>
      </w:r>
      <w:r>
        <w:instrText xml:space="preserve"> HYPERLINK \l _Toc32101 </w:instrText>
      </w:r>
      <w:r>
        <w:fldChar w:fldCharType="separate"/>
      </w:r>
      <w:r>
        <w:rPr>
          <w:rFonts w:ascii="黑体" w:hAnsi="黑体" w:eastAsia="黑体" w:cs="黑体"/>
          <w:szCs w:val="21"/>
        </w:rPr>
        <w:t xml:space="preserve">7.2.2.4 </w:t>
      </w:r>
      <w:r>
        <w:rPr>
          <w:rFonts w:cs="黑体"/>
          <w:szCs w:val="21"/>
        </w:rPr>
        <w:t>生根培养</w:t>
      </w:r>
      <w:r>
        <w:tab/>
      </w:r>
      <w:r>
        <w:fldChar w:fldCharType="begin"/>
      </w:r>
      <w:r>
        <w:instrText xml:space="preserve"> PAGEREF _Toc32101 \h </w:instrText>
      </w:r>
      <w:r>
        <w:fldChar w:fldCharType="separate"/>
      </w:r>
      <w:r>
        <w:t>4</w:t>
      </w:r>
      <w:r>
        <w:fldChar w:fldCharType="end"/>
      </w:r>
      <w:r>
        <w:fldChar w:fldCharType="end"/>
      </w:r>
    </w:p>
    <w:p w14:paraId="199768E5">
      <w:pPr>
        <w:pStyle w:val="13"/>
        <w:tabs>
          <w:tab w:val="right" w:leader="dot" w:pos="9355"/>
          <w:tab w:val="clear" w:pos="9241"/>
        </w:tabs>
      </w:pPr>
      <w:r>
        <w:fldChar w:fldCharType="begin"/>
      </w:r>
      <w:r>
        <w:instrText xml:space="preserve"> HYPERLINK \l _Toc23227 </w:instrText>
      </w:r>
      <w:r>
        <w:fldChar w:fldCharType="separate"/>
      </w:r>
      <w:r>
        <w:rPr>
          <w:rFonts w:ascii="黑体" w:hAnsi="黑体" w:eastAsia="黑体" w:cs="黑体"/>
          <w:szCs w:val="21"/>
        </w:rPr>
        <w:t xml:space="preserve">7.2.2.5 </w:t>
      </w:r>
      <w:r>
        <w:rPr>
          <w:rFonts w:cs="黑体"/>
          <w:szCs w:val="21"/>
        </w:rPr>
        <w:t>残余物的处理</w:t>
      </w:r>
      <w:r>
        <w:tab/>
      </w:r>
      <w:r>
        <w:fldChar w:fldCharType="begin"/>
      </w:r>
      <w:r>
        <w:instrText xml:space="preserve"> PAGEREF _Toc23227 \h </w:instrText>
      </w:r>
      <w:r>
        <w:fldChar w:fldCharType="separate"/>
      </w:r>
      <w:r>
        <w:t>5</w:t>
      </w:r>
      <w:r>
        <w:fldChar w:fldCharType="end"/>
      </w:r>
      <w:r>
        <w:fldChar w:fldCharType="end"/>
      </w:r>
    </w:p>
    <w:p w14:paraId="148FFC63">
      <w:pPr>
        <w:pStyle w:val="12"/>
        <w:tabs>
          <w:tab w:val="right" w:leader="dot" w:pos="9355"/>
          <w:tab w:val="clear" w:pos="9241"/>
        </w:tabs>
      </w:pPr>
      <w:r>
        <w:fldChar w:fldCharType="begin"/>
      </w:r>
      <w:r>
        <w:instrText xml:space="preserve"> HYPERLINK \l _Toc7768 </w:instrText>
      </w:r>
      <w:r>
        <w:fldChar w:fldCharType="separate"/>
      </w:r>
      <w:r>
        <w:rPr>
          <w:rFonts w:ascii="黑体" w:hAnsi="黑体" w:eastAsia="黑体" w:cs="黑体"/>
          <w:szCs w:val="21"/>
        </w:rPr>
        <w:t xml:space="preserve">8 </w:t>
      </w:r>
      <w:r>
        <w:rPr>
          <w:rFonts w:cs="黑体"/>
          <w:szCs w:val="21"/>
        </w:rPr>
        <w:t>挽救</w:t>
      </w:r>
      <w:r>
        <w:tab/>
      </w:r>
      <w:r>
        <w:fldChar w:fldCharType="begin"/>
      </w:r>
      <w:r>
        <w:instrText xml:space="preserve"> PAGEREF _Toc7768 \h </w:instrText>
      </w:r>
      <w:r>
        <w:fldChar w:fldCharType="separate"/>
      </w:r>
      <w:r>
        <w:t>5</w:t>
      </w:r>
      <w:r>
        <w:fldChar w:fldCharType="end"/>
      </w:r>
      <w:r>
        <w:fldChar w:fldCharType="end"/>
      </w:r>
    </w:p>
    <w:p w14:paraId="7A25B894">
      <w:pPr>
        <w:pStyle w:val="16"/>
        <w:tabs>
          <w:tab w:val="right" w:leader="dot" w:pos="9355"/>
          <w:tab w:val="clear" w:pos="9241"/>
        </w:tabs>
      </w:pPr>
      <w:r>
        <w:fldChar w:fldCharType="begin"/>
      </w:r>
      <w:r>
        <w:instrText xml:space="preserve"> HYPERLINK \l _Toc2511 </w:instrText>
      </w:r>
      <w:r>
        <w:fldChar w:fldCharType="separate"/>
      </w:r>
      <w:r>
        <w:rPr>
          <w:rFonts w:ascii="黑体" w:hAnsi="黑体" w:eastAsia="黑体" w:cs="黑体"/>
          <w:szCs w:val="21"/>
        </w:rPr>
        <w:t xml:space="preserve">8.1 </w:t>
      </w:r>
      <w:r>
        <w:rPr>
          <w:rFonts w:cs="黑体"/>
          <w:szCs w:val="21"/>
        </w:rPr>
        <w:t>材料</w:t>
      </w:r>
      <w:r>
        <w:tab/>
      </w:r>
      <w:r>
        <w:fldChar w:fldCharType="begin"/>
      </w:r>
      <w:r>
        <w:instrText xml:space="preserve"> PAGEREF _Toc2511 \h </w:instrText>
      </w:r>
      <w:r>
        <w:fldChar w:fldCharType="separate"/>
      </w:r>
      <w:r>
        <w:t>5</w:t>
      </w:r>
      <w:r>
        <w:fldChar w:fldCharType="end"/>
      </w:r>
      <w:r>
        <w:fldChar w:fldCharType="end"/>
      </w:r>
    </w:p>
    <w:p w14:paraId="1009E99D">
      <w:pPr>
        <w:pStyle w:val="8"/>
        <w:tabs>
          <w:tab w:val="right" w:leader="dot" w:pos="9355"/>
          <w:tab w:val="clear" w:pos="9241"/>
        </w:tabs>
      </w:pPr>
      <w:r>
        <w:fldChar w:fldCharType="begin"/>
      </w:r>
      <w:r>
        <w:instrText xml:space="preserve"> HYPERLINK \l _Toc2288 </w:instrText>
      </w:r>
      <w:r>
        <w:fldChar w:fldCharType="separate"/>
      </w:r>
      <w:r>
        <w:rPr>
          <w:rFonts w:ascii="黑体" w:hAnsi="黑体" w:eastAsia="黑体" w:cs="黑体"/>
          <w:szCs w:val="21"/>
        </w:rPr>
        <w:t xml:space="preserve">8.1.1 </w:t>
      </w:r>
      <w:r>
        <w:rPr>
          <w:rFonts w:cs="黑体"/>
          <w:szCs w:val="21"/>
        </w:rPr>
        <w:t>试管苗</w:t>
      </w:r>
      <w:r>
        <w:tab/>
      </w:r>
      <w:r>
        <w:fldChar w:fldCharType="begin"/>
      </w:r>
      <w:r>
        <w:instrText xml:space="preserve"> PAGEREF _Toc2288 \h </w:instrText>
      </w:r>
      <w:r>
        <w:fldChar w:fldCharType="separate"/>
      </w:r>
      <w:r>
        <w:t>5</w:t>
      </w:r>
      <w:r>
        <w:fldChar w:fldCharType="end"/>
      </w:r>
      <w:r>
        <w:fldChar w:fldCharType="end"/>
      </w:r>
    </w:p>
    <w:p w14:paraId="23AE9F6A">
      <w:pPr>
        <w:pStyle w:val="8"/>
        <w:tabs>
          <w:tab w:val="right" w:leader="dot" w:pos="9355"/>
          <w:tab w:val="clear" w:pos="9241"/>
        </w:tabs>
      </w:pPr>
      <w:r>
        <w:fldChar w:fldCharType="begin"/>
      </w:r>
      <w:r>
        <w:instrText xml:space="preserve"> HYPERLINK \l _Toc22960 </w:instrText>
      </w:r>
      <w:r>
        <w:fldChar w:fldCharType="separate"/>
      </w:r>
      <w:r>
        <w:rPr>
          <w:rFonts w:ascii="黑体" w:hAnsi="黑体" w:eastAsia="黑体" w:cs="黑体"/>
          <w:szCs w:val="21"/>
        </w:rPr>
        <w:t xml:space="preserve">8.1.2 </w:t>
      </w:r>
      <w:r>
        <w:rPr>
          <w:rFonts w:cs="黑体"/>
          <w:szCs w:val="21"/>
        </w:rPr>
        <w:t>吸芽</w:t>
      </w:r>
      <w:r>
        <w:tab/>
      </w:r>
      <w:r>
        <w:fldChar w:fldCharType="begin"/>
      </w:r>
      <w:r>
        <w:instrText xml:space="preserve"> PAGEREF _Toc22960 \h </w:instrText>
      </w:r>
      <w:r>
        <w:fldChar w:fldCharType="separate"/>
      </w:r>
      <w:r>
        <w:t>5</w:t>
      </w:r>
      <w:r>
        <w:fldChar w:fldCharType="end"/>
      </w:r>
      <w:r>
        <w:fldChar w:fldCharType="end"/>
      </w:r>
    </w:p>
    <w:p w14:paraId="301026F8">
      <w:pPr>
        <w:pStyle w:val="16"/>
        <w:tabs>
          <w:tab w:val="right" w:leader="dot" w:pos="9355"/>
          <w:tab w:val="clear" w:pos="9241"/>
        </w:tabs>
      </w:pPr>
      <w:r>
        <w:fldChar w:fldCharType="begin"/>
      </w:r>
      <w:r>
        <w:instrText xml:space="preserve"> HYPERLINK \l _Toc1275 </w:instrText>
      </w:r>
      <w:r>
        <w:fldChar w:fldCharType="separate"/>
      </w:r>
      <w:r>
        <w:rPr>
          <w:rFonts w:ascii="黑体" w:hAnsi="黑体" w:eastAsia="黑体" w:cs="黑体"/>
          <w:szCs w:val="21"/>
        </w:rPr>
        <w:t xml:space="preserve">8.2 </w:t>
      </w:r>
      <w:r>
        <w:rPr>
          <w:rFonts w:cs="黑体"/>
          <w:szCs w:val="21"/>
        </w:rPr>
        <w:t>挽救</w:t>
      </w:r>
      <w:r>
        <w:tab/>
      </w:r>
      <w:r>
        <w:fldChar w:fldCharType="begin"/>
      </w:r>
      <w:r>
        <w:instrText xml:space="preserve"> PAGEREF _Toc1275 \h </w:instrText>
      </w:r>
      <w:r>
        <w:fldChar w:fldCharType="separate"/>
      </w:r>
      <w:r>
        <w:t>5</w:t>
      </w:r>
      <w:r>
        <w:fldChar w:fldCharType="end"/>
      </w:r>
      <w:r>
        <w:fldChar w:fldCharType="end"/>
      </w:r>
    </w:p>
    <w:p w14:paraId="5BF1B2F2">
      <w:pPr>
        <w:pStyle w:val="8"/>
        <w:tabs>
          <w:tab w:val="right" w:leader="dot" w:pos="9355"/>
          <w:tab w:val="clear" w:pos="9241"/>
        </w:tabs>
      </w:pPr>
      <w:r>
        <w:fldChar w:fldCharType="begin"/>
      </w:r>
      <w:r>
        <w:instrText xml:space="preserve"> HYPERLINK \l _Toc21158 </w:instrText>
      </w:r>
      <w:r>
        <w:fldChar w:fldCharType="separate"/>
      </w:r>
      <w:r>
        <w:rPr>
          <w:rFonts w:ascii="黑体" w:hAnsi="黑体" w:eastAsia="黑体" w:cs="黑体"/>
          <w:szCs w:val="21"/>
        </w:rPr>
        <w:t xml:space="preserve">8.2.1 </w:t>
      </w:r>
      <w:r>
        <w:rPr>
          <w:rFonts w:cs="黑体"/>
          <w:szCs w:val="21"/>
        </w:rPr>
        <w:t>试管苗挽救</w:t>
      </w:r>
      <w:r>
        <w:tab/>
      </w:r>
      <w:r>
        <w:fldChar w:fldCharType="begin"/>
      </w:r>
      <w:r>
        <w:instrText xml:space="preserve"> PAGEREF _Toc21158 \h </w:instrText>
      </w:r>
      <w:r>
        <w:fldChar w:fldCharType="separate"/>
      </w:r>
      <w:r>
        <w:t>5</w:t>
      </w:r>
      <w:r>
        <w:fldChar w:fldCharType="end"/>
      </w:r>
      <w:r>
        <w:fldChar w:fldCharType="end"/>
      </w:r>
    </w:p>
    <w:p w14:paraId="7F34838F">
      <w:pPr>
        <w:pStyle w:val="13"/>
        <w:tabs>
          <w:tab w:val="right" w:leader="dot" w:pos="9355"/>
          <w:tab w:val="clear" w:pos="9241"/>
        </w:tabs>
      </w:pPr>
      <w:r>
        <w:fldChar w:fldCharType="begin"/>
      </w:r>
      <w:r>
        <w:instrText xml:space="preserve"> HYPERLINK \l _Toc17012 </w:instrText>
      </w:r>
      <w:r>
        <w:fldChar w:fldCharType="separate"/>
      </w:r>
      <w:r>
        <w:rPr>
          <w:rFonts w:ascii="黑体" w:hAnsi="黑体" w:eastAsia="黑体" w:cs="黑体"/>
          <w:szCs w:val="21"/>
        </w:rPr>
        <w:t xml:space="preserve">8.2.1.1 </w:t>
      </w:r>
      <w:r>
        <w:rPr>
          <w:rFonts w:cs="黑体"/>
          <w:szCs w:val="21"/>
        </w:rPr>
        <w:t>取材方法</w:t>
      </w:r>
      <w:r>
        <w:tab/>
      </w:r>
      <w:r>
        <w:fldChar w:fldCharType="begin"/>
      </w:r>
      <w:r>
        <w:instrText xml:space="preserve"> PAGEREF _Toc17012 \h </w:instrText>
      </w:r>
      <w:r>
        <w:fldChar w:fldCharType="separate"/>
      </w:r>
      <w:r>
        <w:t>5</w:t>
      </w:r>
      <w:r>
        <w:fldChar w:fldCharType="end"/>
      </w:r>
      <w:r>
        <w:fldChar w:fldCharType="end"/>
      </w:r>
    </w:p>
    <w:p w14:paraId="13BB5194">
      <w:pPr>
        <w:pStyle w:val="13"/>
        <w:tabs>
          <w:tab w:val="right" w:leader="dot" w:pos="9355"/>
          <w:tab w:val="clear" w:pos="9241"/>
        </w:tabs>
      </w:pPr>
      <w:r>
        <w:fldChar w:fldCharType="begin"/>
      </w:r>
      <w:r>
        <w:instrText xml:space="preserve"> HYPERLINK \l _Toc21068 </w:instrText>
      </w:r>
      <w:r>
        <w:fldChar w:fldCharType="separate"/>
      </w:r>
      <w:r>
        <w:rPr>
          <w:rFonts w:ascii="黑体" w:hAnsi="黑体" w:eastAsia="黑体" w:cs="黑体"/>
          <w:szCs w:val="21"/>
        </w:rPr>
        <w:t xml:space="preserve">8.2.1.2 </w:t>
      </w:r>
      <w:r>
        <w:rPr>
          <w:rFonts w:cs="黑体"/>
          <w:szCs w:val="21"/>
        </w:rPr>
        <w:t>培养方法</w:t>
      </w:r>
      <w:r>
        <w:tab/>
      </w:r>
      <w:r>
        <w:fldChar w:fldCharType="begin"/>
      </w:r>
      <w:r>
        <w:instrText xml:space="preserve"> PAGEREF _Toc21068 \h </w:instrText>
      </w:r>
      <w:r>
        <w:fldChar w:fldCharType="separate"/>
      </w:r>
      <w:r>
        <w:t>5</w:t>
      </w:r>
      <w:r>
        <w:fldChar w:fldCharType="end"/>
      </w:r>
      <w:r>
        <w:fldChar w:fldCharType="end"/>
      </w:r>
    </w:p>
    <w:p w14:paraId="135E7950">
      <w:pPr>
        <w:pStyle w:val="13"/>
        <w:tabs>
          <w:tab w:val="right" w:leader="dot" w:pos="9355"/>
          <w:tab w:val="clear" w:pos="9241"/>
        </w:tabs>
      </w:pPr>
      <w:r>
        <w:fldChar w:fldCharType="begin"/>
      </w:r>
      <w:r>
        <w:instrText xml:space="preserve"> HYPERLINK \l _Toc2024 </w:instrText>
      </w:r>
      <w:r>
        <w:fldChar w:fldCharType="separate"/>
      </w:r>
      <w:r>
        <w:rPr>
          <w:rFonts w:ascii="黑体" w:hAnsi="黑体" w:eastAsia="黑体" w:cs="黑体"/>
          <w:szCs w:val="21"/>
        </w:rPr>
        <w:t xml:space="preserve">8.2.1.3 </w:t>
      </w:r>
      <w:r>
        <w:rPr>
          <w:rFonts w:cs="黑体"/>
          <w:szCs w:val="21"/>
        </w:rPr>
        <w:t>繁育</w:t>
      </w:r>
      <w:r>
        <w:tab/>
      </w:r>
      <w:r>
        <w:fldChar w:fldCharType="begin"/>
      </w:r>
      <w:r>
        <w:instrText xml:space="preserve"> PAGEREF _Toc2024 \h </w:instrText>
      </w:r>
      <w:r>
        <w:fldChar w:fldCharType="separate"/>
      </w:r>
      <w:r>
        <w:t>5</w:t>
      </w:r>
      <w:r>
        <w:fldChar w:fldCharType="end"/>
      </w:r>
      <w:r>
        <w:fldChar w:fldCharType="end"/>
      </w:r>
    </w:p>
    <w:p w14:paraId="46FBA66C">
      <w:pPr>
        <w:pStyle w:val="13"/>
        <w:tabs>
          <w:tab w:val="right" w:leader="dot" w:pos="9355"/>
          <w:tab w:val="clear" w:pos="9241"/>
        </w:tabs>
      </w:pPr>
      <w:r>
        <w:fldChar w:fldCharType="begin"/>
      </w:r>
      <w:r>
        <w:instrText xml:space="preserve"> HYPERLINK \l _Toc28376 </w:instrText>
      </w:r>
      <w:r>
        <w:fldChar w:fldCharType="separate"/>
      </w:r>
      <w:r>
        <w:rPr>
          <w:rFonts w:ascii="黑体" w:hAnsi="黑体" w:eastAsia="黑体" w:cs="黑体"/>
          <w:szCs w:val="21"/>
        </w:rPr>
        <w:t xml:space="preserve">8.2.1.4 </w:t>
      </w:r>
      <w:r>
        <w:rPr>
          <w:rFonts w:cs="黑体"/>
          <w:szCs w:val="21"/>
        </w:rPr>
        <w:t>生根培养</w:t>
      </w:r>
      <w:r>
        <w:tab/>
      </w:r>
      <w:r>
        <w:fldChar w:fldCharType="begin"/>
      </w:r>
      <w:r>
        <w:instrText xml:space="preserve"> PAGEREF _Toc28376 \h </w:instrText>
      </w:r>
      <w:r>
        <w:fldChar w:fldCharType="separate"/>
      </w:r>
      <w:r>
        <w:t>5</w:t>
      </w:r>
      <w:r>
        <w:fldChar w:fldCharType="end"/>
      </w:r>
      <w:r>
        <w:fldChar w:fldCharType="end"/>
      </w:r>
    </w:p>
    <w:p w14:paraId="483C7850">
      <w:pPr>
        <w:pStyle w:val="8"/>
        <w:tabs>
          <w:tab w:val="right" w:leader="dot" w:pos="9355"/>
          <w:tab w:val="clear" w:pos="9241"/>
        </w:tabs>
      </w:pPr>
      <w:r>
        <w:fldChar w:fldCharType="begin"/>
      </w:r>
      <w:r>
        <w:instrText xml:space="preserve"> HYPERLINK \l _Toc15661 </w:instrText>
      </w:r>
      <w:r>
        <w:fldChar w:fldCharType="separate"/>
      </w:r>
      <w:r>
        <w:rPr>
          <w:rFonts w:ascii="黑体" w:hAnsi="黑体" w:eastAsia="黑体" w:cs="黑体"/>
          <w:szCs w:val="21"/>
        </w:rPr>
        <w:t xml:space="preserve">8.2.2 </w:t>
      </w:r>
      <w:r>
        <w:rPr>
          <w:rFonts w:cs="黑体"/>
          <w:szCs w:val="21"/>
        </w:rPr>
        <w:t>吸芽挽救</w:t>
      </w:r>
      <w:r>
        <w:tab/>
      </w:r>
      <w:r>
        <w:fldChar w:fldCharType="begin"/>
      </w:r>
      <w:r>
        <w:instrText xml:space="preserve"> PAGEREF _Toc15661 \h </w:instrText>
      </w:r>
      <w:r>
        <w:fldChar w:fldCharType="separate"/>
      </w:r>
      <w:r>
        <w:t>5</w:t>
      </w:r>
      <w:r>
        <w:fldChar w:fldCharType="end"/>
      </w:r>
      <w:r>
        <w:fldChar w:fldCharType="end"/>
      </w:r>
    </w:p>
    <w:p w14:paraId="6998B072">
      <w:pPr>
        <w:pStyle w:val="13"/>
        <w:tabs>
          <w:tab w:val="right" w:leader="dot" w:pos="9355"/>
          <w:tab w:val="clear" w:pos="9241"/>
        </w:tabs>
      </w:pPr>
      <w:r>
        <w:fldChar w:fldCharType="begin"/>
      </w:r>
      <w:r>
        <w:instrText xml:space="preserve"> HYPERLINK \l _Toc14705 </w:instrText>
      </w:r>
      <w:r>
        <w:fldChar w:fldCharType="separate"/>
      </w:r>
      <w:r>
        <w:rPr>
          <w:rFonts w:ascii="黑体" w:hAnsi="黑体" w:eastAsia="黑体" w:cs="黑体"/>
          <w:szCs w:val="21"/>
        </w:rPr>
        <w:t xml:space="preserve">8.2.2.1 </w:t>
      </w:r>
      <w:r>
        <w:rPr>
          <w:rFonts w:cs="黑体"/>
          <w:szCs w:val="21"/>
        </w:rPr>
        <w:t>取材方法</w:t>
      </w:r>
      <w:r>
        <w:tab/>
      </w:r>
      <w:r>
        <w:fldChar w:fldCharType="begin"/>
      </w:r>
      <w:r>
        <w:instrText xml:space="preserve"> PAGEREF _Toc14705 \h </w:instrText>
      </w:r>
      <w:r>
        <w:fldChar w:fldCharType="separate"/>
      </w:r>
      <w:r>
        <w:t>5</w:t>
      </w:r>
      <w:r>
        <w:fldChar w:fldCharType="end"/>
      </w:r>
      <w:r>
        <w:fldChar w:fldCharType="end"/>
      </w:r>
    </w:p>
    <w:p w14:paraId="0B607C27">
      <w:pPr>
        <w:pStyle w:val="13"/>
        <w:tabs>
          <w:tab w:val="right" w:leader="dot" w:pos="9355"/>
          <w:tab w:val="clear" w:pos="9241"/>
        </w:tabs>
      </w:pPr>
      <w:r>
        <w:fldChar w:fldCharType="begin"/>
      </w:r>
      <w:r>
        <w:instrText xml:space="preserve"> HYPERLINK \l _Toc31950 </w:instrText>
      </w:r>
      <w:r>
        <w:fldChar w:fldCharType="separate"/>
      </w:r>
      <w:r>
        <w:rPr>
          <w:rFonts w:ascii="黑体" w:hAnsi="黑体" w:eastAsia="黑体" w:cs="黑体"/>
          <w:szCs w:val="21"/>
        </w:rPr>
        <w:t xml:space="preserve">8.2.2.2 </w:t>
      </w:r>
      <w:r>
        <w:rPr>
          <w:rFonts w:cs="黑体"/>
          <w:szCs w:val="21"/>
        </w:rPr>
        <w:t>培养方法</w:t>
      </w:r>
      <w:r>
        <w:tab/>
      </w:r>
      <w:r>
        <w:fldChar w:fldCharType="begin"/>
      </w:r>
      <w:r>
        <w:instrText xml:space="preserve"> PAGEREF _Toc31950 \h </w:instrText>
      </w:r>
      <w:r>
        <w:fldChar w:fldCharType="separate"/>
      </w:r>
      <w:r>
        <w:t>6</w:t>
      </w:r>
      <w:r>
        <w:fldChar w:fldCharType="end"/>
      </w:r>
      <w:r>
        <w:fldChar w:fldCharType="end"/>
      </w:r>
    </w:p>
    <w:p w14:paraId="5049727E">
      <w:pPr>
        <w:pStyle w:val="13"/>
        <w:tabs>
          <w:tab w:val="right" w:leader="dot" w:pos="9355"/>
          <w:tab w:val="clear" w:pos="9241"/>
        </w:tabs>
      </w:pPr>
      <w:r>
        <w:fldChar w:fldCharType="begin"/>
      </w:r>
      <w:r>
        <w:instrText xml:space="preserve"> HYPERLINK \l _Toc110 </w:instrText>
      </w:r>
      <w:r>
        <w:fldChar w:fldCharType="separate"/>
      </w:r>
      <w:r>
        <w:rPr>
          <w:rFonts w:ascii="黑体" w:hAnsi="黑体" w:eastAsia="黑体" w:cs="黑体"/>
          <w:szCs w:val="21"/>
        </w:rPr>
        <w:t xml:space="preserve">8.2.2.3 </w:t>
      </w:r>
      <w:r>
        <w:rPr>
          <w:rFonts w:cs="黑体"/>
          <w:szCs w:val="21"/>
        </w:rPr>
        <w:t>二次处理方法</w:t>
      </w:r>
      <w:r>
        <w:tab/>
      </w:r>
      <w:r>
        <w:fldChar w:fldCharType="begin"/>
      </w:r>
      <w:r>
        <w:instrText xml:space="preserve"> PAGEREF _Toc110 \h </w:instrText>
      </w:r>
      <w:r>
        <w:fldChar w:fldCharType="separate"/>
      </w:r>
      <w:r>
        <w:t>6</w:t>
      </w:r>
      <w:r>
        <w:fldChar w:fldCharType="end"/>
      </w:r>
      <w:r>
        <w:fldChar w:fldCharType="end"/>
      </w:r>
    </w:p>
    <w:p w14:paraId="393BFABB">
      <w:pPr>
        <w:pStyle w:val="13"/>
        <w:tabs>
          <w:tab w:val="right" w:leader="dot" w:pos="9355"/>
          <w:tab w:val="clear" w:pos="9241"/>
        </w:tabs>
      </w:pPr>
      <w:r>
        <w:fldChar w:fldCharType="begin"/>
      </w:r>
      <w:r>
        <w:instrText xml:space="preserve"> HYPERLINK \l _Toc27092 </w:instrText>
      </w:r>
      <w:r>
        <w:fldChar w:fldCharType="separate"/>
      </w:r>
      <w:r>
        <w:rPr>
          <w:rFonts w:ascii="黑体" w:hAnsi="黑体" w:eastAsia="黑体" w:cs="黑体"/>
          <w:szCs w:val="21"/>
        </w:rPr>
        <w:t xml:space="preserve">8.2.2.4 </w:t>
      </w:r>
      <w:r>
        <w:rPr>
          <w:rFonts w:cs="黑体"/>
          <w:szCs w:val="21"/>
        </w:rPr>
        <w:t>繁育</w:t>
      </w:r>
      <w:r>
        <w:tab/>
      </w:r>
      <w:r>
        <w:fldChar w:fldCharType="begin"/>
      </w:r>
      <w:r>
        <w:instrText xml:space="preserve"> PAGEREF _Toc27092 \h </w:instrText>
      </w:r>
      <w:r>
        <w:fldChar w:fldCharType="separate"/>
      </w:r>
      <w:r>
        <w:t>6</w:t>
      </w:r>
      <w:r>
        <w:fldChar w:fldCharType="end"/>
      </w:r>
      <w:r>
        <w:fldChar w:fldCharType="end"/>
      </w:r>
    </w:p>
    <w:p w14:paraId="151CCADF">
      <w:pPr>
        <w:pStyle w:val="13"/>
        <w:tabs>
          <w:tab w:val="right" w:leader="dot" w:pos="9355"/>
          <w:tab w:val="clear" w:pos="9241"/>
        </w:tabs>
      </w:pPr>
      <w:r>
        <w:fldChar w:fldCharType="begin"/>
      </w:r>
      <w:r>
        <w:instrText xml:space="preserve"> HYPERLINK \l _Toc30848 </w:instrText>
      </w:r>
      <w:r>
        <w:fldChar w:fldCharType="separate"/>
      </w:r>
      <w:r>
        <w:rPr>
          <w:rFonts w:ascii="黑体" w:hAnsi="黑体" w:eastAsia="黑体" w:cs="黑体"/>
          <w:szCs w:val="21"/>
        </w:rPr>
        <w:t xml:space="preserve">8.2.2.5 </w:t>
      </w:r>
      <w:r>
        <w:rPr>
          <w:rFonts w:cs="黑体"/>
          <w:szCs w:val="21"/>
        </w:rPr>
        <w:t>生根培养</w:t>
      </w:r>
      <w:r>
        <w:tab/>
      </w:r>
      <w:r>
        <w:fldChar w:fldCharType="begin"/>
      </w:r>
      <w:r>
        <w:instrText xml:space="preserve"> PAGEREF _Toc30848 \h </w:instrText>
      </w:r>
      <w:r>
        <w:fldChar w:fldCharType="separate"/>
      </w:r>
      <w:r>
        <w:t>6</w:t>
      </w:r>
      <w:r>
        <w:fldChar w:fldCharType="end"/>
      </w:r>
      <w:r>
        <w:fldChar w:fldCharType="end"/>
      </w:r>
    </w:p>
    <w:p w14:paraId="67F29736">
      <w:pPr>
        <w:pStyle w:val="13"/>
        <w:tabs>
          <w:tab w:val="right" w:leader="dot" w:pos="9355"/>
          <w:tab w:val="clear" w:pos="9241"/>
        </w:tabs>
      </w:pPr>
      <w:r>
        <w:fldChar w:fldCharType="begin"/>
      </w:r>
      <w:r>
        <w:instrText xml:space="preserve"> HYPERLINK \l _Toc13523 </w:instrText>
      </w:r>
      <w:r>
        <w:fldChar w:fldCharType="separate"/>
      </w:r>
      <w:r>
        <w:rPr>
          <w:rFonts w:ascii="黑体" w:hAnsi="黑体" w:eastAsia="黑体" w:cs="黑体"/>
          <w:szCs w:val="21"/>
        </w:rPr>
        <w:t xml:space="preserve">8.2.2.6 </w:t>
      </w:r>
      <w:r>
        <w:rPr>
          <w:rFonts w:cs="黑体"/>
          <w:szCs w:val="21"/>
        </w:rPr>
        <w:t>残余物的处理</w:t>
      </w:r>
      <w:r>
        <w:tab/>
      </w:r>
      <w:r>
        <w:fldChar w:fldCharType="begin"/>
      </w:r>
      <w:r>
        <w:instrText xml:space="preserve"> PAGEREF _Toc13523 \h </w:instrText>
      </w:r>
      <w:r>
        <w:fldChar w:fldCharType="separate"/>
      </w:r>
      <w:r>
        <w:t>6</w:t>
      </w:r>
      <w:r>
        <w:fldChar w:fldCharType="end"/>
      </w:r>
      <w:r>
        <w:fldChar w:fldCharType="end"/>
      </w:r>
    </w:p>
    <w:p w14:paraId="65A2CC30">
      <w:pPr>
        <w:pStyle w:val="12"/>
        <w:tabs>
          <w:tab w:val="right" w:leader="dot" w:pos="9355"/>
          <w:tab w:val="clear" w:pos="9241"/>
        </w:tabs>
      </w:pPr>
      <w:r>
        <w:fldChar w:fldCharType="begin"/>
      </w:r>
      <w:r>
        <w:instrText xml:space="preserve"> HYPERLINK \l _Toc11268 </w:instrText>
      </w:r>
      <w:r>
        <w:fldChar w:fldCharType="separate"/>
      </w:r>
      <w:r>
        <w:rPr>
          <w:rFonts w:ascii="黑体" w:hAnsi="黑体" w:eastAsia="黑体" w:cs="黑体"/>
          <w:szCs w:val="21"/>
        </w:rPr>
        <w:t xml:space="preserve">9 </w:t>
      </w:r>
      <w:r>
        <w:rPr>
          <w:rFonts w:cs="黑体"/>
          <w:szCs w:val="21"/>
        </w:rPr>
        <w:t>检测</w:t>
      </w:r>
      <w:r>
        <w:tab/>
      </w:r>
      <w:r>
        <w:fldChar w:fldCharType="begin"/>
      </w:r>
      <w:r>
        <w:instrText xml:space="preserve"> PAGEREF _Toc11268 \h </w:instrText>
      </w:r>
      <w:r>
        <w:fldChar w:fldCharType="separate"/>
      </w:r>
      <w:r>
        <w:t>6</w:t>
      </w:r>
      <w:r>
        <w:fldChar w:fldCharType="end"/>
      </w:r>
      <w:r>
        <w:fldChar w:fldCharType="end"/>
      </w:r>
    </w:p>
    <w:p w14:paraId="32AFD79B">
      <w:pPr>
        <w:pStyle w:val="16"/>
        <w:tabs>
          <w:tab w:val="right" w:leader="dot" w:pos="9355"/>
          <w:tab w:val="clear" w:pos="9241"/>
        </w:tabs>
      </w:pPr>
      <w:r>
        <w:fldChar w:fldCharType="begin"/>
      </w:r>
      <w:r>
        <w:instrText xml:space="preserve"> HYPERLINK \l _Toc21094 </w:instrText>
      </w:r>
      <w:r>
        <w:fldChar w:fldCharType="separate"/>
      </w:r>
      <w:r>
        <w:rPr>
          <w:rFonts w:ascii="黑体" w:hAnsi="黑体" w:eastAsia="黑体" w:cs="黑体"/>
          <w:szCs w:val="21"/>
        </w:rPr>
        <w:t xml:space="preserve">9.1 </w:t>
      </w:r>
      <w:r>
        <w:rPr>
          <w:rFonts w:cs="黑体"/>
          <w:szCs w:val="21"/>
        </w:rPr>
        <w:t>病毒检测</w:t>
      </w:r>
      <w:r>
        <w:tab/>
      </w:r>
      <w:r>
        <w:fldChar w:fldCharType="begin"/>
      </w:r>
      <w:r>
        <w:instrText xml:space="preserve"> PAGEREF _Toc21094 \h </w:instrText>
      </w:r>
      <w:r>
        <w:fldChar w:fldCharType="separate"/>
      </w:r>
      <w:r>
        <w:t>6</w:t>
      </w:r>
      <w:r>
        <w:fldChar w:fldCharType="end"/>
      </w:r>
      <w:r>
        <w:fldChar w:fldCharType="end"/>
      </w:r>
    </w:p>
    <w:p w14:paraId="581F2B47">
      <w:pPr>
        <w:pStyle w:val="8"/>
        <w:tabs>
          <w:tab w:val="right" w:leader="dot" w:pos="9355"/>
          <w:tab w:val="clear" w:pos="9241"/>
        </w:tabs>
      </w:pPr>
      <w:r>
        <w:fldChar w:fldCharType="begin"/>
      </w:r>
      <w:r>
        <w:instrText xml:space="preserve"> HYPERLINK \l _Toc18964 </w:instrText>
      </w:r>
      <w:r>
        <w:fldChar w:fldCharType="separate"/>
      </w:r>
      <w:r>
        <w:rPr>
          <w:rFonts w:ascii="黑体" w:hAnsi="黑体" w:eastAsia="黑体" w:cs="黑体"/>
          <w:szCs w:val="21"/>
        </w:rPr>
        <w:t xml:space="preserve">9.1.1 </w:t>
      </w:r>
      <w:r>
        <w:rPr>
          <w:rFonts w:cs="黑体"/>
          <w:szCs w:val="21"/>
          <w:lang w:val="en-US" w:eastAsia="zh-CN"/>
        </w:rPr>
        <w:t>分子检测</w:t>
      </w:r>
      <w:r>
        <w:tab/>
      </w:r>
      <w:r>
        <w:fldChar w:fldCharType="begin"/>
      </w:r>
      <w:r>
        <w:instrText xml:space="preserve"> PAGEREF _Toc18964 \h </w:instrText>
      </w:r>
      <w:r>
        <w:fldChar w:fldCharType="separate"/>
      </w:r>
      <w:r>
        <w:t>6</w:t>
      </w:r>
      <w:r>
        <w:fldChar w:fldCharType="end"/>
      </w:r>
      <w:r>
        <w:fldChar w:fldCharType="end"/>
      </w:r>
    </w:p>
    <w:p w14:paraId="0DE77039">
      <w:pPr>
        <w:pStyle w:val="13"/>
        <w:tabs>
          <w:tab w:val="right" w:leader="dot" w:pos="9355"/>
          <w:tab w:val="clear" w:pos="9241"/>
        </w:tabs>
      </w:pPr>
      <w:r>
        <w:fldChar w:fldCharType="begin"/>
      </w:r>
      <w:r>
        <w:instrText xml:space="preserve"> HYPERLINK \l _Toc13947 </w:instrText>
      </w:r>
      <w:r>
        <w:fldChar w:fldCharType="separate"/>
      </w:r>
      <w:r>
        <w:rPr>
          <w:rFonts w:ascii="黑体" w:hAnsi="黑体" w:eastAsia="黑体" w:cs="黑体"/>
          <w:szCs w:val="21"/>
        </w:rPr>
        <w:t xml:space="preserve">9.1.1.1 </w:t>
      </w:r>
      <w:r>
        <w:rPr>
          <w:rFonts w:cs="黑体"/>
          <w:szCs w:val="21"/>
        </w:rPr>
        <w:t>BBTV病毒分子检测</w:t>
      </w:r>
      <w:r>
        <w:tab/>
      </w:r>
      <w:r>
        <w:fldChar w:fldCharType="begin"/>
      </w:r>
      <w:r>
        <w:instrText xml:space="preserve"> PAGEREF _Toc13947 \h </w:instrText>
      </w:r>
      <w:r>
        <w:fldChar w:fldCharType="separate"/>
      </w:r>
      <w:r>
        <w:t>6</w:t>
      </w:r>
      <w:r>
        <w:fldChar w:fldCharType="end"/>
      </w:r>
      <w:r>
        <w:fldChar w:fldCharType="end"/>
      </w:r>
    </w:p>
    <w:p w14:paraId="3012C463">
      <w:pPr>
        <w:pStyle w:val="13"/>
        <w:tabs>
          <w:tab w:val="right" w:leader="dot" w:pos="9355"/>
          <w:tab w:val="clear" w:pos="9241"/>
        </w:tabs>
      </w:pPr>
      <w:r>
        <w:fldChar w:fldCharType="begin"/>
      </w:r>
      <w:r>
        <w:instrText xml:space="preserve"> HYPERLINK \l _Toc31517 </w:instrText>
      </w:r>
      <w:r>
        <w:fldChar w:fldCharType="separate"/>
      </w:r>
      <w:r>
        <w:rPr>
          <w:rFonts w:ascii="黑体" w:hAnsi="黑体" w:eastAsia="黑体" w:cs="黑体"/>
          <w:szCs w:val="21"/>
        </w:rPr>
        <w:t xml:space="preserve">9.1.1.2 </w:t>
      </w:r>
      <w:r>
        <w:rPr>
          <w:rFonts w:cs="黑体"/>
          <w:szCs w:val="21"/>
        </w:rPr>
        <w:t>CMV的RT-PCR扩增</w:t>
      </w:r>
      <w:r>
        <w:tab/>
      </w:r>
      <w:r>
        <w:fldChar w:fldCharType="begin"/>
      </w:r>
      <w:r>
        <w:instrText xml:space="preserve"> PAGEREF _Toc31517 \h </w:instrText>
      </w:r>
      <w:r>
        <w:fldChar w:fldCharType="separate"/>
      </w:r>
      <w:r>
        <w:t>6</w:t>
      </w:r>
      <w:r>
        <w:fldChar w:fldCharType="end"/>
      </w:r>
      <w:r>
        <w:fldChar w:fldCharType="end"/>
      </w:r>
    </w:p>
    <w:p w14:paraId="07E92601">
      <w:pPr>
        <w:pStyle w:val="13"/>
        <w:tabs>
          <w:tab w:val="right" w:leader="dot" w:pos="9355"/>
          <w:tab w:val="clear" w:pos="9241"/>
        </w:tabs>
      </w:pPr>
      <w:r>
        <w:fldChar w:fldCharType="begin"/>
      </w:r>
      <w:r>
        <w:instrText xml:space="preserve"> HYPERLINK \l _Toc17190 </w:instrText>
      </w:r>
      <w:r>
        <w:fldChar w:fldCharType="separate"/>
      </w:r>
      <w:r>
        <w:rPr>
          <w:rFonts w:ascii="黑体" w:hAnsi="黑体" w:eastAsia="黑体" w:cs="黑体"/>
          <w:szCs w:val="21"/>
        </w:rPr>
        <w:t xml:space="preserve">9.1.1.3 </w:t>
      </w:r>
      <w:r>
        <w:rPr>
          <w:rFonts w:cs="黑体"/>
          <w:szCs w:val="21"/>
        </w:rPr>
        <w:t>PCR 产物凝胶电泳检测</w:t>
      </w:r>
      <w:r>
        <w:tab/>
      </w:r>
      <w:r>
        <w:fldChar w:fldCharType="begin"/>
      </w:r>
      <w:r>
        <w:instrText xml:space="preserve"> PAGEREF _Toc17190 \h </w:instrText>
      </w:r>
      <w:r>
        <w:fldChar w:fldCharType="separate"/>
      </w:r>
      <w:r>
        <w:t>7</w:t>
      </w:r>
      <w:r>
        <w:fldChar w:fldCharType="end"/>
      </w:r>
      <w:r>
        <w:fldChar w:fldCharType="end"/>
      </w:r>
    </w:p>
    <w:p w14:paraId="2673ED0A">
      <w:pPr>
        <w:pStyle w:val="13"/>
        <w:tabs>
          <w:tab w:val="right" w:leader="dot" w:pos="9355"/>
          <w:tab w:val="clear" w:pos="9241"/>
        </w:tabs>
      </w:pPr>
      <w:r>
        <w:fldChar w:fldCharType="begin"/>
      </w:r>
      <w:r>
        <w:instrText xml:space="preserve"> HYPERLINK \l _Toc20209 </w:instrText>
      </w:r>
      <w:r>
        <w:fldChar w:fldCharType="separate"/>
      </w:r>
      <w:r>
        <w:rPr>
          <w:rFonts w:ascii="黑体" w:hAnsi="黑体" w:eastAsia="黑体" w:cs="黑体"/>
          <w:szCs w:val="21"/>
        </w:rPr>
        <w:t xml:space="preserve">9.1.1.4 </w:t>
      </w:r>
      <w:r>
        <w:rPr>
          <w:rFonts w:cs="黑体"/>
          <w:szCs w:val="21"/>
        </w:rPr>
        <w:t>结果判定</w:t>
      </w:r>
      <w:r>
        <w:tab/>
      </w:r>
      <w:r>
        <w:fldChar w:fldCharType="begin"/>
      </w:r>
      <w:r>
        <w:instrText xml:space="preserve"> PAGEREF _Toc20209 \h </w:instrText>
      </w:r>
      <w:r>
        <w:fldChar w:fldCharType="separate"/>
      </w:r>
      <w:r>
        <w:t>7</w:t>
      </w:r>
      <w:r>
        <w:fldChar w:fldCharType="end"/>
      </w:r>
      <w:r>
        <w:fldChar w:fldCharType="end"/>
      </w:r>
    </w:p>
    <w:p w14:paraId="7A038AF8">
      <w:pPr>
        <w:pStyle w:val="8"/>
        <w:tabs>
          <w:tab w:val="right" w:leader="dot" w:pos="9355"/>
          <w:tab w:val="clear" w:pos="9241"/>
        </w:tabs>
      </w:pPr>
      <w:r>
        <w:fldChar w:fldCharType="begin"/>
      </w:r>
      <w:r>
        <w:instrText xml:space="preserve"> HYPERLINK \l _Toc20172 </w:instrText>
      </w:r>
      <w:r>
        <w:fldChar w:fldCharType="separate"/>
      </w:r>
      <w:r>
        <w:rPr>
          <w:rFonts w:ascii="黑体" w:hAnsi="黑体" w:eastAsia="黑体" w:cs="黑体"/>
          <w:szCs w:val="21"/>
        </w:rPr>
        <w:t xml:space="preserve">9.1.2 </w:t>
      </w:r>
      <w:r>
        <w:rPr>
          <w:rFonts w:cs="黑体"/>
          <w:szCs w:val="21"/>
        </w:rPr>
        <w:t>ELISA检测</w:t>
      </w:r>
      <w:r>
        <w:tab/>
      </w:r>
      <w:r>
        <w:fldChar w:fldCharType="begin"/>
      </w:r>
      <w:r>
        <w:instrText xml:space="preserve"> PAGEREF _Toc20172 \h </w:instrText>
      </w:r>
      <w:r>
        <w:fldChar w:fldCharType="separate"/>
      </w:r>
      <w:r>
        <w:t>7</w:t>
      </w:r>
      <w:r>
        <w:fldChar w:fldCharType="end"/>
      </w:r>
      <w:r>
        <w:fldChar w:fldCharType="end"/>
      </w:r>
    </w:p>
    <w:p w14:paraId="034CCF32">
      <w:pPr>
        <w:pStyle w:val="16"/>
        <w:tabs>
          <w:tab w:val="right" w:leader="dot" w:pos="9355"/>
          <w:tab w:val="clear" w:pos="9241"/>
        </w:tabs>
      </w:pPr>
      <w:r>
        <w:fldChar w:fldCharType="begin"/>
      </w:r>
      <w:r>
        <w:instrText xml:space="preserve"> HYPERLINK \l _Toc14521 </w:instrText>
      </w:r>
      <w:r>
        <w:fldChar w:fldCharType="separate"/>
      </w:r>
      <w:r>
        <w:rPr>
          <w:rFonts w:ascii="黑体" w:hAnsi="黑体" w:eastAsia="黑体" w:cs="黑体"/>
          <w:szCs w:val="21"/>
        </w:rPr>
        <w:t xml:space="preserve">9.2 </w:t>
      </w:r>
      <w:r>
        <w:rPr>
          <w:rFonts w:cs="黑体"/>
          <w:szCs w:val="21"/>
        </w:rPr>
        <w:t>线虫检测</w:t>
      </w:r>
      <w:r>
        <w:tab/>
      </w:r>
      <w:r>
        <w:fldChar w:fldCharType="begin"/>
      </w:r>
      <w:r>
        <w:instrText xml:space="preserve"> PAGEREF _Toc14521 \h </w:instrText>
      </w:r>
      <w:r>
        <w:fldChar w:fldCharType="separate"/>
      </w:r>
      <w:r>
        <w:t>7</w:t>
      </w:r>
      <w:r>
        <w:fldChar w:fldCharType="end"/>
      </w:r>
      <w:r>
        <w:fldChar w:fldCharType="end"/>
      </w:r>
    </w:p>
    <w:p w14:paraId="6F5436F0">
      <w:pPr>
        <w:pStyle w:val="8"/>
        <w:tabs>
          <w:tab w:val="right" w:leader="dot" w:pos="9355"/>
          <w:tab w:val="clear" w:pos="9241"/>
        </w:tabs>
      </w:pPr>
      <w:r>
        <w:fldChar w:fldCharType="begin"/>
      </w:r>
      <w:r>
        <w:instrText xml:space="preserve"> HYPERLINK \l _Toc1253 </w:instrText>
      </w:r>
      <w:r>
        <w:fldChar w:fldCharType="separate"/>
      </w:r>
      <w:r>
        <w:rPr>
          <w:rFonts w:ascii="黑体" w:hAnsi="黑体" w:eastAsia="黑体" w:cs="黑体"/>
          <w:szCs w:val="21"/>
        </w:rPr>
        <w:t xml:space="preserve">9.2.1 </w:t>
      </w:r>
      <w:r>
        <w:rPr>
          <w:rFonts w:cs="黑体"/>
          <w:szCs w:val="21"/>
        </w:rPr>
        <w:t>现场检疫</w:t>
      </w:r>
      <w:r>
        <w:tab/>
      </w:r>
      <w:r>
        <w:fldChar w:fldCharType="begin"/>
      </w:r>
      <w:r>
        <w:instrText xml:space="preserve"> PAGEREF _Toc1253 \h </w:instrText>
      </w:r>
      <w:r>
        <w:fldChar w:fldCharType="separate"/>
      </w:r>
      <w:r>
        <w:t>7</w:t>
      </w:r>
      <w:r>
        <w:fldChar w:fldCharType="end"/>
      </w:r>
      <w:r>
        <w:fldChar w:fldCharType="end"/>
      </w:r>
    </w:p>
    <w:p w14:paraId="3B78C53D">
      <w:pPr>
        <w:pStyle w:val="8"/>
        <w:tabs>
          <w:tab w:val="right" w:leader="dot" w:pos="9355"/>
          <w:tab w:val="clear" w:pos="9241"/>
        </w:tabs>
      </w:pPr>
      <w:r>
        <w:fldChar w:fldCharType="begin"/>
      </w:r>
      <w:r>
        <w:instrText xml:space="preserve"> HYPERLINK \l _Toc28471 </w:instrText>
      </w:r>
      <w:r>
        <w:fldChar w:fldCharType="separate"/>
      </w:r>
      <w:r>
        <w:rPr>
          <w:rFonts w:ascii="黑体" w:hAnsi="黑体" w:eastAsia="黑体" w:cs="黑体"/>
          <w:szCs w:val="21"/>
        </w:rPr>
        <w:t xml:space="preserve">9.2.2 </w:t>
      </w:r>
      <w:r>
        <w:rPr>
          <w:rFonts w:cs="黑体"/>
          <w:szCs w:val="21"/>
        </w:rPr>
        <w:t>实验室检验</w:t>
      </w:r>
      <w:r>
        <w:tab/>
      </w:r>
      <w:r>
        <w:fldChar w:fldCharType="begin"/>
      </w:r>
      <w:r>
        <w:instrText xml:space="preserve"> PAGEREF _Toc28471 \h </w:instrText>
      </w:r>
      <w:r>
        <w:fldChar w:fldCharType="separate"/>
      </w:r>
      <w:r>
        <w:t>7</w:t>
      </w:r>
      <w:r>
        <w:fldChar w:fldCharType="end"/>
      </w:r>
      <w:r>
        <w:fldChar w:fldCharType="end"/>
      </w:r>
    </w:p>
    <w:p w14:paraId="6568F00D">
      <w:pPr>
        <w:pStyle w:val="13"/>
        <w:tabs>
          <w:tab w:val="right" w:leader="dot" w:pos="9355"/>
          <w:tab w:val="clear" w:pos="9241"/>
        </w:tabs>
      </w:pPr>
      <w:r>
        <w:fldChar w:fldCharType="begin"/>
      </w:r>
      <w:r>
        <w:instrText xml:space="preserve"> HYPERLINK \l _Toc15792 </w:instrText>
      </w:r>
      <w:r>
        <w:fldChar w:fldCharType="separate"/>
      </w:r>
      <w:r>
        <w:rPr>
          <w:rFonts w:ascii="黑体" w:hAnsi="黑体" w:eastAsia="黑体" w:cs="黑体"/>
          <w:szCs w:val="21"/>
        </w:rPr>
        <w:t xml:space="preserve">9.2.2.1 </w:t>
      </w:r>
      <w:r>
        <w:rPr>
          <w:rFonts w:cs="黑体"/>
          <w:szCs w:val="21"/>
        </w:rPr>
        <w:t>样品分离</w:t>
      </w:r>
      <w:r>
        <w:tab/>
      </w:r>
      <w:r>
        <w:fldChar w:fldCharType="begin"/>
      </w:r>
      <w:r>
        <w:instrText xml:space="preserve"> PAGEREF _Toc15792 \h </w:instrText>
      </w:r>
      <w:r>
        <w:fldChar w:fldCharType="separate"/>
      </w:r>
      <w:r>
        <w:t>7</w:t>
      </w:r>
      <w:r>
        <w:fldChar w:fldCharType="end"/>
      </w:r>
      <w:r>
        <w:fldChar w:fldCharType="end"/>
      </w:r>
    </w:p>
    <w:p w14:paraId="51EE3517">
      <w:pPr>
        <w:pStyle w:val="13"/>
        <w:tabs>
          <w:tab w:val="right" w:leader="dot" w:pos="9355"/>
          <w:tab w:val="clear" w:pos="9241"/>
        </w:tabs>
      </w:pPr>
      <w:r>
        <w:fldChar w:fldCharType="begin"/>
      </w:r>
      <w:r>
        <w:instrText xml:space="preserve"> HYPERLINK \l _Toc31786 </w:instrText>
      </w:r>
      <w:r>
        <w:fldChar w:fldCharType="separate"/>
      </w:r>
      <w:r>
        <w:rPr>
          <w:rFonts w:ascii="黑体" w:hAnsi="黑体" w:eastAsia="黑体" w:cs="黑体"/>
          <w:szCs w:val="21"/>
        </w:rPr>
        <w:t xml:space="preserve">9.2.2.2 </w:t>
      </w:r>
      <w:r>
        <w:rPr>
          <w:rFonts w:cs="黑体"/>
          <w:szCs w:val="21"/>
        </w:rPr>
        <w:t>线虫分离</w:t>
      </w:r>
      <w:r>
        <w:tab/>
      </w:r>
      <w:r>
        <w:fldChar w:fldCharType="begin"/>
      </w:r>
      <w:r>
        <w:instrText xml:space="preserve"> PAGEREF _Toc31786 \h </w:instrText>
      </w:r>
      <w:r>
        <w:fldChar w:fldCharType="separate"/>
      </w:r>
      <w:r>
        <w:t>7</w:t>
      </w:r>
      <w:r>
        <w:fldChar w:fldCharType="end"/>
      </w:r>
      <w:r>
        <w:fldChar w:fldCharType="end"/>
      </w:r>
    </w:p>
    <w:p w14:paraId="1ED88FFE">
      <w:pPr>
        <w:pStyle w:val="13"/>
        <w:tabs>
          <w:tab w:val="right" w:leader="dot" w:pos="9355"/>
          <w:tab w:val="clear" w:pos="9241"/>
        </w:tabs>
      </w:pPr>
      <w:r>
        <w:fldChar w:fldCharType="begin"/>
      </w:r>
      <w:r>
        <w:instrText xml:space="preserve"> HYPERLINK \l _Toc3201 </w:instrText>
      </w:r>
      <w:r>
        <w:fldChar w:fldCharType="separate"/>
      </w:r>
      <w:r>
        <w:rPr>
          <w:rFonts w:ascii="黑体" w:hAnsi="黑体" w:eastAsia="黑体" w:cs="黑体"/>
          <w:szCs w:val="21"/>
        </w:rPr>
        <w:t xml:space="preserve">9.2.2.3 </w:t>
      </w:r>
      <w:r>
        <w:rPr>
          <w:rFonts w:cs="黑体"/>
          <w:szCs w:val="21"/>
        </w:rPr>
        <w:t>显微镜检查</w:t>
      </w:r>
      <w:r>
        <w:tab/>
      </w:r>
      <w:r>
        <w:fldChar w:fldCharType="begin"/>
      </w:r>
      <w:r>
        <w:instrText xml:space="preserve"> PAGEREF _Toc3201 \h </w:instrText>
      </w:r>
      <w:r>
        <w:fldChar w:fldCharType="separate"/>
      </w:r>
      <w:r>
        <w:t>7</w:t>
      </w:r>
      <w:r>
        <w:fldChar w:fldCharType="end"/>
      </w:r>
      <w:r>
        <w:fldChar w:fldCharType="end"/>
      </w:r>
    </w:p>
    <w:p w14:paraId="0547EAF9">
      <w:pPr>
        <w:pStyle w:val="13"/>
        <w:tabs>
          <w:tab w:val="right" w:leader="dot" w:pos="9355"/>
          <w:tab w:val="clear" w:pos="9241"/>
        </w:tabs>
      </w:pPr>
      <w:r>
        <w:fldChar w:fldCharType="begin"/>
      </w:r>
      <w:r>
        <w:instrText xml:space="preserve"> HYPERLINK \l _Toc23516 </w:instrText>
      </w:r>
      <w:r>
        <w:fldChar w:fldCharType="separate"/>
      </w:r>
      <w:r>
        <w:rPr>
          <w:rFonts w:ascii="黑体" w:hAnsi="黑体" w:eastAsia="黑体" w:cs="黑体"/>
          <w:szCs w:val="21"/>
        </w:rPr>
        <w:t xml:space="preserve">9.2.2.4 </w:t>
      </w:r>
      <w:r>
        <w:rPr>
          <w:rFonts w:cs="黑体"/>
          <w:szCs w:val="21"/>
        </w:rPr>
        <w:t>形态鉴定特征</w:t>
      </w:r>
      <w:r>
        <w:tab/>
      </w:r>
      <w:r>
        <w:fldChar w:fldCharType="begin"/>
      </w:r>
      <w:r>
        <w:instrText xml:space="preserve"> PAGEREF _Toc23516 \h </w:instrText>
      </w:r>
      <w:r>
        <w:fldChar w:fldCharType="separate"/>
      </w:r>
      <w:r>
        <w:t>7</w:t>
      </w:r>
      <w:r>
        <w:fldChar w:fldCharType="end"/>
      </w:r>
      <w:r>
        <w:fldChar w:fldCharType="end"/>
      </w:r>
    </w:p>
    <w:p w14:paraId="1B4BE733">
      <w:pPr>
        <w:pStyle w:val="8"/>
        <w:tabs>
          <w:tab w:val="right" w:leader="dot" w:pos="9355"/>
          <w:tab w:val="clear" w:pos="9241"/>
        </w:tabs>
      </w:pPr>
      <w:r>
        <w:fldChar w:fldCharType="begin"/>
      </w:r>
      <w:r>
        <w:instrText xml:space="preserve"> HYPERLINK \l _Toc410 </w:instrText>
      </w:r>
      <w:r>
        <w:fldChar w:fldCharType="separate"/>
      </w:r>
      <w:r>
        <w:rPr>
          <w:rFonts w:ascii="黑体" w:hAnsi="黑体" w:eastAsia="黑体" w:cs="黑体"/>
          <w:szCs w:val="21"/>
        </w:rPr>
        <w:t xml:space="preserve">9.2.3 </w:t>
      </w:r>
      <w:r>
        <w:rPr>
          <w:rFonts w:cs="黑体"/>
          <w:szCs w:val="21"/>
        </w:rPr>
        <w:t>分子检测</w:t>
      </w:r>
      <w:r>
        <w:tab/>
      </w:r>
      <w:r>
        <w:fldChar w:fldCharType="begin"/>
      </w:r>
      <w:r>
        <w:instrText xml:space="preserve"> PAGEREF _Toc410 \h </w:instrText>
      </w:r>
      <w:r>
        <w:fldChar w:fldCharType="separate"/>
      </w:r>
      <w:r>
        <w:t>7</w:t>
      </w:r>
      <w:r>
        <w:fldChar w:fldCharType="end"/>
      </w:r>
      <w:r>
        <w:fldChar w:fldCharType="end"/>
      </w:r>
    </w:p>
    <w:p w14:paraId="2A93111E">
      <w:pPr>
        <w:pStyle w:val="13"/>
        <w:tabs>
          <w:tab w:val="right" w:leader="dot" w:pos="9355"/>
          <w:tab w:val="clear" w:pos="9241"/>
        </w:tabs>
      </w:pPr>
      <w:r>
        <w:fldChar w:fldCharType="begin"/>
      </w:r>
      <w:r>
        <w:instrText xml:space="preserve"> HYPERLINK \l _Toc22051 </w:instrText>
      </w:r>
      <w:r>
        <w:fldChar w:fldCharType="separate"/>
      </w:r>
      <w:r>
        <w:rPr>
          <w:rFonts w:ascii="黑体" w:hAnsi="黑体" w:eastAsia="黑体" w:cs="黑体"/>
          <w:szCs w:val="21"/>
        </w:rPr>
        <w:t xml:space="preserve">9.2.3.1 </w:t>
      </w:r>
      <w:r>
        <w:rPr>
          <w:rFonts w:cs="黑体"/>
          <w:szCs w:val="21"/>
        </w:rPr>
        <w:t>DNA粗提</w:t>
      </w:r>
      <w:r>
        <w:tab/>
      </w:r>
      <w:r>
        <w:fldChar w:fldCharType="begin"/>
      </w:r>
      <w:r>
        <w:instrText xml:space="preserve"> PAGEREF _Toc22051 \h </w:instrText>
      </w:r>
      <w:r>
        <w:fldChar w:fldCharType="separate"/>
      </w:r>
      <w:r>
        <w:t>7</w:t>
      </w:r>
      <w:r>
        <w:fldChar w:fldCharType="end"/>
      </w:r>
      <w:r>
        <w:fldChar w:fldCharType="end"/>
      </w:r>
    </w:p>
    <w:p w14:paraId="6C50F804">
      <w:pPr>
        <w:pStyle w:val="13"/>
        <w:tabs>
          <w:tab w:val="right" w:leader="dot" w:pos="9355"/>
          <w:tab w:val="clear" w:pos="9241"/>
        </w:tabs>
      </w:pPr>
      <w:r>
        <w:fldChar w:fldCharType="begin"/>
      </w:r>
      <w:r>
        <w:instrText xml:space="preserve"> HYPERLINK \l _Toc17324 </w:instrText>
      </w:r>
      <w:r>
        <w:fldChar w:fldCharType="separate"/>
      </w:r>
      <w:r>
        <w:rPr>
          <w:rFonts w:ascii="黑体" w:hAnsi="黑体" w:eastAsia="黑体" w:cs="黑体"/>
          <w:szCs w:val="21"/>
        </w:rPr>
        <w:t xml:space="preserve">9.2.3.2 </w:t>
      </w:r>
      <w:r>
        <w:rPr>
          <w:rFonts w:cs="黑体"/>
          <w:szCs w:val="21"/>
        </w:rPr>
        <w:t>PCR检测</w:t>
      </w:r>
      <w:r>
        <w:tab/>
      </w:r>
      <w:r>
        <w:fldChar w:fldCharType="begin"/>
      </w:r>
      <w:r>
        <w:instrText xml:space="preserve"> PAGEREF _Toc17324 \h </w:instrText>
      </w:r>
      <w:r>
        <w:fldChar w:fldCharType="separate"/>
      </w:r>
      <w:r>
        <w:t>7</w:t>
      </w:r>
      <w:r>
        <w:fldChar w:fldCharType="end"/>
      </w:r>
      <w:r>
        <w:fldChar w:fldCharType="end"/>
      </w:r>
    </w:p>
    <w:p w14:paraId="382EA869">
      <w:pPr>
        <w:pStyle w:val="13"/>
        <w:tabs>
          <w:tab w:val="right" w:leader="dot" w:pos="9355"/>
          <w:tab w:val="clear" w:pos="9241"/>
        </w:tabs>
      </w:pPr>
      <w:r>
        <w:fldChar w:fldCharType="begin"/>
      </w:r>
      <w:r>
        <w:instrText xml:space="preserve"> HYPERLINK \l _Toc17496 </w:instrText>
      </w:r>
      <w:r>
        <w:fldChar w:fldCharType="separate"/>
      </w:r>
      <w:r>
        <w:rPr>
          <w:rFonts w:ascii="黑体" w:hAnsi="黑体" w:eastAsia="黑体" w:cs="黑体"/>
          <w:szCs w:val="21"/>
        </w:rPr>
        <w:t xml:space="preserve">9.2.3.3 </w:t>
      </w:r>
      <w:r>
        <w:rPr>
          <w:rFonts w:cs="黑体"/>
          <w:szCs w:val="21"/>
        </w:rPr>
        <w:t>对照设置</w:t>
      </w:r>
      <w:r>
        <w:tab/>
      </w:r>
      <w:r>
        <w:fldChar w:fldCharType="begin"/>
      </w:r>
      <w:r>
        <w:instrText xml:space="preserve"> PAGEREF _Toc17496 \h </w:instrText>
      </w:r>
      <w:r>
        <w:fldChar w:fldCharType="separate"/>
      </w:r>
      <w:r>
        <w:t>7</w:t>
      </w:r>
      <w:r>
        <w:fldChar w:fldCharType="end"/>
      </w:r>
      <w:r>
        <w:fldChar w:fldCharType="end"/>
      </w:r>
    </w:p>
    <w:p w14:paraId="7FE559CE">
      <w:pPr>
        <w:pStyle w:val="13"/>
        <w:tabs>
          <w:tab w:val="right" w:leader="dot" w:pos="9355"/>
          <w:tab w:val="clear" w:pos="9241"/>
        </w:tabs>
      </w:pPr>
      <w:r>
        <w:fldChar w:fldCharType="begin"/>
      </w:r>
      <w:r>
        <w:instrText xml:space="preserve"> HYPERLINK \l _Toc1644 </w:instrText>
      </w:r>
      <w:r>
        <w:fldChar w:fldCharType="separate"/>
      </w:r>
      <w:r>
        <w:rPr>
          <w:rFonts w:ascii="黑体" w:hAnsi="黑体" w:eastAsia="黑体" w:cs="黑体"/>
          <w:szCs w:val="21"/>
        </w:rPr>
        <w:t xml:space="preserve">9.2.3.4 </w:t>
      </w:r>
      <w:r>
        <w:rPr>
          <w:rFonts w:cs="黑体"/>
          <w:szCs w:val="21"/>
        </w:rPr>
        <w:t>琼脂糖凝胶电泳检测</w:t>
      </w:r>
      <w:r>
        <w:tab/>
      </w:r>
      <w:r>
        <w:fldChar w:fldCharType="begin"/>
      </w:r>
      <w:r>
        <w:instrText xml:space="preserve"> PAGEREF _Toc1644 \h </w:instrText>
      </w:r>
      <w:r>
        <w:fldChar w:fldCharType="separate"/>
      </w:r>
      <w:r>
        <w:t>8</w:t>
      </w:r>
      <w:r>
        <w:fldChar w:fldCharType="end"/>
      </w:r>
      <w:r>
        <w:fldChar w:fldCharType="end"/>
      </w:r>
    </w:p>
    <w:p w14:paraId="734931B1">
      <w:pPr>
        <w:pStyle w:val="16"/>
        <w:tabs>
          <w:tab w:val="right" w:leader="dot" w:pos="9355"/>
          <w:tab w:val="clear" w:pos="9241"/>
        </w:tabs>
      </w:pPr>
      <w:r>
        <w:fldChar w:fldCharType="begin"/>
      </w:r>
      <w:r>
        <w:instrText xml:space="preserve"> HYPERLINK \l _Toc21522 </w:instrText>
      </w:r>
      <w:r>
        <w:fldChar w:fldCharType="separate"/>
      </w:r>
      <w:r>
        <w:rPr>
          <w:rFonts w:hint="eastAsia" w:ascii="黑体" w:hAnsi="黑体" w:eastAsia="黑体" w:cs="黑体"/>
          <w:szCs w:val="21"/>
          <w:lang w:val="en-US" w:eastAsia="zh-CN"/>
        </w:rPr>
        <w:t xml:space="preserve">9.3 </w:t>
      </w:r>
      <w:r>
        <w:rPr>
          <w:rFonts w:hint="eastAsia" w:cs="黑体"/>
          <w:szCs w:val="21"/>
          <w:lang w:val="en-US" w:eastAsia="zh-CN"/>
        </w:rPr>
        <w:t>不合格材料处置</w:t>
      </w:r>
      <w:r>
        <w:tab/>
      </w:r>
      <w:r>
        <w:fldChar w:fldCharType="begin"/>
      </w:r>
      <w:r>
        <w:instrText xml:space="preserve"> PAGEREF _Toc21522 \h </w:instrText>
      </w:r>
      <w:r>
        <w:fldChar w:fldCharType="separate"/>
      </w:r>
      <w:r>
        <w:t>8</w:t>
      </w:r>
      <w:r>
        <w:fldChar w:fldCharType="end"/>
      </w:r>
      <w:r>
        <w:fldChar w:fldCharType="end"/>
      </w:r>
    </w:p>
    <w:p w14:paraId="4E21B8DB">
      <w:pPr>
        <w:pStyle w:val="12"/>
        <w:tabs>
          <w:tab w:val="right" w:leader="dot" w:pos="9355"/>
          <w:tab w:val="clear" w:pos="9241"/>
        </w:tabs>
      </w:pPr>
      <w:r>
        <w:fldChar w:fldCharType="begin"/>
      </w:r>
      <w:r>
        <w:instrText xml:space="preserve"> HYPERLINK \l _Toc20206 </w:instrText>
      </w:r>
      <w:r>
        <w:fldChar w:fldCharType="separate"/>
      </w:r>
      <w:r>
        <w:rPr>
          <w:rFonts w:ascii="黑体" w:hAnsi="黑体" w:eastAsia="黑体" w:cs="黑体"/>
          <w:szCs w:val="21"/>
        </w:rPr>
        <w:t xml:space="preserve">10 </w:t>
      </w:r>
      <w:r>
        <w:rPr>
          <w:rFonts w:cs="黑体"/>
          <w:szCs w:val="21"/>
        </w:rPr>
        <w:t>保存</w:t>
      </w:r>
      <w:r>
        <w:tab/>
      </w:r>
      <w:r>
        <w:fldChar w:fldCharType="begin"/>
      </w:r>
      <w:r>
        <w:instrText xml:space="preserve"> PAGEREF _Toc20206 \h </w:instrText>
      </w:r>
      <w:r>
        <w:fldChar w:fldCharType="separate"/>
      </w:r>
      <w:r>
        <w:t>8</w:t>
      </w:r>
      <w:r>
        <w:fldChar w:fldCharType="end"/>
      </w:r>
      <w:r>
        <w:fldChar w:fldCharType="end"/>
      </w:r>
    </w:p>
    <w:p w14:paraId="253EE624">
      <w:pPr>
        <w:pStyle w:val="16"/>
        <w:tabs>
          <w:tab w:val="right" w:leader="dot" w:pos="9355"/>
          <w:tab w:val="clear" w:pos="9241"/>
        </w:tabs>
      </w:pPr>
      <w:r>
        <w:fldChar w:fldCharType="begin"/>
      </w:r>
      <w:r>
        <w:instrText xml:space="preserve"> HYPERLINK \l _Toc5282 </w:instrText>
      </w:r>
      <w:r>
        <w:fldChar w:fldCharType="separate"/>
      </w:r>
      <w:r>
        <w:rPr>
          <w:rFonts w:hint="eastAsia" w:ascii="黑体" w:hAnsi="黑体" w:eastAsia="黑体" w:cs="黑体"/>
          <w:szCs w:val="21"/>
        </w:rPr>
        <w:t xml:space="preserve">10.1 </w:t>
      </w:r>
      <w:r>
        <w:rPr>
          <w:rFonts w:hint="eastAsia" w:cs="黑体"/>
          <w:szCs w:val="21"/>
          <w:lang w:val="en-US" w:eastAsia="zh-CN"/>
        </w:rPr>
        <w:t>常温</w:t>
      </w:r>
      <w:r>
        <w:rPr>
          <w:rFonts w:cs="黑体"/>
          <w:szCs w:val="21"/>
        </w:rPr>
        <w:t>保存</w:t>
      </w:r>
      <w:r>
        <w:tab/>
      </w:r>
      <w:r>
        <w:fldChar w:fldCharType="begin"/>
      </w:r>
      <w:r>
        <w:instrText xml:space="preserve"> PAGEREF _Toc5282 \h </w:instrText>
      </w:r>
      <w:r>
        <w:fldChar w:fldCharType="separate"/>
      </w:r>
      <w:r>
        <w:t>8</w:t>
      </w:r>
      <w:r>
        <w:fldChar w:fldCharType="end"/>
      </w:r>
      <w:r>
        <w:fldChar w:fldCharType="end"/>
      </w:r>
    </w:p>
    <w:p w14:paraId="521CDE7F">
      <w:pPr>
        <w:pStyle w:val="8"/>
        <w:tabs>
          <w:tab w:val="right" w:leader="dot" w:pos="9355"/>
          <w:tab w:val="clear" w:pos="9241"/>
        </w:tabs>
      </w:pPr>
      <w:r>
        <w:fldChar w:fldCharType="begin"/>
      </w:r>
      <w:r>
        <w:instrText xml:space="preserve"> HYPERLINK \l _Toc15257 </w:instrText>
      </w:r>
      <w:r>
        <w:fldChar w:fldCharType="separate"/>
      </w:r>
      <w:r>
        <w:rPr>
          <w:rFonts w:hint="eastAsia" w:ascii="黑体" w:hAnsi="黑体" w:eastAsia="黑体" w:cs="黑体"/>
          <w:szCs w:val="21"/>
        </w:rPr>
        <w:t xml:space="preserve">10.1.1 </w:t>
      </w:r>
      <w:r>
        <w:rPr>
          <w:rFonts w:cs="黑体"/>
          <w:szCs w:val="21"/>
        </w:rPr>
        <w:t>保存</w:t>
      </w:r>
      <w:r>
        <w:rPr>
          <w:rFonts w:hint="eastAsia" w:cs="黑体"/>
          <w:szCs w:val="21"/>
          <w:lang w:val="en-US" w:eastAsia="zh-CN"/>
        </w:rPr>
        <w:t>材料</w:t>
      </w:r>
      <w:r>
        <w:tab/>
      </w:r>
      <w:r>
        <w:fldChar w:fldCharType="begin"/>
      </w:r>
      <w:r>
        <w:instrText xml:space="preserve"> PAGEREF _Toc15257 \h </w:instrText>
      </w:r>
      <w:r>
        <w:fldChar w:fldCharType="separate"/>
      </w:r>
      <w:r>
        <w:t>8</w:t>
      </w:r>
      <w:r>
        <w:fldChar w:fldCharType="end"/>
      </w:r>
      <w:r>
        <w:fldChar w:fldCharType="end"/>
      </w:r>
    </w:p>
    <w:p w14:paraId="66F5CD4B">
      <w:pPr>
        <w:pStyle w:val="8"/>
        <w:tabs>
          <w:tab w:val="right" w:leader="dot" w:pos="9355"/>
          <w:tab w:val="clear" w:pos="9241"/>
        </w:tabs>
      </w:pPr>
      <w:r>
        <w:fldChar w:fldCharType="begin"/>
      </w:r>
      <w:r>
        <w:instrText xml:space="preserve"> HYPERLINK \l _Toc19887 </w:instrText>
      </w:r>
      <w:r>
        <w:fldChar w:fldCharType="separate"/>
      </w:r>
      <w:r>
        <w:rPr>
          <w:rFonts w:hint="eastAsia" w:ascii="黑体" w:hAnsi="黑体" w:eastAsia="黑体" w:cs="黑体"/>
          <w:szCs w:val="21"/>
        </w:rPr>
        <w:t xml:space="preserve">10.1.2 </w:t>
      </w:r>
      <w:r>
        <w:rPr>
          <w:rFonts w:cs="黑体"/>
          <w:szCs w:val="21"/>
        </w:rPr>
        <w:t>保存</w:t>
      </w:r>
      <w:r>
        <w:rPr>
          <w:rFonts w:hint="eastAsia" w:cs="黑体"/>
          <w:szCs w:val="21"/>
          <w:lang w:val="en-US" w:eastAsia="zh-CN"/>
        </w:rPr>
        <w:t>容器</w:t>
      </w:r>
      <w:r>
        <w:tab/>
      </w:r>
      <w:r>
        <w:fldChar w:fldCharType="begin"/>
      </w:r>
      <w:r>
        <w:instrText xml:space="preserve"> PAGEREF _Toc19887 \h </w:instrText>
      </w:r>
      <w:r>
        <w:fldChar w:fldCharType="separate"/>
      </w:r>
      <w:r>
        <w:t>8</w:t>
      </w:r>
      <w:r>
        <w:fldChar w:fldCharType="end"/>
      </w:r>
      <w:r>
        <w:fldChar w:fldCharType="end"/>
      </w:r>
    </w:p>
    <w:p w14:paraId="5F141E68">
      <w:pPr>
        <w:pStyle w:val="8"/>
        <w:tabs>
          <w:tab w:val="right" w:leader="dot" w:pos="9355"/>
          <w:tab w:val="clear" w:pos="9241"/>
        </w:tabs>
      </w:pPr>
      <w:r>
        <w:fldChar w:fldCharType="begin"/>
      </w:r>
      <w:r>
        <w:instrText xml:space="preserve"> HYPERLINK \l _Toc29933 </w:instrText>
      </w:r>
      <w:r>
        <w:fldChar w:fldCharType="separate"/>
      </w:r>
      <w:r>
        <w:rPr>
          <w:rFonts w:hint="eastAsia" w:ascii="黑体" w:hAnsi="黑体" w:eastAsia="黑体" w:cs="黑体"/>
          <w:szCs w:val="21"/>
        </w:rPr>
        <w:t xml:space="preserve">10.1.3 </w:t>
      </w:r>
      <w:r>
        <w:rPr>
          <w:rFonts w:cs="黑体"/>
          <w:szCs w:val="21"/>
        </w:rPr>
        <w:t>保存</w:t>
      </w:r>
      <w:r>
        <w:rPr>
          <w:rFonts w:hint="eastAsia" w:cs="黑体"/>
          <w:szCs w:val="21"/>
          <w:lang w:val="en-US" w:eastAsia="zh-CN"/>
        </w:rPr>
        <w:t>条件</w:t>
      </w:r>
      <w:r>
        <w:tab/>
      </w:r>
      <w:r>
        <w:fldChar w:fldCharType="begin"/>
      </w:r>
      <w:r>
        <w:instrText xml:space="preserve"> PAGEREF _Toc29933 \h </w:instrText>
      </w:r>
      <w:r>
        <w:fldChar w:fldCharType="separate"/>
      </w:r>
      <w:r>
        <w:t>8</w:t>
      </w:r>
      <w:r>
        <w:fldChar w:fldCharType="end"/>
      </w:r>
      <w:r>
        <w:fldChar w:fldCharType="end"/>
      </w:r>
    </w:p>
    <w:p w14:paraId="708CB70D">
      <w:pPr>
        <w:pStyle w:val="8"/>
        <w:tabs>
          <w:tab w:val="right" w:leader="dot" w:pos="9355"/>
          <w:tab w:val="clear" w:pos="9241"/>
        </w:tabs>
      </w:pPr>
      <w:r>
        <w:fldChar w:fldCharType="begin"/>
      </w:r>
      <w:r>
        <w:instrText xml:space="preserve"> HYPERLINK \l _Toc20316 </w:instrText>
      </w:r>
      <w:r>
        <w:fldChar w:fldCharType="separate"/>
      </w:r>
      <w:r>
        <w:rPr>
          <w:rFonts w:hint="eastAsia" w:ascii="黑体" w:hAnsi="黑体" w:eastAsia="黑体" w:cs="黑体"/>
          <w:szCs w:val="21"/>
        </w:rPr>
        <w:t xml:space="preserve">10.1.4 </w:t>
      </w:r>
      <w:r>
        <w:rPr>
          <w:rFonts w:cs="黑体"/>
          <w:szCs w:val="21"/>
        </w:rPr>
        <w:t>保存</w:t>
      </w:r>
      <w:r>
        <w:rPr>
          <w:rFonts w:hint="eastAsia" w:cs="黑体"/>
          <w:szCs w:val="21"/>
          <w:lang w:val="en-US" w:eastAsia="zh-CN"/>
        </w:rPr>
        <w:t>数量</w:t>
      </w:r>
      <w:r>
        <w:tab/>
      </w:r>
      <w:r>
        <w:fldChar w:fldCharType="begin"/>
      </w:r>
      <w:r>
        <w:instrText xml:space="preserve"> PAGEREF _Toc20316 \h </w:instrText>
      </w:r>
      <w:r>
        <w:fldChar w:fldCharType="separate"/>
      </w:r>
      <w:r>
        <w:t>8</w:t>
      </w:r>
      <w:r>
        <w:fldChar w:fldCharType="end"/>
      </w:r>
      <w:r>
        <w:fldChar w:fldCharType="end"/>
      </w:r>
    </w:p>
    <w:p w14:paraId="5F69C1FA">
      <w:pPr>
        <w:pStyle w:val="8"/>
        <w:tabs>
          <w:tab w:val="right" w:leader="dot" w:pos="9355"/>
          <w:tab w:val="clear" w:pos="9241"/>
        </w:tabs>
      </w:pPr>
      <w:r>
        <w:fldChar w:fldCharType="begin"/>
      </w:r>
      <w:r>
        <w:instrText xml:space="preserve"> HYPERLINK \l _Toc21894 </w:instrText>
      </w:r>
      <w:r>
        <w:fldChar w:fldCharType="separate"/>
      </w:r>
      <w:r>
        <w:rPr>
          <w:rFonts w:hint="eastAsia" w:ascii="黑体" w:hAnsi="黑体" w:eastAsia="黑体" w:cs="黑体"/>
          <w:szCs w:val="21"/>
        </w:rPr>
        <w:t xml:space="preserve">10.1.5 </w:t>
      </w:r>
      <w:r>
        <w:rPr>
          <w:rFonts w:hint="eastAsia" w:cs="黑体"/>
          <w:szCs w:val="21"/>
          <w:lang w:val="en-US" w:eastAsia="zh-CN"/>
        </w:rPr>
        <w:t>继代时间</w:t>
      </w:r>
      <w:r>
        <w:tab/>
      </w:r>
      <w:r>
        <w:fldChar w:fldCharType="begin"/>
      </w:r>
      <w:r>
        <w:instrText xml:space="preserve"> PAGEREF _Toc21894 \h </w:instrText>
      </w:r>
      <w:r>
        <w:fldChar w:fldCharType="separate"/>
      </w:r>
      <w:r>
        <w:t>8</w:t>
      </w:r>
      <w:r>
        <w:fldChar w:fldCharType="end"/>
      </w:r>
      <w:r>
        <w:fldChar w:fldCharType="end"/>
      </w:r>
    </w:p>
    <w:p w14:paraId="26C6AC45">
      <w:pPr>
        <w:pStyle w:val="16"/>
        <w:tabs>
          <w:tab w:val="right" w:leader="dot" w:pos="9355"/>
          <w:tab w:val="clear" w:pos="9241"/>
        </w:tabs>
      </w:pPr>
      <w:r>
        <w:fldChar w:fldCharType="begin"/>
      </w:r>
      <w:r>
        <w:instrText xml:space="preserve"> HYPERLINK \l _Toc12501 </w:instrText>
      </w:r>
      <w:r>
        <w:fldChar w:fldCharType="separate"/>
      </w:r>
      <w:r>
        <w:rPr>
          <w:rFonts w:hint="eastAsia" w:ascii="黑体" w:hAnsi="黑体" w:eastAsia="黑体" w:cs="黑体"/>
          <w:szCs w:val="21"/>
        </w:rPr>
        <w:t xml:space="preserve">10.2 </w:t>
      </w:r>
      <w:r>
        <w:rPr>
          <w:rFonts w:hint="eastAsia" w:cs="黑体"/>
          <w:szCs w:val="21"/>
          <w:lang w:val="en-US" w:eastAsia="zh-CN"/>
        </w:rPr>
        <w:t>低温保存</w:t>
      </w:r>
      <w:r>
        <w:tab/>
      </w:r>
      <w:r>
        <w:fldChar w:fldCharType="begin"/>
      </w:r>
      <w:r>
        <w:instrText xml:space="preserve"> PAGEREF _Toc12501 \h </w:instrText>
      </w:r>
      <w:r>
        <w:fldChar w:fldCharType="separate"/>
      </w:r>
      <w:r>
        <w:t>8</w:t>
      </w:r>
      <w:r>
        <w:fldChar w:fldCharType="end"/>
      </w:r>
      <w:r>
        <w:fldChar w:fldCharType="end"/>
      </w:r>
    </w:p>
    <w:p w14:paraId="4A259EC7">
      <w:pPr>
        <w:pStyle w:val="8"/>
        <w:tabs>
          <w:tab w:val="right" w:leader="dot" w:pos="9355"/>
          <w:tab w:val="clear" w:pos="9241"/>
        </w:tabs>
      </w:pPr>
      <w:r>
        <w:fldChar w:fldCharType="begin"/>
      </w:r>
      <w:r>
        <w:instrText xml:space="preserve"> HYPERLINK \l _Toc2797 </w:instrText>
      </w:r>
      <w:r>
        <w:fldChar w:fldCharType="separate"/>
      </w:r>
      <w:r>
        <w:rPr>
          <w:rFonts w:hint="eastAsia" w:ascii="黑体" w:hAnsi="黑体" w:eastAsia="黑体" w:cs="黑体"/>
          <w:szCs w:val="21"/>
        </w:rPr>
        <w:t xml:space="preserve">10.2.1 </w:t>
      </w:r>
      <w:r>
        <w:rPr>
          <w:rFonts w:cs="黑体"/>
          <w:szCs w:val="21"/>
        </w:rPr>
        <w:t>保存</w:t>
      </w:r>
      <w:r>
        <w:rPr>
          <w:rFonts w:hint="eastAsia" w:cs="黑体"/>
          <w:szCs w:val="21"/>
          <w:lang w:val="en-US" w:eastAsia="zh-CN"/>
        </w:rPr>
        <w:t>材料</w:t>
      </w:r>
      <w:r>
        <w:tab/>
      </w:r>
      <w:r>
        <w:fldChar w:fldCharType="begin"/>
      </w:r>
      <w:r>
        <w:instrText xml:space="preserve"> PAGEREF _Toc2797 \h </w:instrText>
      </w:r>
      <w:r>
        <w:fldChar w:fldCharType="separate"/>
      </w:r>
      <w:r>
        <w:t>8</w:t>
      </w:r>
      <w:r>
        <w:fldChar w:fldCharType="end"/>
      </w:r>
      <w:r>
        <w:fldChar w:fldCharType="end"/>
      </w:r>
    </w:p>
    <w:p w14:paraId="2E10A2F4">
      <w:pPr>
        <w:pStyle w:val="8"/>
        <w:tabs>
          <w:tab w:val="right" w:leader="dot" w:pos="9355"/>
          <w:tab w:val="clear" w:pos="9241"/>
        </w:tabs>
      </w:pPr>
      <w:r>
        <w:fldChar w:fldCharType="begin"/>
      </w:r>
      <w:r>
        <w:instrText xml:space="preserve"> HYPERLINK \l _Toc22602 </w:instrText>
      </w:r>
      <w:r>
        <w:fldChar w:fldCharType="separate"/>
      </w:r>
      <w:r>
        <w:rPr>
          <w:rFonts w:hint="eastAsia" w:ascii="黑体" w:hAnsi="黑体" w:eastAsia="黑体" w:cs="黑体"/>
          <w:szCs w:val="21"/>
        </w:rPr>
        <w:t xml:space="preserve">10.2.2 </w:t>
      </w:r>
      <w:r>
        <w:rPr>
          <w:rFonts w:cs="黑体"/>
          <w:szCs w:val="21"/>
        </w:rPr>
        <w:t>保存</w:t>
      </w:r>
      <w:r>
        <w:rPr>
          <w:rFonts w:hint="eastAsia" w:cs="黑体"/>
          <w:szCs w:val="21"/>
          <w:lang w:val="en-US" w:eastAsia="zh-CN"/>
        </w:rPr>
        <w:t>容器</w:t>
      </w:r>
      <w:r>
        <w:tab/>
      </w:r>
      <w:r>
        <w:fldChar w:fldCharType="begin"/>
      </w:r>
      <w:r>
        <w:instrText xml:space="preserve"> PAGEREF _Toc22602 \h </w:instrText>
      </w:r>
      <w:r>
        <w:fldChar w:fldCharType="separate"/>
      </w:r>
      <w:r>
        <w:t>8</w:t>
      </w:r>
      <w:r>
        <w:fldChar w:fldCharType="end"/>
      </w:r>
      <w:r>
        <w:fldChar w:fldCharType="end"/>
      </w:r>
    </w:p>
    <w:p w14:paraId="274FA318">
      <w:pPr>
        <w:pStyle w:val="8"/>
        <w:tabs>
          <w:tab w:val="right" w:leader="dot" w:pos="9355"/>
          <w:tab w:val="clear" w:pos="9241"/>
        </w:tabs>
      </w:pPr>
      <w:r>
        <w:fldChar w:fldCharType="begin"/>
      </w:r>
      <w:r>
        <w:instrText xml:space="preserve"> HYPERLINK \l _Toc15927 </w:instrText>
      </w:r>
      <w:r>
        <w:fldChar w:fldCharType="separate"/>
      </w:r>
      <w:r>
        <w:rPr>
          <w:rFonts w:hint="eastAsia" w:ascii="黑体" w:hAnsi="黑体" w:eastAsia="黑体" w:cs="黑体"/>
          <w:szCs w:val="21"/>
        </w:rPr>
        <w:t xml:space="preserve">10.2.3 </w:t>
      </w:r>
      <w:r>
        <w:rPr>
          <w:rFonts w:cs="黑体"/>
          <w:szCs w:val="21"/>
        </w:rPr>
        <w:t>保存</w:t>
      </w:r>
      <w:r>
        <w:rPr>
          <w:rFonts w:hint="eastAsia" w:cs="黑体"/>
          <w:szCs w:val="21"/>
          <w:lang w:val="en-US" w:eastAsia="zh-CN"/>
        </w:rPr>
        <w:t>条件</w:t>
      </w:r>
      <w:r>
        <w:tab/>
      </w:r>
      <w:r>
        <w:fldChar w:fldCharType="begin"/>
      </w:r>
      <w:r>
        <w:instrText xml:space="preserve"> PAGEREF _Toc15927 \h </w:instrText>
      </w:r>
      <w:r>
        <w:fldChar w:fldCharType="separate"/>
      </w:r>
      <w:r>
        <w:t>8</w:t>
      </w:r>
      <w:r>
        <w:fldChar w:fldCharType="end"/>
      </w:r>
      <w:r>
        <w:fldChar w:fldCharType="end"/>
      </w:r>
    </w:p>
    <w:p w14:paraId="2869C36B">
      <w:pPr>
        <w:pStyle w:val="8"/>
        <w:tabs>
          <w:tab w:val="right" w:leader="dot" w:pos="9355"/>
          <w:tab w:val="clear" w:pos="9241"/>
        </w:tabs>
      </w:pPr>
      <w:r>
        <w:fldChar w:fldCharType="begin"/>
      </w:r>
      <w:r>
        <w:instrText xml:space="preserve"> HYPERLINK \l _Toc16274 </w:instrText>
      </w:r>
      <w:r>
        <w:fldChar w:fldCharType="separate"/>
      </w:r>
      <w:r>
        <w:rPr>
          <w:rFonts w:hint="eastAsia" w:ascii="黑体" w:hAnsi="黑体" w:eastAsia="黑体" w:cs="黑体"/>
          <w:szCs w:val="21"/>
        </w:rPr>
        <w:t xml:space="preserve">10.2.4 </w:t>
      </w:r>
      <w:r>
        <w:rPr>
          <w:rFonts w:cs="黑体"/>
          <w:szCs w:val="21"/>
        </w:rPr>
        <w:t>保存</w:t>
      </w:r>
      <w:r>
        <w:rPr>
          <w:rFonts w:hint="eastAsia" w:cs="黑体"/>
          <w:szCs w:val="21"/>
          <w:lang w:val="en-US" w:eastAsia="zh-CN"/>
        </w:rPr>
        <w:t>数量</w:t>
      </w:r>
      <w:r>
        <w:tab/>
      </w:r>
      <w:r>
        <w:fldChar w:fldCharType="begin"/>
      </w:r>
      <w:r>
        <w:instrText xml:space="preserve"> PAGEREF _Toc16274 \h </w:instrText>
      </w:r>
      <w:r>
        <w:fldChar w:fldCharType="separate"/>
      </w:r>
      <w:r>
        <w:t>9</w:t>
      </w:r>
      <w:r>
        <w:fldChar w:fldCharType="end"/>
      </w:r>
      <w:r>
        <w:fldChar w:fldCharType="end"/>
      </w:r>
    </w:p>
    <w:p w14:paraId="0520DEEA">
      <w:pPr>
        <w:pStyle w:val="8"/>
        <w:tabs>
          <w:tab w:val="right" w:leader="dot" w:pos="9355"/>
          <w:tab w:val="clear" w:pos="9241"/>
        </w:tabs>
      </w:pPr>
      <w:r>
        <w:fldChar w:fldCharType="begin"/>
      </w:r>
      <w:r>
        <w:instrText xml:space="preserve"> HYPERLINK \l _Toc2707 </w:instrText>
      </w:r>
      <w:r>
        <w:fldChar w:fldCharType="separate"/>
      </w:r>
      <w:r>
        <w:rPr>
          <w:rFonts w:hint="eastAsia" w:ascii="黑体" w:hAnsi="黑体" w:eastAsia="黑体" w:cs="黑体"/>
          <w:szCs w:val="21"/>
        </w:rPr>
        <w:t xml:space="preserve">10.2.5 </w:t>
      </w:r>
      <w:r>
        <w:rPr>
          <w:rFonts w:hint="eastAsia" w:cs="黑体"/>
          <w:szCs w:val="21"/>
          <w:lang w:val="en-US" w:eastAsia="zh-CN"/>
        </w:rPr>
        <w:t>继代时间</w:t>
      </w:r>
      <w:r>
        <w:tab/>
      </w:r>
      <w:r>
        <w:fldChar w:fldCharType="begin"/>
      </w:r>
      <w:r>
        <w:instrText xml:space="preserve"> PAGEREF _Toc2707 \h </w:instrText>
      </w:r>
      <w:r>
        <w:fldChar w:fldCharType="separate"/>
      </w:r>
      <w:r>
        <w:t>9</w:t>
      </w:r>
      <w:r>
        <w:fldChar w:fldCharType="end"/>
      </w:r>
      <w:r>
        <w:fldChar w:fldCharType="end"/>
      </w:r>
    </w:p>
    <w:p w14:paraId="61C9F38E">
      <w:pPr>
        <w:pStyle w:val="16"/>
        <w:tabs>
          <w:tab w:val="right" w:leader="dot" w:pos="9355"/>
          <w:tab w:val="clear" w:pos="9241"/>
        </w:tabs>
      </w:pPr>
      <w:r>
        <w:fldChar w:fldCharType="begin"/>
      </w:r>
      <w:r>
        <w:instrText xml:space="preserve"> HYPERLINK \l _Toc17161 </w:instrText>
      </w:r>
      <w:r>
        <w:fldChar w:fldCharType="separate"/>
      </w:r>
      <w:r>
        <w:rPr>
          <w:rFonts w:hint="eastAsia" w:ascii="黑体" w:hAnsi="黑体" w:eastAsia="黑体" w:cs="黑体"/>
          <w:szCs w:val="21"/>
        </w:rPr>
        <w:t xml:space="preserve">10.3 </w:t>
      </w:r>
      <w:r>
        <w:rPr>
          <w:rFonts w:hint="eastAsia" w:cs="黑体"/>
          <w:szCs w:val="21"/>
          <w:lang w:val="en-US" w:eastAsia="zh-CN"/>
        </w:rPr>
        <w:t>超低温保存</w:t>
      </w:r>
      <w:r>
        <w:tab/>
      </w:r>
      <w:r>
        <w:fldChar w:fldCharType="begin"/>
      </w:r>
      <w:r>
        <w:instrText xml:space="preserve"> PAGEREF _Toc17161 \h </w:instrText>
      </w:r>
      <w:r>
        <w:fldChar w:fldCharType="separate"/>
      </w:r>
      <w:r>
        <w:t>9</w:t>
      </w:r>
      <w:r>
        <w:fldChar w:fldCharType="end"/>
      </w:r>
      <w:r>
        <w:fldChar w:fldCharType="end"/>
      </w:r>
    </w:p>
    <w:p w14:paraId="062D5747">
      <w:pPr>
        <w:pStyle w:val="8"/>
        <w:tabs>
          <w:tab w:val="right" w:leader="dot" w:pos="9355"/>
          <w:tab w:val="clear" w:pos="9241"/>
        </w:tabs>
      </w:pPr>
      <w:r>
        <w:fldChar w:fldCharType="begin"/>
      </w:r>
      <w:r>
        <w:instrText xml:space="preserve"> HYPERLINK \l _Toc29818 </w:instrText>
      </w:r>
      <w:r>
        <w:fldChar w:fldCharType="separate"/>
      </w:r>
      <w:r>
        <w:rPr>
          <w:rFonts w:hint="eastAsia" w:ascii="黑体" w:hAnsi="黑体" w:eastAsia="黑体" w:cs="黑体"/>
          <w:szCs w:val="21"/>
        </w:rPr>
        <w:t xml:space="preserve">10.3.1 </w:t>
      </w:r>
      <w:r>
        <w:rPr>
          <w:rFonts w:cs="黑体"/>
          <w:szCs w:val="21"/>
        </w:rPr>
        <w:t>保存</w:t>
      </w:r>
      <w:r>
        <w:rPr>
          <w:rFonts w:hint="eastAsia" w:cs="黑体"/>
          <w:szCs w:val="21"/>
          <w:lang w:val="en-US" w:eastAsia="zh-CN"/>
        </w:rPr>
        <w:t>材料</w:t>
      </w:r>
      <w:r>
        <w:tab/>
      </w:r>
      <w:r>
        <w:fldChar w:fldCharType="begin"/>
      </w:r>
      <w:r>
        <w:instrText xml:space="preserve"> PAGEREF _Toc29818 \h </w:instrText>
      </w:r>
      <w:r>
        <w:fldChar w:fldCharType="separate"/>
      </w:r>
      <w:r>
        <w:t>9</w:t>
      </w:r>
      <w:r>
        <w:fldChar w:fldCharType="end"/>
      </w:r>
      <w:r>
        <w:fldChar w:fldCharType="end"/>
      </w:r>
    </w:p>
    <w:p w14:paraId="6FE4A4CB">
      <w:pPr>
        <w:pStyle w:val="8"/>
        <w:tabs>
          <w:tab w:val="right" w:leader="dot" w:pos="9355"/>
          <w:tab w:val="clear" w:pos="9241"/>
        </w:tabs>
      </w:pPr>
      <w:r>
        <w:fldChar w:fldCharType="begin"/>
      </w:r>
      <w:r>
        <w:instrText xml:space="preserve"> HYPERLINK \l _Toc13550 </w:instrText>
      </w:r>
      <w:r>
        <w:fldChar w:fldCharType="separate"/>
      </w:r>
      <w:r>
        <w:rPr>
          <w:rFonts w:hint="eastAsia" w:ascii="黑体" w:hAnsi="黑体" w:eastAsia="黑体" w:cs="黑体"/>
          <w:szCs w:val="21"/>
        </w:rPr>
        <w:t xml:space="preserve">10.3.2 </w:t>
      </w:r>
      <w:r>
        <w:rPr>
          <w:rFonts w:cs="黑体"/>
          <w:szCs w:val="21"/>
        </w:rPr>
        <w:t>保存</w:t>
      </w:r>
      <w:r>
        <w:rPr>
          <w:rFonts w:hint="eastAsia" w:cs="黑体"/>
          <w:szCs w:val="21"/>
          <w:lang w:val="en-US" w:eastAsia="zh-CN"/>
        </w:rPr>
        <w:t>数量</w:t>
      </w:r>
      <w:r>
        <w:tab/>
      </w:r>
      <w:r>
        <w:fldChar w:fldCharType="begin"/>
      </w:r>
      <w:r>
        <w:instrText xml:space="preserve"> PAGEREF _Toc13550 \h </w:instrText>
      </w:r>
      <w:r>
        <w:fldChar w:fldCharType="separate"/>
      </w:r>
      <w:r>
        <w:t>9</w:t>
      </w:r>
      <w:r>
        <w:fldChar w:fldCharType="end"/>
      </w:r>
      <w:r>
        <w:fldChar w:fldCharType="end"/>
      </w:r>
    </w:p>
    <w:p w14:paraId="76D68DAA">
      <w:pPr>
        <w:pStyle w:val="8"/>
        <w:tabs>
          <w:tab w:val="right" w:leader="dot" w:pos="9355"/>
          <w:tab w:val="clear" w:pos="9241"/>
        </w:tabs>
      </w:pPr>
      <w:r>
        <w:fldChar w:fldCharType="begin"/>
      </w:r>
      <w:r>
        <w:instrText xml:space="preserve"> HYPERLINK \l _Toc31230 </w:instrText>
      </w:r>
      <w:r>
        <w:fldChar w:fldCharType="separate"/>
      </w:r>
      <w:r>
        <w:rPr>
          <w:rFonts w:hint="eastAsia" w:ascii="黑体" w:hAnsi="黑体" w:eastAsia="黑体" w:cs="黑体"/>
          <w:szCs w:val="21"/>
        </w:rPr>
        <w:t xml:space="preserve">10.3.3 </w:t>
      </w:r>
      <w:r>
        <w:rPr>
          <w:rFonts w:hint="eastAsia" w:cs="黑体"/>
          <w:szCs w:val="21"/>
          <w:lang w:val="en-US" w:eastAsia="zh-CN"/>
        </w:rPr>
        <w:t>预培养</w:t>
      </w:r>
      <w:r>
        <w:tab/>
      </w:r>
      <w:r>
        <w:fldChar w:fldCharType="begin"/>
      </w:r>
      <w:r>
        <w:instrText xml:space="preserve"> PAGEREF _Toc31230 \h </w:instrText>
      </w:r>
      <w:r>
        <w:fldChar w:fldCharType="separate"/>
      </w:r>
      <w:r>
        <w:t>9</w:t>
      </w:r>
      <w:r>
        <w:fldChar w:fldCharType="end"/>
      </w:r>
      <w:r>
        <w:fldChar w:fldCharType="end"/>
      </w:r>
    </w:p>
    <w:p w14:paraId="4C4B919E">
      <w:pPr>
        <w:pStyle w:val="8"/>
        <w:tabs>
          <w:tab w:val="right" w:leader="dot" w:pos="9355"/>
          <w:tab w:val="clear" w:pos="9241"/>
        </w:tabs>
      </w:pPr>
      <w:r>
        <w:fldChar w:fldCharType="begin"/>
      </w:r>
      <w:r>
        <w:instrText xml:space="preserve"> HYPERLINK \l _Toc32375 </w:instrText>
      </w:r>
      <w:r>
        <w:fldChar w:fldCharType="separate"/>
      </w:r>
      <w:r>
        <w:rPr>
          <w:rFonts w:hint="eastAsia" w:ascii="黑体" w:hAnsi="黑体" w:eastAsia="黑体" w:cs="黑体"/>
          <w:szCs w:val="21"/>
        </w:rPr>
        <w:t xml:space="preserve">10.3.4 </w:t>
      </w:r>
      <w:r>
        <w:rPr>
          <w:rFonts w:hint="eastAsia" w:ascii="宋体" w:hAnsi="宋体" w:eastAsia="宋体" w:cs="宋体"/>
          <w:szCs w:val="21"/>
        </w:rPr>
        <w:t>分离无菌茎尖</w:t>
      </w:r>
      <w:r>
        <w:tab/>
      </w:r>
      <w:r>
        <w:fldChar w:fldCharType="begin"/>
      </w:r>
      <w:r>
        <w:instrText xml:space="preserve"> PAGEREF _Toc32375 \h </w:instrText>
      </w:r>
      <w:r>
        <w:fldChar w:fldCharType="separate"/>
      </w:r>
      <w:r>
        <w:t>9</w:t>
      </w:r>
      <w:r>
        <w:fldChar w:fldCharType="end"/>
      </w:r>
      <w:r>
        <w:fldChar w:fldCharType="end"/>
      </w:r>
    </w:p>
    <w:p w14:paraId="44AF8090">
      <w:pPr>
        <w:pStyle w:val="8"/>
        <w:tabs>
          <w:tab w:val="right" w:leader="dot" w:pos="9355"/>
          <w:tab w:val="clear" w:pos="9241"/>
        </w:tabs>
      </w:pPr>
      <w:r>
        <w:fldChar w:fldCharType="begin"/>
      </w:r>
      <w:r>
        <w:instrText xml:space="preserve"> HYPERLINK \l _Toc320 </w:instrText>
      </w:r>
      <w:r>
        <w:fldChar w:fldCharType="separate"/>
      </w:r>
      <w:r>
        <w:rPr>
          <w:rFonts w:hint="eastAsia" w:ascii="黑体" w:hAnsi="黑体" w:eastAsia="黑体" w:cs="黑体"/>
          <w:szCs w:val="21"/>
        </w:rPr>
        <w:t xml:space="preserve">10.3.5 </w:t>
      </w:r>
      <w:r>
        <w:rPr>
          <w:rFonts w:hint="eastAsia" w:cs="黑体"/>
          <w:szCs w:val="21"/>
          <w:lang w:val="en-US" w:eastAsia="zh-CN"/>
        </w:rPr>
        <w:t>装载</w:t>
      </w:r>
      <w:r>
        <w:tab/>
      </w:r>
      <w:r>
        <w:fldChar w:fldCharType="begin"/>
      </w:r>
      <w:r>
        <w:instrText xml:space="preserve"> PAGEREF _Toc320 \h </w:instrText>
      </w:r>
      <w:r>
        <w:fldChar w:fldCharType="separate"/>
      </w:r>
      <w:r>
        <w:t>9</w:t>
      </w:r>
      <w:r>
        <w:fldChar w:fldCharType="end"/>
      </w:r>
      <w:r>
        <w:fldChar w:fldCharType="end"/>
      </w:r>
    </w:p>
    <w:p w14:paraId="4A76CAFD">
      <w:pPr>
        <w:pStyle w:val="8"/>
        <w:tabs>
          <w:tab w:val="right" w:leader="dot" w:pos="9355"/>
          <w:tab w:val="clear" w:pos="9241"/>
        </w:tabs>
      </w:pPr>
      <w:r>
        <w:fldChar w:fldCharType="begin"/>
      </w:r>
      <w:r>
        <w:instrText xml:space="preserve"> HYPERLINK \l _Toc26296 </w:instrText>
      </w:r>
      <w:r>
        <w:fldChar w:fldCharType="separate"/>
      </w:r>
      <w:r>
        <w:rPr>
          <w:rFonts w:hint="eastAsia" w:ascii="黑体" w:hAnsi="黑体" w:eastAsia="黑体" w:cs="黑体"/>
          <w:szCs w:val="21"/>
        </w:rPr>
        <w:t xml:space="preserve">10.3.6 </w:t>
      </w:r>
      <w:r>
        <w:rPr>
          <w:rFonts w:hint="eastAsia" w:cs="黑体"/>
          <w:szCs w:val="21"/>
          <w:lang w:val="en-US" w:eastAsia="zh-CN"/>
        </w:rPr>
        <w:t>脱水</w:t>
      </w:r>
      <w:r>
        <w:tab/>
      </w:r>
      <w:r>
        <w:fldChar w:fldCharType="begin"/>
      </w:r>
      <w:r>
        <w:instrText xml:space="preserve"> PAGEREF _Toc26296 \h </w:instrText>
      </w:r>
      <w:r>
        <w:fldChar w:fldCharType="separate"/>
      </w:r>
      <w:r>
        <w:t>9</w:t>
      </w:r>
      <w:r>
        <w:fldChar w:fldCharType="end"/>
      </w:r>
      <w:r>
        <w:fldChar w:fldCharType="end"/>
      </w:r>
    </w:p>
    <w:p w14:paraId="67369F41">
      <w:pPr>
        <w:pStyle w:val="8"/>
        <w:tabs>
          <w:tab w:val="right" w:leader="dot" w:pos="9355"/>
          <w:tab w:val="clear" w:pos="9241"/>
        </w:tabs>
      </w:pPr>
      <w:r>
        <w:fldChar w:fldCharType="begin"/>
      </w:r>
      <w:r>
        <w:instrText xml:space="preserve"> HYPERLINK \l _Toc20876 </w:instrText>
      </w:r>
      <w:r>
        <w:fldChar w:fldCharType="separate"/>
      </w:r>
      <w:r>
        <w:rPr>
          <w:rFonts w:hint="eastAsia" w:ascii="黑体" w:hAnsi="黑体" w:eastAsia="黑体" w:cs="黑体"/>
          <w:szCs w:val="21"/>
        </w:rPr>
        <w:t xml:space="preserve">10.3.7 </w:t>
      </w:r>
      <w:r>
        <w:rPr>
          <w:rFonts w:hint="eastAsia" w:cs="黑体"/>
          <w:szCs w:val="21"/>
          <w:lang w:val="en-US" w:eastAsia="zh-CN"/>
        </w:rPr>
        <w:t>快速冷冻保存</w:t>
      </w:r>
      <w:r>
        <w:tab/>
      </w:r>
      <w:r>
        <w:fldChar w:fldCharType="begin"/>
      </w:r>
      <w:r>
        <w:instrText xml:space="preserve"> PAGEREF _Toc20876 \h </w:instrText>
      </w:r>
      <w:r>
        <w:fldChar w:fldCharType="separate"/>
      </w:r>
      <w:r>
        <w:t>9</w:t>
      </w:r>
      <w:r>
        <w:fldChar w:fldCharType="end"/>
      </w:r>
      <w:r>
        <w:fldChar w:fldCharType="end"/>
      </w:r>
    </w:p>
    <w:p w14:paraId="20062B2C">
      <w:pPr>
        <w:pStyle w:val="8"/>
        <w:tabs>
          <w:tab w:val="right" w:leader="dot" w:pos="9355"/>
          <w:tab w:val="clear" w:pos="9241"/>
        </w:tabs>
      </w:pPr>
      <w:r>
        <w:fldChar w:fldCharType="begin"/>
      </w:r>
      <w:r>
        <w:instrText xml:space="preserve"> HYPERLINK \l _Toc20811 </w:instrText>
      </w:r>
      <w:r>
        <w:fldChar w:fldCharType="separate"/>
      </w:r>
      <w:r>
        <w:rPr>
          <w:rFonts w:hint="eastAsia" w:ascii="黑体" w:hAnsi="黑体" w:eastAsia="黑体" w:cs="黑体"/>
          <w:szCs w:val="21"/>
        </w:rPr>
        <w:t xml:space="preserve">10.3.8 </w:t>
      </w:r>
      <w:r>
        <w:rPr>
          <w:rFonts w:hint="eastAsia" w:cs="黑体"/>
          <w:szCs w:val="21"/>
          <w:lang w:val="en-US" w:eastAsia="zh-CN"/>
        </w:rPr>
        <w:t>化冻</w:t>
      </w:r>
      <w:r>
        <w:tab/>
      </w:r>
      <w:r>
        <w:fldChar w:fldCharType="begin"/>
      </w:r>
      <w:r>
        <w:instrText xml:space="preserve"> PAGEREF _Toc20811 \h </w:instrText>
      </w:r>
      <w:r>
        <w:fldChar w:fldCharType="separate"/>
      </w:r>
      <w:r>
        <w:t>9</w:t>
      </w:r>
      <w:r>
        <w:fldChar w:fldCharType="end"/>
      </w:r>
      <w:r>
        <w:fldChar w:fldCharType="end"/>
      </w:r>
    </w:p>
    <w:p w14:paraId="7E99435F">
      <w:pPr>
        <w:pStyle w:val="8"/>
        <w:tabs>
          <w:tab w:val="right" w:leader="dot" w:pos="9355"/>
          <w:tab w:val="clear" w:pos="9241"/>
        </w:tabs>
      </w:pPr>
      <w:r>
        <w:fldChar w:fldCharType="begin"/>
      </w:r>
      <w:r>
        <w:instrText xml:space="preserve"> HYPERLINK \l _Toc7047 </w:instrText>
      </w:r>
      <w:r>
        <w:fldChar w:fldCharType="separate"/>
      </w:r>
      <w:r>
        <w:rPr>
          <w:rFonts w:hint="eastAsia" w:ascii="黑体" w:hAnsi="黑体" w:eastAsia="黑体" w:cs="黑体"/>
          <w:szCs w:val="21"/>
        </w:rPr>
        <w:t xml:space="preserve">10.3.9 </w:t>
      </w:r>
      <w:r>
        <w:rPr>
          <w:rFonts w:hint="eastAsia" w:cs="黑体"/>
          <w:szCs w:val="21"/>
          <w:lang w:val="en-US" w:eastAsia="zh-CN"/>
        </w:rPr>
        <w:t>卸载</w:t>
      </w:r>
      <w:r>
        <w:tab/>
      </w:r>
      <w:r>
        <w:fldChar w:fldCharType="begin"/>
      </w:r>
      <w:r>
        <w:instrText xml:space="preserve"> PAGEREF _Toc7047 \h </w:instrText>
      </w:r>
      <w:r>
        <w:fldChar w:fldCharType="separate"/>
      </w:r>
      <w:r>
        <w:t>9</w:t>
      </w:r>
      <w:r>
        <w:fldChar w:fldCharType="end"/>
      </w:r>
      <w:r>
        <w:fldChar w:fldCharType="end"/>
      </w:r>
    </w:p>
    <w:p w14:paraId="4E636DB8">
      <w:pPr>
        <w:pStyle w:val="8"/>
        <w:tabs>
          <w:tab w:val="right" w:leader="dot" w:pos="9355"/>
          <w:tab w:val="clear" w:pos="9241"/>
        </w:tabs>
      </w:pPr>
      <w:r>
        <w:fldChar w:fldCharType="begin"/>
      </w:r>
      <w:r>
        <w:instrText xml:space="preserve"> HYPERLINK \l _Toc472 </w:instrText>
      </w:r>
      <w:r>
        <w:fldChar w:fldCharType="separate"/>
      </w:r>
      <w:r>
        <w:rPr>
          <w:rFonts w:hint="eastAsia" w:ascii="黑体" w:hAnsi="黑体" w:eastAsia="黑体" w:cs="黑体"/>
          <w:szCs w:val="21"/>
        </w:rPr>
        <w:t xml:space="preserve">10.3.10 </w:t>
      </w:r>
      <w:r>
        <w:rPr>
          <w:rFonts w:hint="eastAsia" w:cs="黑体"/>
          <w:szCs w:val="21"/>
          <w:lang w:val="en-US" w:eastAsia="zh-CN"/>
        </w:rPr>
        <w:t>再生</w:t>
      </w:r>
      <w:r>
        <w:tab/>
      </w:r>
      <w:r>
        <w:fldChar w:fldCharType="begin"/>
      </w:r>
      <w:r>
        <w:instrText xml:space="preserve"> PAGEREF _Toc472 \h </w:instrText>
      </w:r>
      <w:r>
        <w:fldChar w:fldCharType="separate"/>
      </w:r>
      <w:r>
        <w:t>9</w:t>
      </w:r>
      <w:r>
        <w:fldChar w:fldCharType="end"/>
      </w:r>
      <w:r>
        <w:fldChar w:fldCharType="end"/>
      </w:r>
    </w:p>
    <w:p w14:paraId="00D74290">
      <w:pPr>
        <w:pStyle w:val="12"/>
        <w:tabs>
          <w:tab w:val="right" w:leader="dot" w:pos="9355"/>
          <w:tab w:val="clear" w:pos="9241"/>
        </w:tabs>
      </w:pPr>
      <w:r>
        <w:fldChar w:fldCharType="begin"/>
      </w:r>
      <w:r>
        <w:instrText xml:space="preserve"> HYPERLINK \l _Toc23434 </w:instrText>
      </w:r>
      <w:r>
        <w:fldChar w:fldCharType="separate"/>
      </w:r>
      <w:r>
        <w:rPr>
          <w:rFonts w:hint="eastAsia" w:ascii="黑体" w:hAnsi="黑体" w:eastAsia="黑体" w:cs="黑体"/>
          <w:szCs w:val="21"/>
        </w:rPr>
        <w:t xml:space="preserve">11 </w:t>
      </w:r>
      <w:r>
        <w:rPr>
          <w:rFonts w:hint="eastAsia" w:cs="黑体"/>
          <w:szCs w:val="21"/>
          <w:lang w:val="en-US" w:eastAsia="zh-CN"/>
        </w:rPr>
        <w:t>技术指标</w:t>
      </w:r>
      <w:r>
        <w:tab/>
      </w:r>
      <w:r>
        <w:fldChar w:fldCharType="begin"/>
      </w:r>
      <w:r>
        <w:instrText xml:space="preserve"> PAGEREF _Toc23434 \h </w:instrText>
      </w:r>
      <w:r>
        <w:fldChar w:fldCharType="separate"/>
      </w:r>
      <w:r>
        <w:t>10</w:t>
      </w:r>
      <w:r>
        <w:fldChar w:fldCharType="end"/>
      </w:r>
      <w:r>
        <w:fldChar w:fldCharType="end"/>
      </w:r>
    </w:p>
    <w:p w14:paraId="7DF7A916">
      <w:pPr>
        <w:pStyle w:val="16"/>
        <w:tabs>
          <w:tab w:val="right" w:leader="dot" w:pos="9355"/>
          <w:tab w:val="clear" w:pos="9241"/>
        </w:tabs>
      </w:pPr>
      <w:r>
        <w:fldChar w:fldCharType="begin"/>
      </w:r>
      <w:r>
        <w:instrText xml:space="preserve"> HYPERLINK \l _Toc21874 </w:instrText>
      </w:r>
      <w:r>
        <w:fldChar w:fldCharType="separate"/>
      </w:r>
      <w:r>
        <w:rPr>
          <w:rFonts w:hint="eastAsia" w:ascii="黑体" w:hAnsi="黑体" w:eastAsia="黑体" w:cs="黑体"/>
          <w:szCs w:val="21"/>
        </w:rPr>
        <w:t xml:space="preserve">11.1 </w:t>
      </w:r>
      <w:r>
        <w:rPr>
          <w:rFonts w:hint="eastAsia" w:cs="黑体"/>
          <w:szCs w:val="21"/>
          <w:lang w:val="en-US" w:eastAsia="zh-CN"/>
        </w:rPr>
        <w:t>常温保存</w:t>
      </w:r>
      <w:r>
        <w:tab/>
      </w:r>
      <w:r>
        <w:fldChar w:fldCharType="begin"/>
      </w:r>
      <w:r>
        <w:instrText xml:space="preserve"> PAGEREF _Toc21874 \h </w:instrText>
      </w:r>
      <w:r>
        <w:fldChar w:fldCharType="separate"/>
      </w:r>
      <w:r>
        <w:t>10</w:t>
      </w:r>
      <w:r>
        <w:fldChar w:fldCharType="end"/>
      </w:r>
      <w:r>
        <w:fldChar w:fldCharType="end"/>
      </w:r>
    </w:p>
    <w:p w14:paraId="52DB8D55">
      <w:pPr>
        <w:pStyle w:val="16"/>
        <w:tabs>
          <w:tab w:val="right" w:leader="dot" w:pos="9355"/>
          <w:tab w:val="clear" w:pos="9241"/>
        </w:tabs>
      </w:pPr>
      <w:r>
        <w:fldChar w:fldCharType="begin"/>
      </w:r>
      <w:r>
        <w:instrText xml:space="preserve"> HYPERLINK \l _Toc3061 </w:instrText>
      </w:r>
      <w:r>
        <w:fldChar w:fldCharType="separate"/>
      </w:r>
      <w:r>
        <w:rPr>
          <w:rFonts w:hint="eastAsia" w:ascii="黑体" w:hAnsi="黑体" w:eastAsia="黑体" w:cs="黑体"/>
          <w:szCs w:val="21"/>
        </w:rPr>
        <w:t xml:space="preserve">11.2 </w:t>
      </w:r>
      <w:r>
        <w:rPr>
          <w:rFonts w:hint="eastAsia" w:cs="黑体"/>
          <w:szCs w:val="21"/>
          <w:lang w:val="en-US" w:eastAsia="zh-CN"/>
        </w:rPr>
        <w:t>低温保存</w:t>
      </w:r>
      <w:r>
        <w:tab/>
      </w:r>
      <w:r>
        <w:fldChar w:fldCharType="begin"/>
      </w:r>
      <w:r>
        <w:instrText xml:space="preserve"> PAGEREF _Toc3061 \h </w:instrText>
      </w:r>
      <w:r>
        <w:fldChar w:fldCharType="separate"/>
      </w:r>
      <w:r>
        <w:t>10</w:t>
      </w:r>
      <w:r>
        <w:fldChar w:fldCharType="end"/>
      </w:r>
      <w:r>
        <w:fldChar w:fldCharType="end"/>
      </w:r>
    </w:p>
    <w:p w14:paraId="6F706338">
      <w:pPr>
        <w:pStyle w:val="16"/>
        <w:tabs>
          <w:tab w:val="right" w:leader="dot" w:pos="9355"/>
          <w:tab w:val="clear" w:pos="9241"/>
        </w:tabs>
      </w:pPr>
      <w:r>
        <w:fldChar w:fldCharType="begin"/>
      </w:r>
      <w:r>
        <w:instrText xml:space="preserve"> HYPERLINK \l _Toc4140 </w:instrText>
      </w:r>
      <w:r>
        <w:fldChar w:fldCharType="separate"/>
      </w:r>
      <w:r>
        <w:rPr>
          <w:rFonts w:hint="eastAsia" w:ascii="黑体" w:hAnsi="黑体" w:eastAsia="黑体" w:cs="黑体"/>
          <w:szCs w:val="21"/>
        </w:rPr>
        <w:t xml:space="preserve">11.3 </w:t>
      </w:r>
      <w:r>
        <w:rPr>
          <w:rFonts w:hint="eastAsia" w:cs="黑体"/>
          <w:szCs w:val="21"/>
          <w:lang w:val="en-US" w:eastAsia="zh-CN"/>
        </w:rPr>
        <w:t>超低温保存</w:t>
      </w:r>
      <w:r>
        <w:tab/>
      </w:r>
      <w:r>
        <w:fldChar w:fldCharType="begin"/>
      </w:r>
      <w:r>
        <w:instrText xml:space="preserve"> PAGEREF _Toc4140 \h </w:instrText>
      </w:r>
      <w:r>
        <w:fldChar w:fldCharType="separate"/>
      </w:r>
      <w:r>
        <w:t>10</w:t>
      </w:r>
      <w:r>
        <w:fldChar w:fldCharType="end"/>
      </w:r>
      <w:r>
        <w:fldChar w:fldCharType="end"/>
      </w:r>
    </w:p>
    <w:p w14:paraId="7A913D02">
      <w:pPr>
        <w:pStyle w:val="16"/>
        <w:tabs>
          <w:tab w:val="right" w:leader="dot" w:pos="9355"/>
          <w:tab w:val="clear" w:pos="9241"/>
        </w:tabs>
      </w:pPr>
      <w:r>
        <w:fldChar w:fldCharType="begin"/>
      </w:r>
      <w:r>
        <w:instrText xml:space="preserve"> HYPERLINK \l _Toc3828 </w:instrText>
      </w:r>
      <w:r>
        <w:fldChar w:fldCharType="separate"/>
      </w:r>
      <w:r>
        <w:rPr>
          <w:rFonts w:hint="eastAsia" w:ascii="黑体" w:hAnsi="黑体" w:eastAsia="黑体" w:cs="黑体"/>
          <w:szCs w:val="21"/>
        </w:rPr>
        <w:t xml:space="preserve">11.4 </w:t>
      </w:r>
      <w:r>
        <w:rPr>
          <w:rFonts w:hint="eastAsia" w:cs="黑体"/>
          <w:szCs w:val="21"/>
          <w:lang w:val="en-US" w:eastAsia="zh-CN"/>
        </w:rPr>
        <w:t>无害代</w:t>
      </w:r>
      <w:r>
        <w:tab/>
      </w:r>
      <w:r>
        <w:fldChar w:fldCharType="begin"/>
      </w:r>
      <w:r>
        <w:instrText xml:space="preserve"> PAGEREF _Toc3828 \h </w:instrText>
      </w:r>
      <w:r>
        <w:fldChar w:fldCharType="separate"/>
      </w:r>
      <w:r>
        <w:t>10</w:t>
      </w:r>
      <w:r>
        <w:fldChar w:fldCharType="end"/>
      </w:r>
      <w:r>
        <w:fldChar w:fldCharType="end"/>
      </w:r>
    </w:p>
    <w:p w14:paraId="6C44259D">
      <w:pPr>
        <w:pStyle w:val="16"/>
        <w:tabs>
          <w:tab w:val="right" w:leader="dot" w:pos="9355"/>
          <w:tab w:val="clear" w:pos="9241"/>
        </w:tabs>
      </w:pPr>
      <w:r>
        <w:fldChar w:fldCharType="begin"/>
      </w:r>
      <w:r>
        <w:instrText xml:space="preserve"> HYPERLINK \l _Toc10309 </w:instrText>
      </w:r>
      <w:r>
        <w:fldChar w:fldCharType="separate"/>
      </w:r>
      <w:r>
        <w:rPr>
          <w:rFonts w:hint="eastAsia" w:ascii="黑体" w:hAnsi="黑体" w:eastAsia="黑体" w:cs="黑体"/>
          <w:szCs w:val="21"/>
        </w:rPr>
        <w:t xml:space="preserve">11.5 </w:t>
      </w:r>
      <w:r>
        <w:rPr>
          <w:rFonts w:hint="eastAsia" w:cs="黑体"/>
          <w:szCs w:val="21"/>
          <w:lang w:val="en-US" w:eastAsia="zh-CN"/>
        </w:rPr>
        <w:t>挽救</w:t>
      </w:r>
      <w:r>
        <w:tab/>
      </w:r>
      <w:r>
        <w:fldChar w:fldCharType="begin"/>
      </w:r>
      <w:r>
        <w:instrText xml:space="preserve"> PAGEREF _Toc10309 \h </w:instrText>
      </w:r>
      <w:r>
        <w:fldChar w:fldCharType="separate"/>
      </w:r>
      <w:r>
        <w:t>10</w:t>
      </w:r>
      <w:r>
        <w:fldChar w:fldCharType="end"/>
      </w:r>
      <w:r>
        <w:fldChar w:fldCharType="end"/>
      </w:r>
    </w:p>
    <w:p w14:paraId="2783E9A5">
      <w:pPr>
        <w:pStyle w:val="12"/>
        <w:tabs>
          <w:tab w:val="right" w:leader="dot" w:pos="9355"/>
          <w:tab w:val="clear" w:pos="9241"/>
        </w:tabs>
      </w:pPr>
      <w:r>
        <w:fldChar w:fldCharType="begin"/>
      </w:r>
      <w:r>
        <w:instrText xml:space="preserve"> HYPERLINK \l _Toc13193 </w:instrText>
      </w:r>
      <w:r>
        <w:fldChar w:fldCharType="separate"/>
      </w:r>
      <w:r>
        <w:rPr>
          <w:rFonts w:hint="default" w:ascii="黑体" w:hAnsi="黑体" w:eastAsia="黑体" w:cs="黑体"/>
          <w:szCs w:val="21"/>
          <w:lang w:val="en-US" w:eastAsia="zh-CN"/>
        </w:rPr>
        <w:t xml:space="preserve">12 </w:t>
      </w:r>
      <w:r>
        <w:rPr>
          <w:rFonts w:hint="eastAsia" w:cs="黑体"/>
          <w:szCs w:val="21"/>
          <w:lang w:val="en-US" w:eastAsia="zh-CN"/>
        </w:rPr>
        <w:t>种质资源信息管理</w:t>
      </w:r>
      <w:r>
        <w:tab/>
      </w:r>
      <w:r>
        <w:fldChar w:fldCharType="begin"/>
      </w:r>
      <w:r>
        <w:instrText xml:space="preserve"> PAGEREF _Toc13193 \h </w:instrText>
      </w:r>
      <w:r>
        <w:fldChar w:fldCharType="separate"/>
      </w:r>
      <w:r>
        <w:t>10</w:t>
      </w:r>
      <w:r>
        <w:fldChar w:fldCharType="end"/>
      </w:r>
      <w:r>
        <w:fldChar w:fldCharType="end"/>
      </w:r>
    </w:p>
    <w:p w14:paraId="6670392A">
      <w:pPr>
        <w:pStyle w:val="16"/>
        <w:tabs>
          <w:tab w:val="right" w:leader="dot" w:pos="9355"/>
          <w:tab w:val="clear" w:pos="9241"/>
        </w:tabs>
      </w:pPr>
      <w:r>
        <w:fldChar w:fldCharType="begin"/>
      </w:r>
      <w:r>
        <w:instrText xml:space="preserve"> HYPERLINK \l _Toc902 </w:instrText>
      </w:r>
      <w:r>
        <w:fldChar w:fldCharType="separate"/>
      </w:r>
      <w:r>
        <w:rPr>
          <w:rFonts w:hint="eastAsia" w:ascii="黑体" w:hAnsi="黑体" w:eastAsia="黑体" w:cs="黑体"/>
          <w:kern w:val="0"/>
          <w:szCs w:val="21"/>
          <w:lang w:val="en-US" w:eastAsia="zh-CN" w:bidi="ar-SA"/>
        </w:rPr>
        <w:t xml:space="preserve">12.1 </w:t>
      </w:r>
      <w:r>
        <w:rPr>
          <w:rFonts w:hint="eastAsia" w:cs="黑体"/>
          <w:szCs w:val="21"/>
          <w:lang w:val="en-US" w:eastAsia="zh-CN"/>
        </w:rPr>
        <w:t>种质资源信息</w:t>
      </w:r>
      <w:r>
        <w:tab/>
      </w:r>
      <w:r>
        <w:fldChar w:fldCharType="begin"/>
      </w:r>
      <w:r>
        <w:instrText xml:space="preserve"> PAGEREF _Toc902 \h </w:instrText>
      </w:r>
      <w:r>
        <w:fldChar w:fldCharType="separate"/>
      </w:r>
      <w:r>
        <w:t>10</w:t>
      </w:r>
      <w:r>
        <w:fldChar w:fldCharType="end"/>
      </w:r>
      <w:r>
        <w:fldChar w:fldCharType="end"/>
      </w:r>
    </w:p>
    <w:p w14:paraId="56195092">
      <w:pPr>
        <w:pStyle w:val="16"/>
        <w:tabs>
          <w:tab w:val="right" w:leader="dot" w:pos="9355"/>
          <w:tab w:val="clear" w:pos="9241"/>
        </w:tabs>
      </w:pPr>
      <w:r>
        <w:fldChar w:fldCharType="begin"/>
      </w:r>
      <w:r>
        <w:instrText xml:space="preserve"> HYPERLINK \l _Toc6112 </w:instrText>
      </w:r>
      <w:r>
        <w:fldChar w:fldCharType="separate"/>
      </w:r>
      <w:r>
        <w:rPr>
          <w:rFonts w:hint="eastAsia" w:ascii="黑体" w:hAnsi="黑体" w:eastAsia="黑体" w:cs="黑体"/>
          <w:kern w:val="0"/>
          <w:szCs w:val="21"/>
          <w:lang w:val="en-US" w:eastAsia="zh-CN" w:bidi="ar-SA"/>
        </w:rPr>
        <w:t xml:space="preserve">12.2 </w:t>
      </w:r>
      <w:r>
        <w:rPr>
          <w:rFonts w:hint="eastAsia" w:cs="黑体"/>
          <w:szCs w:val="21"/>
          <w:lang w:val="en-US" w:eastAsia="zh-CN"/>
        </w:rPr>
        <w:t>数据信息管理</w:t>
      </w:r>
      <w:r>
        <w:tab/>
      </w:r>
      <w:r>
        <w:fldChar w:fldCharType="begin"/>
      </w:r>
      <w:r>
        <w:instrText xml:space="preserve"> PAGEREF _Toc6112 \h </w:instrText>
      </w:r>
      <w:r>
        <w:fldChar w:fldCharType="separate"/>
      </w:r>
      <w:r>
        <w:t>10</w:t>
      </w:r>
      <w:r>
        <w:fldChar w:fldCharType="end"/>
      </w:r>
      <w:r>
        <w:fldChar w:fldCharType="end"/>
      </w:r>
    </w:p>
    <w:p w14:paraId="27E33875">
      <w:pPr>
        <w:pStyle w:val="16"/>
        <w:tabs>
          <w:tab w:val="right" w:leader="dot" w:pos="9355"/>
          <w:tab w:val="clear" w:pos="9241"/>
        </w:tabs>
      </w:pPr>
      <w:r>
        <w:fldChar w:fldCharType="begin"/>
      </w:r>
      <w:r>
        <w:instrText xml:space="preserve"> HYPERLINK \l _Toc209 </w:instrText>
      </w:r>
      <w:r>
        <w:fldChar w:fldCharType="separate"/>
      </w:r>
      <w:r>
        <w:rPr>
          <w:rFonts w:hint="eastAsia" w:ascii="黑体" w:hAnsi="黑体" w:eastAsia="黑体" w:cs="黑体"/>
          <w:kern w:val="0"/>
          <w:szCs w:val="21"/>
          <w:lang w:val="en-US" w:eastAsia="zh-CN" w:bidi="ar-SA"/>
        </w:rPr>
        <w:t xml:space="preserve">12.3 </w:t>
      </w:r>
      <w:r>
        <w:rPr>
          <w:rFonts w:hint="eastAsia" w:cs="黑体"/>
          <w:kern w:val="0"/>
          <w:szCs w:val="21"/>
          <w:lang w:val="en-US" w:eastAsia="zh-CN" w:bidi="ar-SA"/>
        </w:rPr>
        <w:t>纸质档案建立</w:t>
      </w:r>
      <w:r>
        <w:tab/>
      </w:r>
      <w:r>
        <w:fldChar w:fldCharType="begin"/>
      </w:r>
      <w:r>
        <w:instrText xml:space="preserve"> PAGEREF _Toc209 \h </w:instrText>
      </w:r>
      <w:r>
        <w:fldChar w:fldCharType="separate"/>
      </w:r>
      <w:r>
        <w:t>10</w:t>
      </w:r>
      <w:r>
        <w:fldChar w:fldCharType="end"/>
      </w:r>
      <w:r>
        <w:fldChar w:fldCharType="end"/>
      </w:r>
    </w:p>
    <w:p w14:paraId="78DFB51E">
      <w:pPr>
        <w:pStyle w:val="12"/>
        <w:tabs>
          <w:tab w:val="right" w:leader="dot" w:pos="9355"/>
          <w:tab w:val="clear" w:pos="9241"/>
        </w:tabs>
      </w:pPr>
      <w:r>
        <w:fldChar w:fldCharType="begin"/>
      </w:r>
      <w:r>
        <w:instrText xml:space="preserve"> HYPERLINK \l _Toc31535 </w:instrText>
      </w:r>
      <w:r>
        <w:fldChar w:fldCharType="separate"/>
      </w:r>
      <w:r>
        <w:rPr>
          <w:rFonts w:ascii="宋体" w:hAnsi="宋体" w:eastAsia="宋体"/>
          <w:szCs w:val="21"/>
        </w:rPr>
        <w:t>附 录 A</w:t>
      </w:r>
      <w:r>
        <w:tab/>
      </w:r>
      <w:r>
        <w:fldChar w:fldCharType="begin"/>
      </w:r>
      <w:r>
        <w:instrText xml:space="preserve"> PAGEREF _Toc31535 \h </w:instrText>
      </w:r>
      <w:r>
        <w:fldChar w:fldCharType="separate"/>
      </w:r>
      <w:r>
        <w:t>11</w:t>
      </w:r>
      <w:r>
        <w:fldChar w:fldCharType="end"/>
      </w:r>
      <w:r>
        <w:fldChar w:fldCharType="end"/>
      </w:r>
    </w:p>
    <w:p w14:paraId="7FFF8717">
      <w:pPr>
        <w:pStyle w:val="12"/>
        <w:tabs>
          <w:tab w:val="right" w:leader="dot" w:pos="9355"/>
          <w:tab w:val="clear" w:pos="9241"/>
        </w:tabs>
      </w:pPr>
      <w:r>
        <w:fldChar w:fldCharType="begin"/>
      </w:r>
      <w:r>
        <w:instrText xml:space="preserve"> HYPERLINK \l _Toc14068 </w:instrText>
      </w:r>
      <w:r>
        <w:fldChar w:fldCharType="separate"/>
      </w:r>
      <w:r>
        <w:rPr>
          <w:rFonts w:ascii="宋体" w:hAnsi="宋体" w:eastAsia="宋体"/>
          <w:szCs w:val="21"/>
        </w:rPr>
        <w:t>附 录 B</w:t>
      </w:r>
      <w:r>
        <w:tab/>
      </w:r>
      <w:r>
        <w:fldChar w:fldCharType="begin"/>
      </w:r>
      <w:r>
        <w:instrText xml:space="preserve"> PAGEREF _Toc14068 \h </w:instrText>
      </w:r>
      <w:r>
        <w:fldChar w:fldCharType="separate"/>
      </w:r>
      <w:r>
        <w:t>12</w:t>
      </w:r>
      <w:r>
        <w:fldChar w:fldCharType="end"/>
      </w:r>
      <w:r>
        <w:fldChar w:fldCharType="end"/>
      </w:r>
    </w:p>
    <w:p w14:paraId="104C98C8">
      <w:pPr>
        <w:pStyle w:val="12"/>
        <w:tabs>
          <w:tab w:val="right" w:leader="dot" w:pos="9355"/>
          <w:tab w:val="clear" w:pos="9241"/>
        </w:tabs>
      </w:pPr>
      <w:r>
        <w:fldChar w:fldCharType="begin"/>
      </w:r>
      <w:r>
        <w:instrText xml:space="preserve"> HYPERLINK \l _Toc25524 </w:instrText>
      </w:r>
      <w:r>
        <w:fldChar w:fldCharType="separate"/>
      </w:r>
      <w:r>
        <w:rPr>
          <w:rFonts w:hint="eastAsia" w:ascii="宋体" w:hAnsi="宋体" w:eastAsia="宋体" w:cs="宋体"/>
          <w:szCs w:val="21"/>
        </w:rPr>
        <w:t>附</w:t>
      </w:r>
      <w:r>
        <w:rPr>
          <w:rFonts w:hint="eastAsia" w:ascii="宋体" w:hAnsi="宋体" w:eastAsia="宋体" w:cs="宋体"/>
          <w:szCs w:val="21"/>
          <w:lang w:val="en-US" w:eastAsia="zh-CN"/>
        </w:rPr>
        <w:t xml:space="preserve"> </w:t>
      </w:r>
      <w:r>
        <w:rPr>
          <w:rFonts w:hint="eastAsia" w:ascii="宋体" w:hAnsi="宋体" w:eastAsia="宋体" w:cs="宋体"/>
          <w:szCs w:val="21"/>
        </w:rPr>
        <w:t>录</w:t>
      </w:r>
      <w:r>
        <w:rPr>
          <w:rFonts w:hint="eastAsia" w:ascii="宋体" w:hAnsi="宋体" w:eastAsia="宋体" w:cs="宋体"/>
          <w:szCs w:val="21"/>
          <w:lang w:val="en-US" w:eastAsia="zh-CN"/>
        </w:rPr>
        <w:t xml:space="preserve"> </w:t>
      </w:r>
      <w:r>
        <w:rPr>
          <w:rFonts w:hint="eastAsia" w:ascii="宋体" w:hAnsi="宋体" w:eastAsia="宋体" w:cs="宋体"/>
          <w:szCs w:val="21"/>
        </w:rPr>
        <w:t>C</w:t>
      </w:r>
      <w:r>
        <w:tab/>
      </w:r>
      <w:r>
        <w:fldChar w:fldCharType="begin"/>
      </w:r>
      <w:r>
        <w:instrText xml:space="preserve"> PAGEREF _Toc25524 \h </w:instrText>
      </w:r>
      <w:r>
        <w:fldChar w:fldCharType="separate"/>
      </w:r>
      <w:r>
        <w:t>13</w:t>
      </w:r>
      <w:r>
        <w:fldChar w:fldCharType="end"/>
      </w:r>
      <w:r>
        <w:fldChar w:fldCharType="end"/>
      </w:r>
    </w:p>
    <w:p w14:paraId="43EF69F0">
      <w:pPr>
        <w:pStyle w:val="12"/>
        <w:tabs>
          <w:tab w:val="right" w:leader="dot" w:pos="9355"/>
          <w:tab w:val="clear" w:pos="9241"/>
        </w:tabs>
      </w:pPr>
      <w:r>
        <w:fldChar w:fldCharType="begin"/>
      </w:r>
      <w:r>
        <w:instrText xml:space="preserve"> HYPERLINK \l _Toc23352 </w:instrText>
      </w:r>
      <w:r>
        <w:fldChar w:fldCharType="separate"/>
      </w:r>
      <w:r>
        <w:rPr>
          <w:rFonts w:ascii="宋体" w:hAnsi="宋体" w:eastAsia="宋体"/>
          <w:bCs/>
          <w:szCs w:val="21"/>
        </w:rPr>
        <w:t xml:space="preserve">附 录 </w:t>
      </w:r>
      <w:r>
        <w:rPr>
          <w:rFonts w:ascii="宋体" w:hAnsi="宋体" w:eastAsia="宋体"/>
          <w:bCs/>
          <w:szCs w:val="21"/>
          <w:lang w:val="en-US" w:eastAsia="zh-CN"/>
        </w:rPr>
        <w:t>D</w:t>
      </w:r>
      <w:r>
        <w:tab/>
      </w:r>
      <w:r>
        <w:fldChar w:fldCharType="begin"/>
      </w:r>
      <w:r>
        <w:instrText xml:space="preserve"> PAGEREF _Toc23352 \h </w:instrText>
      </w:r>
      <w:r>
        <w:fldChar w:fldCharType="separate"/>
      </w:r>
      <w:r>
        <w:t>15</w:t>
      </w:r>
      <w:r>
        <w:fldChar w:fldCharType="end"/>
      </w:r>
      <w:r>
        <w:fldChar w:fldCharType="end"/>
      </w:r>
    </w:p>
    <w:p w14:paraId="31AF67AF">
      <w:pPr>
        <w:pStyle w:val="12"/>
        <w:tabs>
          <w:tab w:val="right" w:leader="dot" w:pos="9355"/>
          <w:tab w:val="clear" w:pos="9241"/>
        </w:tabs>
      </w:pPr>
      <w:r>
        <w:fldChar w:fldCharType="begin"/>
      </w:r>
      <w:r>
        <w:instrText xml:space="preserve"> HYPERLINK \l _Toc24978 </w:instrText>
      </w:r>
      <w:r>
        <w:fldChar w:fldCharType="separate"/>
      </w:r>
      <w:r>
        <w:rPr>
          <w:rFonts w:ascii="宋体" w:hAnsi="宋体" w:eastAsia="宋体"/>
          <w:szCs w:val="21"/>
        </w:rPr>
        <w:t xml:space="preserve">附 录 </w:t>
      </w:r>
      <w:r>
        <w:rPr>
          <w:rFonts w:ascii="宋体" w:hAnsi="宋体" w:eastAsia="宋体"/>
          <w:szCs w:val="21"/>
          <w:lang w:val="en-US" w:eastAsia="zh-CN"/>
        </w:rPr>
        <w:t>E</w:t>
      </w:r>
      <w:r>
        <w:tab/>
      </w:r>
      <w:r>
        <w:fldChar w:fldCharType="begin"/>
      </w:r>
      <w:r>
        <w:instrText xml:space="preserve"> PAGEREF _Toc24978 \h </w:instrText>
      </w:r>
      <w:r>
        <w:fldChar w:fldCharType="separate"/>
      </w:r>
      <w:r>
        <w:t>16</w:t>
      </w:r>
      <w:r>
        <w:fldChar w:fldCharType="end"/>
      </w:r>
      <w:r>
        <w:fldChar w:fldCharType="end"/>
      </w:r>
    </w:p>
    <w:p w14:paraId="7E9C63C5">
      <w:pPr>
        <w:pStyle w:val="12"/>
        <w:tabs>
          <w:tab w:val="right" w:leader="dot" w:pos="9355"/>
          <w:tab w:val="clear" w:pos="9241"/>
        </w:tabs>
      </w:pPr>
      <w:r>
        <w:fldChar w:fldCharType="begin"/>
      </w:r>
      <w:r>
        <w:instrText xml:space="preserve"> HYPERLINK \l _Toc5445 </w:instrText>
      </w:r>
      <w:r>
        <w:fldChar w:fldCharType="separate"/>
      </w:r>
      <w:r>
        <w:rPr>
          <w:rFonts w:ascii="宋体" w:hAnsi="宋体" w:eastAsia="宋体"/>
          <w:szCs w:val="21"/>
        </w:rPr>
        <w:t xml:space="preserve">附 录 </w:t>
      </w:r>
      <w:r>
        <w:rPr>
          <w:rFonts w:ascii="宋体" w:hAnsi="宋体" w:eastAsia="宋体"/>
          <w:szCs w:val="21"/>
          <w:lang w:val="en-US" w:eastAsia="zh-CN"/>
        </w:rPr>
        <w:t>F</w:t>
      </w:r>
      <w:r>
        <w:tab/>
      </w:r>
      <w:r>
        <w:fldChar w:fldCharType="begin"/>
      </w:r>
      <w:r>
        <w:instrText xml:space="preserve"> PAGEREF _Toc5445 \h </w:instrText>
      </w:r>
      <w:r>
        <w:fldChar w:fldCharType="separate"/>
      </w:r>
      <w:r>
        <w:t>17</w:t>
      </w:r>
      <w:r>
        <w:fldChar w:fldCharType="end"/>
      </w:r>
      <w:r>
        <w:fldChar w:fldCharType="end"/>
      </w:r>
    </w:p>
    <w:p w14:paraId="7E753120">
      <w:pPr>
        <w:pStyle w:val="12"/>
        <w:tabs>
          <w:tab w:val="right" w:leader="dot" w:pos="9355"/>
          <w:tab w:val="clear" w:pos="9241"/>
        </w:tabs>
      </w:pPr>
      <w:r>
        <w:fldChar w:fldCharType="end"/>
      </w:r>
    </w:p>
    <w:p w14:paraId="15E6A820">
      <w:pPr>
        <w:bidi w:val="0"/>
      </w:pPr>
    </w:p>
    <w:p w14:paraId="04592CF9">
      <w:pPr>
        <w:bidi w:val="0"/>
      </w:pPr>
    </w:p>
    <w:p w14:paraId="0BCF06A5">
      <w:pPr>
        <w:bidi w:val="0"/>
      </w:pPr>
    </w:p>
    <w:p w14:paraId="0DCEA6F0">
      <w:pPr>
        <w:bidi w:val="0"/>
      </w:pPr>
    </w:p>
    <w:p w14:paraId="52297499">
      <w:pPr>
        <w:bidi w:val="0"/>
      </w:pPr>
    </w:p>
    <w:p w14:paraId="121EAF87">
      <w:pPr>
        <w:bidi w:val="0"/>
      </w:pPr>
    </w:p>
    <w:p w14:paraId="3818AD12">
      <w:pPr>
        <w:bidi w:val="0"/>
      </w:pPr>
    </w:p>
    <w:p w14:paraId="5068BE94">
      <w:pPr>
        <w:bidi w:val="0"/>
      </w:pPr>
    </w:p>
    <w:p w14:paraId="0CB3465E">
      <w:pPr>
        <w:bidi w:val="0"/>
      </w:pPr>
    </w:p>
    <w:p w14:paraId="6DBFA7FC">
      <w:pPr>
        <w:bidi w:val="0"/>
      </w:pPr>
    </w:p>
    <w:p w14:paraId="2ACACCEE">
      <w:pPr>
        <w:pStyle w:val="57"/>
        <w:jc w:val="center"/>
      </w:pPr>
      <w:bookmarkStart w:id="4" w:name="_Toc25238"/>
      <w:bookmarkStart w:id="5" w:name="_Toc11486"/>
      <w:bookmarkStart w:id="6" w:name="_Toc587"/>
      <w:r>
        <w:rPr>
          <w:rFonts w:cs="黑体"/>
        </w:rPr>
        <w:t>前</w:t>
      </w:r>
      <w:r>
        <w:rPr>
          <w:rFonts w:ascii="MS Mincho" w:hAnsi="MS Mincho" w:eastAsia="MS Mincho" w:cs="MS Mincho"/>
        </w:rPr>
        <w:t>  </w:t>
      </w:r>
      <w:r>
        <w:rPr>
          <w:rFonts w:cs="黑体"/>
        </w:rPr>
        <w:t>言</w:t>
      </w:r>
      <w:bookmarkEnd w:id="4"/>
      <w:bookmarkEnd w:id="5"/>
      <w:bookmarkEnd w:id="6"/>
    </w:p>
    <w:p w14:paraId="346D084F">
      <w:pPr>
        <w:pStyle w:val="60"/>
        <w:jc w:val="both"/>
        <w:rPr>
          <w:rFonts w:cs="宋体"/>
          <w:szCs w:val="21"/>
        </w:rPr>
      </w:pPr>
      <w:r>
        <w:rPr>
          <w:rFonts w:hint="eastAsia" w:cs="宋体"/>
          <w:szCs w:val="21"/>
        </w:rPr>
        <w:t>本文件按照GB/T 1.1—2020《标准化工作导则  第1部分：标准化文件的结构和起草规则》的规定起草。</w:t>
      </w:r>
    </w:p>
    <w:p w14:paraId="290D6B7D">
      <w:pPr>
        <w:pStyle w:val="60"/>
        <w:jc w:val="both"/>
        <w:rPr>
          <w:rFonts w:hint="eastAsia" w:cs="宋体"/>
          <w:szCs w:val="21"/>
        </w:rPr>
      </w:pPr>
      <w:r>
        <w:rPr>
          <w:rFonts w:hint="eastAsia" w:cs="宋体"/>
          <w:szCs w:val="21"/>
        </w:rPr>
        <w:t>本文件替代NY/T 1690-2009《蕉种质资源离体保存技术规程》。</w:t>
      </w:r>
    </w:p>
    <w:p w14:paraId="42EC827B">
      <w:pPr>
        <w:pStyle w:val="60"/>
        <w:jc w:val="both"/>
        <w:rPr>
          <w:rFonts w:cs="宋体"/>
          <w:szCs w:val="21"/>
        </w:rPr>
      </w:pPr>
      <w:r>
        <w:rPr>
          <w:rFonts w:hint="eastAsia" w:cs="宋体"/>
          <w:szCs w:val="21"/>
        </w:rPr>
        <w:t>本文件与NY/T 1690-2009相比主要差异如下：</w:t>
      </w:r>
    </w:p>
    <w:p w14:paraId="5405C540">
      <w:pPr>
        <w:pStyle w:val="60"/>
        <w:jc w:val="both"/>
      </w:pPr>
      <w:r>
        <w:rPr>
          <w:rFonts w:hint="eastAsia"/>
          <w:lang w:val="en-US" w:eastAsia="zh-CN"/>
        </w:rPr>
        <w:t>----</w:t>
      </w:r>
      <w:r>
        <w:t>增加3.1  外植体explant</w:t>
      </w:r>
    </w:p>
    <w:p w14:paraId="4643EFBC">
      <w:pPr>
        <w:pStyle w:val="60"/>
        <w:jc w:val="both"/>
      </w:pPr>
      <w:r>
        <w:rPr>
          <w:rFonts w:hint="eastAsia"/>
          <w:lang w:val="en-US" w:eastAsia="zh-CN"/>
        </w:rPr>
        <w:t>----</w:t>
      </w:r>
      <w:r>
        <w:t>增加3.2  继代subculture</w:t>
      </w:r>
    </w:p>
    <w:p w14:paraId="78BF6F8A">
      <w:pPr>
        <w:pStyle w:val="60"/>
        <w:jc w:val="both"/>
      </w:pPr>
      <w:r>
        <w:rPr>
          <w:rFonts w:hint="eastAsia"/>
          <w:lang w:val="en-US" w:eastAsia="zh-CN"/>
        </w:rPr>
        <w:t>----</w:t>
      </w:r>
      <w:r>
        <w:t>增加3.3  无害化（除害）deconta</w:t>
      </w:r>
      <w:r>
        <w:rPr>
          <w:rFonts w:hint="eastAsia"/>
          <w:lang w:val="en-US" w:eastAsia="zh-CN"/>
        </w:rPr>
        <w:t>min</w:t>
      </w:r>
      <w:r>
        <w:t>ation</w:t>
      </w:r>
    </w:p>
    <w:p w14:paraId="7E9F318B">
      <w:pPr>
        <w:pStyle w:val="60"/>
        <w:jc w:val="both"/>
      </w:pPr>
      <w:r>
        <w:rPr>
          <w:rFonts w:hint="eastAsia"/>
          <w:lang w:val="en-US" w:eastAsia="zh-CN"/>
        </w:rPr>
        <w:t>----</w:t>
      </w:r>
      <w:r>
        <w:t>增加3.4  繁育breeding</w:t>
      </w:r>
    </w:p>
    <w:p w14:paraId="73A025A5">
      <w:pPr>
        <w:pStyle w:val="60"/>
        <w:jc w:val="both"/>
      </w:pPr>
      <w:r>
        <w:rPr>
          <w:rFonts w:hint="eastAsia"/>
          <w:lang w:val="en-US" w:eastAsia="zh-CN"/>
        </w:rPr>
        <w:t>----</w:t>
      </w:r>
      <w:r>
        <w:t>增加3.5  挽救</w:t>
      </w:r>
      <w:r>
        <w:rPr>
          <w:rFonts w:hint="eastAsia"/>
        </w:rPr>
        <w:t>rescue</w:t>
      </w:r>
    </w:p>
    <w:p w14:paraId="3DD48259">
      <w:pPr>
        <w:pStyle w:val="60"/>
        <w:ind w:left="1680" w:hanging="1260"/>
        <w:jc w:val="both"/>
        <w:rPr>
          <w:rFonts w:cs="宋体"/>
          <w:szCs w:val="21"/>
        </w:rPr>
      </w:pPr>
      <w:r>
        <w:rPr>
          <w:rFonts w:hint="eastAsia"/>
          <w:lang w:val="en-US" w:eastAsia="zh-CN"/>
        </w:rPr>
        <w:t>----</w:t>
      </w:r>
      <w:r>
        <w:t>修改</w:t>
      </w:r>
      <w:r>
        <w:rPr>
          <w:rFonts w:hint="eastAsia"/>
          <w:lang w:val="en-US" w:eastAsia="zh-CN"/>
        </w:rPr>
        <w:t>了</w:t>
      </w:r>
      <w:r>
        <w:t>4.2  利用聚合酶链式反应（PCR）、反转录聚合酶链式反应（RT-PCR）和酶联免疫吸附试验</w:t>
      </w:r>
      <w:r>
        <w:rPr>
          <w:lang w:eastAsia="zh-CN"/>
        </w:rPr>
        <w:t>（</w:t>
      </w:r>
      <w:r>
        <w:t>ELISA</w:t>
      </w:r>
      <w:r>
        <w:rPr>
          <w:lang w:eastAsia="zh-CN"/>
        </w:rPr>
        <w:t>）</w:t>
      </w:r>
      <w:r>
        <w:t>方法检测，确保材料不带香蕉花叶心腐</w:t>
      </w:r>
      <w:r>
        <w:rPr>
          <w:rFonts w:hint="eastAsia"/>
          <w:lang w:val="en-US" w:eastAsia="zh-CN"/>
        </w:rPr>
        <w:t>病毒</w:t>
      </w:r>
      <w:r>
        <w:t>（CMV）和束顶病病毒（BBTV）。</w:t>
      </w:r>
    </w:p>
    <w:p w14:paraId="50EDDAF7">
      <w:pPr>
        <w:pStyle w:val="60"/>
        <w:jc w:val="both"/>
        <w:rPr>
          <w:rFonts w:hint="eastAsia"/>
          <w:lang w:val="en-US" w:eastAsia="zh-CN"/>
        </w:rPr>
      </w:pPr>
      <w:r>
        <w:rPr>
          <w:rFonts w:hint="eastAsia"/>
          <w:lang w:val="en-US" w:eastAsia="zh-CN"/>
        </w:rPr>
        <w:t>----增加5 香蕉种质资源离体保存程序</w:t>
      </w:r>
    </w:p>
    <w:p w14:paraId="6FE5408B">
      <w:pPr>
        <w:pStyle w:val="60"/>
        <w:jc w:val="both"/>
      </w:pPr>
      <w:r>
        <w:rPr>
          <w:rFonts w:hint="eastAsia"/>
          <w:lang w:val="en-US" w:eastAsia="zh-CN"/>
        </w:rPr>
        <w:t>----</w:t>
      </w:r>
      <w:r>
        <w:t>增加</w:t>
      </w:r>
      <w:r>
        <w:rPr>
          <w:rFonts w:hint="eastAsia"/>
          <w:lang w:val="en-US" w:eastAsia="zh-CN"/>
        </w:rPr>
        <w:t>6</w:t>
      </w:r>
      <w:r>
        <w:t xml:space="preserve"> 资源采集与包装。</w:t>
      </w:r>
    </w:p>
    <w:p w14:paraId="1C5072AB">
      <w:pPr>
        <w:pStyle w:val="60"/>
        <w:jc w:val="both"/>
      </w:pPr>
      <w:r>
        <w:rPr>
          <w:rFonts w:hint="eastAsia"/>
          <w:lang w:val="en-US" w:eastAsia="zh-CN"/>
        </w:rPr>
        <w:t>----</w:t>
      </w:r>
      <w:r>
        <w:t>增加</w:t>
      </w:r>
      <w:r>
        <w:rPr>
          <w:rFonts w:hint="eastAsia"/>
          <w:lang w:val="en-US" w:eastAsia="zh-CN"/>
        </w:rPr>
        <w:t>7</w:t>
      </w:r>
      <w:r>
        <w:t xml:space="preserve"> 无害化（除害）。</w:t>
      </w:r>
    </w:p>
    <w:p w14:paraId="27105B32">
      <w:pPr>
        <w:pStyle w:val="60"/>
        <w:jc w:val="both"/>
      </w:pPr>
      <w:r>
        <w:rPr>
          <w:rFonts w:hint="eastAsia"/>
          <w:lang w:val="en-US" w:eastAsia="zh-CN"/>
        </w:rPr>
        <w:t>----</w:t>
      </w:r>
      <w:r>
        <w:t>增加</w:t>
      </w:r>
      <w:r>
        <w:rPr>
          <w:rFonts w:hint="eastAsia"/>
          <w:lang w:val="en-US" w:eastAsia="zh-CN"/>
        </w:rPr>
        <w:t>8</w:t>
      </w:r>
      <w:r>
        <w:t xml:space="preserve"> 挽救。</w:t>
      </w:r>
    </w:p>
    <w:p w14:paraId="17CCCE28">
      <w:pPr>
        <w:pStyle w:val="60"/>
        <w:jc w:val="both"/>
      </w:pPr>
      <w:r>
        <w:rPr>
          <w:rFonts w:hint="eastAsia"/>
          <w:lang w:val="en-US" w:eastAsia="zh-CN"/>
        </w:rPr>
        <w:t>----</w:t>
      </w:r>
      <w:r>
        <w:t>增加</w:t>
      </w:r>
      <w:r>
        <w:rPr>
          <w:rFonts w:hint="eastAsia"/>
          <w:lang w:val="en-US" w:eastAsia="zh-CN"/>
        </w:rPr>
        <w:t>9</w:t>
      </w:r>
      <w:r>
        <w:t xml:space="preserve"> 检测。</w:t>
      </w:r>
    </w:p>
    <w:p w14:paraId="4C706B84">
      <w:pPr>
        <w:pStyle w:val="60"/>
        <w:jc w:val="both"/>
      </w:pPr>
      <w:r>
        <w:rPr>
          <w:rFonts w:hint="eastAsia"/>
          <w:lang w:val="en-US" w:eastAsia="zh-CN"/>
        </w:rPr>
        <w:t>----</w:t>
      </w:r>
      <w:r>
        <w:t>增加1</w:t>
      </w:r>
      <w:r>
        <w:rPr>
          <w:rFonts w:hint="eastAsia"/>
          <w:lang w:val="en-US" w:eastAsia="zh-CN"/>
        </w:rPr>
        <w:t>1</w:t>
      </w:r>
      <w:r>
        <w:t>.4 无害化。</w:t>
      </w:r>
    </w:p>
    <w:p w14:paraId="101D8333">
      <w:pPr>
        <w:pStyle w:val="60"/>
        <w:jc w:val="both"/>
      </w:pPr>
      <w:r>
        <w:rPr>
          <w:rFonts w:hint="eastAsia"/>
          <w:lang w:val="en-US" w:eastAsia="zh-CN"/>
        </w:rPr>
        <w:t>----</w:t>
      </w:r>
      <w:r>
        <w:t>增加1</w:t>
      </w:r>
      <w:r>
        <w:rPr>
          <w:rFonts w:hint="eastAsia"/>
          <w:lang w:val="en-US" w:eastAsia="zh-CN"/>
        </w:rPr>
        <w:t>1</w:t>
      </w:r>
      <w:r>
        <w:t>.5 挽救。</w:t>
      </w:r>
    </w:p>
    <w:p w14:paraId="49DE3320">
      <w:pPr>
        <w:pStyle w:val="60"/>
        <w:jc w:val="both"/>
        <w:rPr>
          <w:highlight w:val="none"/>
        </w:rPr>
      </w:pPr>
      <w:r>
        <w:rPr>
          <w:rFonts w:hint="eastAsia"/>
          <w:lang w:val="en-US" w:eastAsia="zh-CN"/>
        </w:rPr>
        <w:t>----</w:t>
      </w:r>
      <w:r>
        <w:rPr>
          <w:highlight w:val="none"/>
        </w:rPr>
        <w:t>增加B、C、D、E附录。</w:t>
      </w:r>
    </w:p>
    <w:p w14:paraId="34FC6807">
      <w:pPr>
        <w:pStyle w:val="60"/>
        <w:jc w:val="both"/>
      </w:pPr>
      <w:r>
        <w:rPr>
          <w:rFonts w:hint="eastAsia"/>
          <w:lang w:val="en-US" w:eastAsia="zh-CN"/>
        </w:rPr>
        <w:t>----</w:t>
      </w:r>
      <w:r>
        <w:t>调整了标准的结构。</w:t>
      </w:r>
    </w:p>
    <w:p w14:paraId="27D43D39">
      <w:pPr>
        <w:pStyle w:val="60"/>
        <w:jc w:val="both"/>
      </w:pPr>
      <w:r>
        <w:rPr>
          <w:rFonts w:hint="eastAsia"/>
        </w:rPr>
        <w:t>请注意本文件的某些内容可能涉及专利。本文件的发布机构不承担识别专利的责任。</w:t>
      </w:r>
    </w:p>
    <w:p w14:paraId="14ED876B">
      <w:pPr>
        <w:pStyle w:val="60"/>
        <w:jc w:val="both"/>
      </w:pPr>
      <w:r>
        <w:t>本</w:t>
      </w:r>
      <w:r>
        <w:rPr>
          <w:rFonts w:hint="eastAsia"/>
          <w:lang w:val="en-US" w:eastAsia="zh-CN"/>
        </w:rPr>
        <w:t>文件</w:t>
      </w:r>
      <w:r>
        <w:t>的附录B、</w:t>
      </w:r>
      <w:r>
        <w:rPr>
          <w:rFonts w:hint="eastAsia"/>
          <w:lang w:val="en-US" w:eastAsia="zh-CN"/>
        </w:rPr>
        <w:t>E</w:t>
      </w:r>
      <w:r>
        <w:t>为资料性附录，附录C、D为规范性附录。</w:t>
      </w:r>
    </w:p>
    <w:p w14:paraId="0A36735B">
      <w:pPr>
        <w:pStyle w:val="60"/>
        <w:jc w:val="both"/>
      </w:pPr>
      <w:r>
        <w:rPr>
          <w:rFonts w:cs="宋体"/>
          <w:szCs w:val="21"/>
        </w:rPr>
        <w:t>本文件由农业农村部农垦局提出。</w:t>
      </w:r>
    </w:p>
    <w:p w14:paraId="490EC87B">
      <w:pPr>
        <w:pStyle w:val="60"/>
        <w:jc w:val="both"/>
      </w:pPr>
      <w:r>
        <w:rPr>
          <w:rFonts w:cs="宋体"/>
          <w:szCs w:val="21"/>
        </w:rPr>
        <w:t>本文件由农业农村部热带作物及制品标准化技术委员会归口。</w:t>
      </w:r>
    </w:p>
    <w:p w14:paraId="1795EA5A">
      <w:pPr>
        <w:pStyle w:val="60"/>
        <w:jc w:val="both"/>
      </w:pPr>
      <w:r>
        <w:rPr>
          <w:rFonts w:cs="宋体"/>
          <w:szCs w:val="21"/>
        </w:rPr>
        <w:t>本文件起草单位：中国热带农业科学院热带作物品种资源研究所，中国热带农业科学院环境与植物保护研究所。</w:t>
      </w:r>
    </w:p>
    <w:p w14:paraId="3694CADC">
      <w:pPr>
        <w:pStyle w:val="60"/>
        <w:jc w:val="both"/>
        <w:rPr>
          <w:rFonts w:cs="宋体"/>
          <w:szCs w:val="21"/>
        </w:rPr>
      </w:pPr>
      <w:r>
        <w:rPr>
          <w:rFonts w:cs="宋体"/>
          <w:szCs w:val="21"/>
        </w:rPr>
        <w:t>本文件主要起草人：李志英，徐立，符运柳，武华周，孙进华，杨庆全，陈浪欣，孟春阳，王小冰，王加宾，王敏瑞，王诗倩，黄碧兰，朱振芬。</w:t>
      </w:r>
    </w:p>
    <w:p w14:paraId="16AA08C5">
      <w:pPr>
        <w:pStyle w:val="60"/>
        <w:jc w:val="both"/>
        <w:rPr>
          <w:rFonts w:hint="eastAsia" w:cs="宋体"/>
          <w:szCs w:val="21"/>
        </w:rPr>
      </w:pPr>
      <w:r>
        <w:rPr>
          <w:rFonts w:hint="eastAsia" w:cs="宋体"/>
          <w:szCs w:val="21"/>
        </w:rPr>
        <w:t>本文件及其所代替文件的历次版本发布情况为：</w:t>
      </w:r>
    </w:p>
    <w:p w14:paraId="320BB57F">
      <w:pPr>
        <w:pStyle w:val="60"/>
        <w:jc w:val="both"/>
        <w:rPr>
          <w:rFonts w:hint="eastAsia" w:cs="宋体"/>
          <w:szCs w:val="21"/>
        </w:rPr>
      </w:pPr>
      <w:r>
        <w:rPr>
          <w:rFonts w:hint="eastAsia" w:cs="宋体"/>
          <w:szCs w:val="21"/>
          <w:lang w:val="en-US" w:eastAsia="zh-CN"/>
        </w:rPr>
        <w:t>----2009</w:t>
      </w:r>
      <w:r>
        <w:rPr>
          <w:rFonts w:hint="eastAsia" w:cs="宋体"/>
          <w:szCs w:val="21"/>
        </w:rPr>
        <w:t>年首次发布为NY/T 1690-2009；</w:t>
      </w:r>
    </w:p>
    <w:p w14:paraId="0F58AD19">
      <w:pPr>
        <w:pStyle w:val="60"/>
        <w:jc w:val="both"/>
      </w:pPr>
      <w:r>
        <w:rPr>
          <w:rFonts w:hint="eastAsia" w:cs="宋体"/>
          <w:szCs w:val="21"/>
        </w:rPr>
        <w:t>本次为第一次修订</w:t>
      </w:r>
    </w:p>
    <w:p w14:paraId="6CF63D91">
      <w:pPr>
        <w:pStyle w:val="60"/>
        <w:jc w:val="both"/>
      </w:pPr>
    </w:p>
    <w:p w14:paraId="1180EBC5">
      <w:pPr>
        <w:pStyle w:val="60"/>
        <w:jc w:val="both"/>
      </w:pPr>
    </w:p>
    <w:p w14:paraId="4393F717">
      <w:pPr>
        <w:pStyle w:val="60"/>
        <w:jc w:val="both"/>
      </w:pPr>
    </w:p>
    <w:p w14:paraId="224A1DD0">
      <w:pPr>
        <w:pStyle w:val="60"/>
        <w:jc w:val="both"/>
      </w:pPr>
    </w:p>
    <w:p w14:paraId="7811B7FC">
      <w:pPr>
        <w:pStyle w:val="60"/>
        <w:jc w:val="both"/>
      </w:pPr>
    </w:p>
    <w:p w14:paraId="5F60233E">
      <w:pPr>
        <w:pStyle w:val="60"/>
        <w:jc w:val="both"/>
      </w:pPr>
    </w:p>
    <w:p w14:paraId="5A79FE40">
      <w:pPr>
        <w:pStyle w:val="60"/>
        <w:jc w:val="both"/>
      </w:pPr>
    </w:p>
    <w:p w14:paraId="777672EB">
      <w:pPr>
        <w:pStyle w:val="60"/>
        <w:jc w:val="both"/>
      </w:pPr>
    </w:p>
    <w:p w14:paraId="7B0E09CF">
      <w:pPr>
        <w:pStyle w:val="60"/>
        <w:jc w:val="both"/>
      </w:pPr>
    </w:p>
    <w:p w14:paraId="7EB406D2">
      <w:pPr>
        <w:pStyle w:val="60"/>
        <w:jc w:val="both"/>
      </w:pPr>
    </w:p>
    <w:p w14:paraId="52043901">
      <w:pPr>
        <w:pStyle w:val="60"/>
        <w:jc w:val="both"/>
        <w:sectPr>
          <w:headerReference r:id="rId4" w:type="default"/>
          <w:footerReference r:id="rId5" w:type="default"/>
          <w:pgSz w:w="11906" w:h="16838"/>
          <w:pgMar w:top="1417" w:right="1134" w:bottom="1134" w:left="1417" w:header="850" w:footer="680" w:gutter="0"/>
          <w:pgNumType w:fmt="upperRoman" w:start="1"/>
          <w:cols w:space="720" w:num="1"/>
          <w:formProt w:val="0"/>
          <w:docGrid w:type="lines" w:linePitch="312" w:charSpace="0"/>
        </w:sectPr>
      </w:pPr>
    </w:p>
    <w:p w14:paraId="70FBF5EB">
      <w:pPr>
        <w:snapToGrid w:val="0"/>
        <w:spacing w:before="370" w:after="0" w:line="400" w:lineRule="exact"/>
        <w:jc w:val="center"/>
        <w:rPr>
          <w:rFonts w:ascii="黑体" w:hAnsi="黑体" w:eastAsia="黑体" w:cs="黑体"/>
          <w:sz w:val="32"/>
          <w:szCs w:val="32"/>
        </w:rPr>
      </w:pPr>
      <w:r>
        <w:rPr>
          <w:rFonts w:ascii="黑体" w:hAnsi="黑体" w:eastAsia="黑体" w:cs="黑体"/>
          <w:sz w:val="32"/>
          <w:szCs w:val="32"/>
        </w:rPr>
        <w:t>香蕉种质资源离体保存技术规程</w:t>
      </w:r>
    </w:p>
    <w:p w14:paraId="39DED123">
      <w:pPr>
        <w:pStyle w:val="61"/>
        <w:numPr>
          <w:ilvl w:val="0"/>
          <w:numId w:val="2"/>
        </w:numPr>
        <w:spacing w:before="0" w:after="312"/>
        <w:outlineLvl w:val="0"/>
      </w:pPr>
      <w:bookmarkStart w:id="7" w:name="_Toc20534"/>
      <w:bookmarkStart w:id="8" w:name="_Toc3387"/>
      <w:bookmarkStart w:id="9" w:name="_Toc16345"/>
      <w:r>
        <w:rPr>
          <w:rFonts w:cs="黑体"/>
          <w:szCs w:val="21"/>
        </w:rPr>
        <w:t>范围</w:t>
      </w:r>
      <w:bookmarkEnd w:id="7"/>
      <w:bookmarkEnd w:id="8"/>
      <w:bookmarkEnd w:id="9"/>
    </w:p>
    <w:p w14:paraId="5E9100B4">
      <w:pPr>
        <w:pStyle w:val="60"/>
        <w:jc w:val="both"/>
      </w:pPr>
      <w:r>
        <w:rPr>
          <w:rFonts w:hint="eastAsia" w:cs="宋体"/>
          <w:szCs w:val="21"/>
        </w:rPr>
        <w:t>本文件确立了香蕉（</w:t>
      </w:r>
      <w:r>
        <w:rPr>
          <w:rFonts w:hint="eastAsia" w:cs="宋体"/>
          <w:i/>
          <w:iCs/>
          <w:szCs w:val="21"/>
        </w:rPr>
        <w:t>Musa</w:t>
      </w:r>
      <w:r>
        <w:rPr>
          <w:rFonts w:hint="eastAsia" w:cs="宋体"/>
          <w:i/>
          <w:iCs/>
          <w:szCs w:val="21"/>
          <w:lang w:val="en-US" w:eastAsia="zh-CN"/>
        </w:rPr>
        <w:t xml:space="preserve"> </w:t>
      </w:r>
      <w:r>
        <w:rPr>
          <w:rFonts w:hint="eastAsia" w:cs="宋体"/>
          <w:i/>
          <w:iCs/>
          <w:szCs w:val="21"/>
        </w:rPr>
        <w:t>nana</w:t>
      </w:r>
      <w:r>
        <w:rPr>
          <w:rFonts w:hint="eastAsia" w:cs="宋体"/>
          <w:szCs w:val="21"/>
          <w:lang w:val="en-US" w:eastAsia="zh-CN"/>
        </w:rPr>
        <w:t xml:space="preserve"> </w:t>
      </w:r>
      <w:r>
        <w:rPr>
          <w:rFonts w:hint="eastAsia" w:cs="宋体"/>
          <w:szCs w:val="21"/>
        </w:rPr>
        <w:t>Lour.）种质资源离体保存技术程序，规定了基本要求、资源的采集及包装、无害化处理、挽救、检测、保存等要求，描述了档案管理等追溯方法。</w:t>
      </w:r>
    </w:p>
    <w:p w14:paraId="3BBE78E9">
      <w:pPr>
        <w:pStyle w:val="60"/>
        <w:jc w:val="both"/>
      </w:pPr>
      <w:r>
        <w:rPr>
          <w:rFonts w:cs="宋体"/>
          <w:szCs w:val="21"/>
        </w:rPr>
        <w:t>本文件适用于香蕉种质资源的采集、无害化（除害）处理、挽救、保存。</w:t>
      </w:r>
    </w:p>
    <w:p w14:paraId="17DBD44C">
      <w:pPr>
        <w:pStyle w:val="61"/>
        <w:numPr>
          <w:ilvl w:val="0"/>
          <w:numId w:val="2"/>
        </w:numPr>
        <w:spacing w:before="312" w:after="312"/>
        <w:outlineLvl w:val="0"/>
      </w:pPr>
      <w:bookmarkStart w:id="10" w:name="_Toc31689"/>
      <w:bookmarkStart w:id="11" w:name="_Toc19120"/>
      <w:bookmarkStart w:id="12" w:name="_Toc28738"/>
      <w:r>
        <w:rPr>
          <w:rFonts w:cs="黑体"/>
          <w:szCs w:val="21"/>
        </w:rPr>
        <w:t>规范性引用文件</w:t>
      </w:r>
      <w:bookmarkEnd w:id="10"/>
      <w:bookmarkEnd w:id="11"/>
      <w:bookmarkEnd w:id="12"/>
    </w:p>
    <w:p w14:paraId="752276F2">
      <w:pPr>
        <w:pStyle w:val="60"/>
        <w:jc w:val="both"/>
      </w:pPr>
      <w:r>
        <w:rPr>
          <w:rFonts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B761F42">
      <w:pPr>
        <w:pStyle w:val="60"/>
        <w:jc w:val="both"/>
      </w:pPr>
      <w:r>
        <w:rPr>
          <w:rFonts w:cs="宋体"/>
          <w:szCs w:val="21"/>
        </w:rPr>
        <w:t xml:space="preserve">NY/T357 </w:t>
      </w:r>
      <w:r>
        <w:rPr>
          <w:rFonts w:cs="宋体"/>
          <w:szCs w:val="21"/>
          <w:lang w:eastAsia="zh-CN"/>
        </w:rPr>
        <w:t>香蕉</w:t>
      </w:r>
      <w:r>
        <w:rPr>
          <w:rFonts w:cs="宋体"/>
          <w:szCs w:val="21"/>
          <w:lang w:val="en-US" w:eastAsia="zh-CN"/>
        </w:rPr>
        <w:t xml:space="preserve"> </w:t>
      </w:r>
      <w:r>
        <w:rPr>
          <w:rFonts w:cs="宋体"/>
          <w:szCs w:val="21"/>
          <w:lang w:eastAsia="zh-CN"/>
        </w:rPr>
        <w:t>组</w:t>
      </w:r>
      <w:r>
        <w:rPr>
          <w:rFonts w:cs="宋体"/>
          <w:szCs w:val="21"/>
        </w:rPr>
        <w:t>培苗</w:t>
      </w:r>
    </w:p>
    <w:p w14:paraId="4F1A35E9">
      <w:pPr>
        <w:pStyle w:val="60"/>
        <w:jc w:val="both"/>
      </w:pPr>
      <w:r>
        <w:rPr>
          <w:rFonts w:cs="宋体"/>
          <w:szCs w:val="21"/>
        </w:rPr>
        <w:t>NY/T1690 香蕉种质资源离体保存技术规程</w:t>
      </w:r>
    </w:p>
    <w:p w14:paraId="084C9FAF">
      <w:pPr>
        <w:pStyle w:val="61"/>
        <w:numPr>
          <w:ilvl w:val="0"/>
          <w:numId w:val="2"/>
        </w:numPr>
        <w:spacing w:before="312" w:after="312"/>
        <w:outlineLvl w:val="0"/>
      </w:pPr>
      <w:bookmarkStart w:id="13" w:name="_Toc6956"/>
      <w:bookmarkStart w:id="14" w:name="_Toc15125"/>
      <w:bookmarkStart w:id="15" w:name="_Toc14911"/>
      <w:r>
        <w:rPr>
          <w:rFonts w:cs="黑体"/>
          <w:szCs w:val="21"/>
        </w:rPr>
        <w:t>术语和定义</w:t>
      </w:r>
      <w:bookmarkEnd w:id="13"/>
      <w:bookmarkEnd w:id="14"/>
      <w:bookmarkEnd w:id="15"/>
    </w:p>
    <w:p w14:paraId="01B107C1">
      <w:pPr>
        <w:pStyle w:val="60"/>
        <w:jc w:val="both"/>
      </w:pPr>
      <w:r>
        <w:rPr>
          <w:rFonts w:cs="宋体"/>
          <w:szCs w:val="21"/>
        </w:rPr>
        <w:t>NY/T357和NY/T1690中确立的及下列术语和定义适用于本文件。</w:t>
      </w:r>
    </w:p>
    <w:p w14:paraId="6177A8AC">
      <w:pPr>
        <w:pStyle w:val="64"/>
        <w:numPr>
          <w:ilvl w:val="1"/>
          <w:numId w:val="2"/>
        </w:numPr>
        <w:spacing w:before="156" w:after="156"/>
        <w:outlineLvl w:val="1"/>
      </w:pPr>
      <w:bookmarkStart w:id="16" w:name="_Toc2d5d1a52-96e7-4d77-9c5b-485fca87bc64"/>
      <w:bookmarkEnd w:id="16"/>
      <w:bookmarkStart w:id="17" w:name="_Toc3269"/>
      <w:bookmarkStart w:id="18" w:name="_Toc28126"/>
      <w:bookmarkStart w:id="19" w:name="_Toc18256"/>
      <w:r>
        <w:rPr>
          <w:rFonts w:cs="黑体"/>
          <w:szCs w:val="21"/>
        </w:rPr>
        <w:t>外植体</w:t>
      </w:r>
      <w:r>
        <w:rPr>
          <w:rFonts w:ascii="Times New Roman" w:hAnsi="Times New Roman" w:eastAsia="Times New Roman"/>
          <w:szCs w:val="21"/>
        </w:rPr>
        <w:t>explant</w:t>
      </w:r>
      <w:bookmarkEnd w:id="17"/>
      <w:bookmarkEnd w:id="18"/>
      <w:bookmarkEnd w:id="19"/>
    </w:p>
    <w:p w14:paraId="3FF8E3D3">
      <w:pPr>
        <w:pStyle w:val="60"/>
        <w:jc w:val="both"/>
      </w:pPr>
      <w:r>
        <w:rPr>
          <w:rFonts w:cs="宋体"/>
          <w:szCs w:val="21"/>
        </w:rPr>
        <w:t>在组织培养中，用于初始培养以产生无</w:t>
      </w:r>
      <w:r>
        <w:rPr>
          <w:rFonts w:hint="eastAsia" w:cs="宋体"/>
          <w:szCs w:val="21"/>
          <w:lang w:val="en-US" w:eastAsia="zh-CN"/>
        </w:rPr>
        <w:t>菌</w:t>
      </w:r>
      <w:r>
        <w:rPr>
          <w:rFonts w:cs="宋体"/>
          <w:szCs w:val="21"/>
        </w:rPr>
        <w:t>体系的茎尖、顶芽、分生组织和胚等材料的统称。</w:t>
      </w:r>
    </w:p>
    <w:p w14:paraId="694437BD">
      <w:pPr>
        <w:pStyle w:val="64"/>
        <w:numPr>
          <w:ilvl w:val="1"/>
          <w:numId w:val="2"/>
        </w:numPr>
        <w:spacing w:before="156" w:after="156"/>
        <w:outlineLvl w:val="1"/>
      </w:pPr>
      <w:bookmarkStart w:id="20" w:name="_Toccde8ad40-afb4-462f-9efa-0990c31d1c83"/>
      <w:bookmarkEnd w:id="20"/>
      <w:bookmarkStart w:id="21" w:name="_Toc23974"/>
      <w:bookmarkStart w:id="22" w:name="_Toc6023"/>
      <w:bookmarkStart w:id="23" w:name="_Toc10478"/>
      <w:r>
        <w:rPr>
          <w:rFonts w:cs="黑体"/>
          <w:szCs w:val="21"/>
        </w:rPr>
        <w:t>继代</w:t>
      </w:r>
      <w:r>
        <w:rPr>
          <w:rFonts w:ascii="Times New Roman" w:hAnsi="Times New Roman" w:eastAsia="Times New Roman"/>
          <w:szCs w:val="21"/>
        </w:rPr>
        <w:t>subculture</w:t>
      </w:r>
      <w:bookmarkEnd w:id="21"/>
      <w:bookmarkEnd w:id="22"/>
      <w:bookmarkEnd w:id="23"/>
    </w:p>
    <w:p w14:paraId="103CDFC3">
      <w:pPr>
        <w:pStyle w:val="60"/>
        <w:jc w:val="both"/>
      </w:pPr>
      <w:r>
        <w:rPr>
          <w:rFonts w:cs="宋体"/>
          <w:szCs w:val="21"/>
        </w:rPr>
        <w:t>对来自外植体所增殖的培养物</w:t>
      </w:r>
      <w:r>
        <w:rPr>
          <w:rFonts w:cs="宋体"/>
          <w:szCs w:val="21"/>
          <w:lang w:eastAsia="zh-CN"/>
        </w:rPr>
        <w:t>（</w:t>
      </w:r>
      <w:r>
        <w:rPr>
          <w:rFonts w:cs="宋体"/>
          <w:szCs w:val="21"/>
        </w:rPr>
        <w:t>包括细胞、组织或其切段</w:t>
      </w:r>
      <w:r>
        <w:rPr>
          <w:rFonts w:cs="宋体"/>
          <w:szCs w:val="21"/>
          <w:lang w:eastAsia="zh-CN"/>
        </w:rPr>
        <w:t>）</w:t>
      </w:r>
      <w:r>
        <w:rPr>
          <w:rFonts w:cs="宋体"/>
          <w:szCs w:val="21"/>
        </w:rPr>
        <w:t>通过更换新鲜培养基及不断切割或分离，进行连续多代培养的过程。</w:t>
      </w:r>
    </w:p>
    <w:p w14:paraId="0DF67BCB">
      <w:pPr>
        <w:pStyle w:val="64"/>
        <w:numPr>
          <w:ilvl w:val="1"/>
          <w:numId w:val="2"/>
        </w:numPr>
        <w:spacing w:before="156" w:after="156"/>
        <w:outlineLvl w:val="1"/>
      </w:pPr>
      <w:bookmarkStart w:id="24" w:name="_Tocfa6f749e-89e3-42c4-887b-4b34447f9cac"/>
      <w:bookmarkEnd w:id="24"/>
      <w:bookmarkStart w:id="25" w:name="_Toc19404"/>
      <w:bookmarkStart w:id="26" w:name="_Toc32380"/>
      <w:bookmarkStart w:id="27" w:name="_Toc10089"/>
      <w:r>
        <w:t>无害化（除害）</w:t>
      </w:r>
      <w:r>
        <w:rPr>
          <w:rFonts w:hint="default" w:ascii="Times New Roman" w:hAnsi="Times New Roman" w:cs="Times New Roman"/>
        </w:rPr>
        <w:t>deconta</w:t>
      </w:r>
      <w:r>
        <w:rPr>
          <w:rFonts w:hint="default" w:ascii="Times New Roman" w:hAnsi="Times New Roman" w:cs="Times New Roman"/>
          <w:lang w:val="en-US" w:eastAsia="zh-CN"/>
        </w:rPr>
        <w:t>min</w:t>
      </w:r>
      <w:r>
        <w:rPr>
          <w:rFonts w:hint="default" w:ascii="Times New Roman" w:hAnsi="Times New Roman" w:cs="Times New Roman"/>
        </w:rPr>
        <w:t>ation</w:t>
      </w:r>
      <w:bookmarkEnd w:id="25"/>
      <w:bookmarkEnd w:id="26"/>
      <w:bookmarkEnd w:id="27"/>
    </w:p>
    <w:p w14:paraId="2469063B">
      <w:pPr>
        <w:pStyle w:val="60"/>
        <w:jc w:val="both"/>
      </w:pPr>
      <w:r>
        <w:rPr>
          <w:rFonts w:cs="宋体"/>
          <w:szCs w:val="21"/>
        </w:rPr>
        <w:t>通过表面消毒、残余物杀灭、低温脱毒、材料无菌培养等技术，获得不含真菌、细菌、病毒、病原线虫等生物的健康资源的过程。</w:t>
      </w:r>
    </w:p>
    <w:p w14:paraId="136FF0D4">
      <w:pPr>
        <w:pStyle w:val="64"/>
        <w:numPr>
          <w:ilvl w:val="1"/>
          <w:numId w:val="2"/>
        </w:numPr>
        <w:spacing w:before="156" w:after="156"/>
        <w:outlineLvl w:val="1"/>
      </w:pPr>
      <w:bookmarkStart w:id="28" w:name="_Toc405e3ce8-d9fe-4912-a815-f3e0b4593b24"/>
      <w:bookmarkEnd w:id="28"/>
      <w:bookmarkStart w:id="29" w:name="_Toc19646"/>
      <w:bookmarkStart w:id="30" w:name="_Toc9596"/>
      <w:bookmarkStart w:id="31" w:name="_Toc24542"/>
      <w:r>
        <w:t>繁育</w:t>
      </w:r>
      <w:r>
        <w:rPr>
          <w:rFonts w:hint="default" w:ascii="Times New Roman" w:hAnsi="Times New Roman" w:cs="Times New Roman"/>
        </w:rPr>
        <w:t>breeding</w:t>
      </w:r>
      <w:bookmarkEnd w:id="29"/>
      <w:bookmarkEnd w:id="30"/>
      <w:bookmarkEnd w:id="31"/>
    </w:p>
    <w:p w14:paraId="5A239513">
      <w:pPr>
        <w:pStyle w:val="60"/>
        <w:jc w:val="both"/>
      </w:pPr>
      <w:r>
        <w:rPr>
          <w:rFonts w:cs="宋体"/>
          <w:szCs w:val="21"/>
        </w:rPr>
        <w:t>通过组织培养技术扩繁香蕉资源的过程。</w:t>
      </w:r>
    </w:p>
    <w:p w14:paraId="6ABE1ED2">
      <w:pPr>
        <w:pStyle w:val="64"/>
        <w:numPr>
          <w:ilvl w:val="1"/>
          <w:numId w:val="2"/>
        </w:numPr>
        <w:spacing w:before="156" w:after="156"/>
        <w:outlineLvl w:val="1"/>
      </w:pPr>
      <w:bookmarkStart w:id="32" w:name="_Toc02986231-6c05-4f24-8f7d-8d894511bf26"/>
      <w:bookmarkEnd w:id="32"/>
      <w:bookmarkStart w:id="33" w:name="_Toc11024"/>
      <w:bookmarkStart w:id="34" w:name="_Toc17729"/>
      <w:bookmarkStart w:id="35" w:name="_Toc13605"/>
      <w:r>
        <w:rPr>
          <w:rFonts w:cs="黑体"/>
          <w:szCs w:val="21"/>
        </w:rPr>
        <w:t>挽救</w:t>
      </w:r>
      <w:r>
        <w:rPr>
          <w:rFonts w:hint="eastAsia" w:ascii="Times New Roman" w:hAnsi="Times New Roman" w:eastAsia="Times New Roman"/>
          <w:szCs w:val="21"/>
        </w:rPr>
        <w:t>rescue</w:t>
      </w:r>
      <w:bookmarkEnd w:id="33"/>
      <w:bookmarkEnd w:id="34"/>
      <w:bookmarkEnd w:id="35"/>
    </w:p>
    <w:p w14:paraId="7C8341E1">
      <w:pPr>
        <w:pStyle w:val="60"/>
        <w:jc w:val="both"/>
        <w:rPr>
          <w:rFonts w:cs="宋体"/>
          <w:szCs w:val="21"/>
        </w:rPr>
      </w:pPr>
      <w:r>
        <w:rPr>
          <w:rFonts w:cs="宋体"/>
          <w:szCs w:val="21"/>
        </w:rPr>
        <w:t>通过茎尖培养、杀菌处理等技术，将损坏严重、腐烂、发霉等状态不良的材料，培育为健康种苗的过程。</w:t>
      </w:r>
    </w:p>
    <w:p w14:paraId="394E375E">
      <w:pPr>
        <w:pStyle w:val="64"/>
        <w:numPr>
          <w:ilvl w:val="1"/>
          <w:numId w:val="2"/>
        </w:numPr>
        <w:spacing w:before="156" w:after="156"/>
        <w:outlineLvl w:val="1"/>
        <w:rPr>
          <w:rStyle w:val="35"/>
        </w:rPr>
      </w:pPr>
      <w:bookmarkStart w:id="36" w:name="_Toc25240"/>
      <w:bookmarkStart w:id="37" w:name="_Toc21628"/>
      <w:bookmarkStart w:id="38" w:name="_Toc17509"/>
      <w:r>
        <w:rPr>
          <w:rFonts w:cs="黑体"/>
          <w:szCs w:val="21"/>
        </w:rPr>
        <w:t>常温</w:t>
      </w:r>
      <w:r>
        <w:rPr>
          <w:rStyle w:val="35"/>
          <w:color w:val="000000"/>
        </w:rPr>
        <w:t>保存</w:t>
      </w:r>
      <w:r>
        <w:rPr>
          <w:rStyle w:val="35"/>
          <w:rFonts w:hint="default" w:ascii="Times New Roman" w:hAnsi="Times New Roman" w:cs="Times New Roman"/>
          <w:b w:val="0"/>
          <w:bCs/>
          <w:color w:val="000000"/>
        </w:rPr>
        <w:t>normal</w:t>
      </w:r>
      <w:r>
        <w:rPr>
          <w:rStyle w:val="35"/>
          <w:rFonts w:hint="default" w:ascii="Times New Roman" w:hAnsi="Times New Roman" w:cs="Times New Roman"/>
          <w:b w:val="0"/>
          <w:bCs/>
          <w:color w:val="000000"/>
          <w:lang w:val="en-US"/>
        </w:rPr>
        <w:t xml:space="preserve"> </w:t>
      </w:r>
      <w:r>
        <w:rPr>
          <w:rStyle w:val="35"/>
          <w:rFonts w:hint="default" w:ascii="Times New Roman" w:hAnsi="Times New Roman" w:cs="Times New Roman"/>
          <w:b w:val="0"/>
          <w:bCs/>
          <w:color w:val="000000"/>
        </w:rPr>
        <w:t>temperature</w:t>
      </w:r>
      <w:r>
        <w:rPr>
          <w:rStyle w:val="35"/>
          <w:rFonts w:hint="default" w:ascii="Times New Roman" w:hAnsi="Times New Roman" w:cs="Times New Roman"/>
          <w:b w:val="0"/>
          <w:bCs/>
          <w:color w:val="000000"/>
          <w:lang w:val="en-US"/>
        </w:rPr>
        <w:t xml:space="preserve"> </w:t>
      </w:r>
      <w:r>
        <w:rPr>
          <w:rStyle w:val="35"/>
          <w:rFonts w:hint="default" w:ascii="Times New Roman" w:hAnsi="Times New Roman" w:cs="Times New Roman"/>
          <w:b w:val="0"/>
          <w:bCs/>
          <w:color w:val="000000"/>
        </w:rPr>
        <w:t>conservation</w:t>
      </w:r>
      <w:bookmarkEnd w:id="36"/>
      <w:bookmarkEnd w:id="37"/>
      <w:bookmarkEnd w:id="38"/>
    </w:p>
    <w:p w14:paraId="1F744DD5">
      <w:pPr>
        <w:pStyle w:val="60"/>
        <w:rPr>
          <w:rFonts w:cs="宋体"/>
          <w:szCs w:val="21"/>
        </w:rPr>
      </w:pPr>
      <w:r>
        <w:rPr>
          <w:rFonts w:cs="宋体"/>
          <w:szCs w:val="21"/>
        </w:rPr>
        <w:t>在（25±2）℃下保存正常生长离体培养物的方式。</w:t>
      </w:r>
    </w:p>
    <w:p w14:paraId="0BAA8905">
      <w:pPr>
        <w:pStyle w:val="64"/>
        <w:numPr>
          <w:ilvl w:val="1"/>
          <w:numId w:val="2"/>
        </w:numPr>
        <w:spacing w:before="156" w:after="156"/>
        <w:outlineLvl w:val="1"/>
        <w:rPr>
          <w:rStyle w:val="35"/>
          <w:color w:val="000000"/>
        </w:rPr>
      </w:pPr>
      <w:bookmarkStart w:id="39" w:name="_Toc19511"/>
      <w:bookmarkStart w:id="40" w:name="_Toc13986"/>
      <w:bookmarkStart w:id="41" w:name="_Toc15570"/>
      <w:r>
        <w:rPr>
          <w:rStyle w:val="35"/>
          <w:color w:val="000000"/>
        </w:rPr>
        <w:t>低温保存</w:t>
      </w:r>
      <w:r>
        <w:rPr>
          <w:rStyle w:val="35"/>
          <w:rFonts w:hint="default" w:ascii="Times New Roman" w:hAnsi="Times New Roman" w:cs="Times New Roman"/>
          <w:b w:val="0"/>
          <w:bCs/>
          <w:color w:val="000000"/>
        </w:rPr>
        <w:t>low</w:t>
      </w:r>
      <w:r>
        <w:rPr>
          <w:rStyle w:val="35"/>
          <w:rFonts w:hint="default" w:ascii="Times New Roman" w:hAnsi="Times New Roman" w:cs="Times New Roman"/>
          <w:b w:val="0"/>
          <w:bCs/>
          <w:color w:val="000000"/>
          <w:lang w:val="en-US"/>
        </w:rPr>
        <w:t xml:space="preserve"> </w:t>
      </w:r>
      <w:r>
        <w:rPr>
          <w:rStyle w:val="35"/>
          <w:rFonts w:hint="default" w:ascii="Times New Roman" w:hAnsi="Times New Roman" w:cs="Times New Roman"/>
          <w:b w:val="0"/>
          <w:bCs/>
          <w:color w:val="000000"/>
        </w:rPr>
        <w:t>temperature</w:t>
      </w:r>
      <w:r>
        <w:rPr>
          <w:rStyle w:val="35"/>
          <w:rFonts w:hint="default" w:ascii="Times New Roman" w:hAnsi="Times New Roman" w:cs="Times New Roman"/>
          <w:b w:val="0"/>
          <w:bCs/>
          <w:color w:val="000000"/>
          <w:lang w:val="en-US"/>
        </w:rPr>
        <w:t xml:space="preserve"> </w:t>
      </w:r>
      <w:r>
        <w:rPr>
          <w:rStyle w:val="35"/>
          <w:rFonts w:hint="default" w:ascii="Times New Roman" w:hAnsi="Times New Roman" w:cs="Times New Roman"/>
          <w:b w:val="0"/>
          <w:bCs/>
          <w:color w:val="000000"/>
        </w:rPr>
        <w:t>conservation</w:t>
      </w:r>
      <w:bookmarkEnd w:id="39"/>
      <w:bookmarkEnd w:id="40"/>
      <w:bookmarkEnd w:id="41"/>
    </w:p>
    <w:p w14:paraId="24370492">
      <w:pPr>
        <w:spacing w:line="360" w:lineRule="atLeast"/>
        <w:ind w:firstLine="420"/>
        <w:rPr>
          <w:rStyle w:val="35"/>
          <w:rFonts w:ascii="黑体" w:hAnsi="黑体"/>
          <w:color w:val="000000"/>
        </w:rPr>
      </w:pPr>
      <w:r>
        <w:rPr>
          <w:rFonts w:ascii="宋体" w:hAnsi="宋体" w:eastAsia="宋体" w:cs="宋体"/>
          <w:kern w:val="0"/>
          <w:szCs w:val="21"/>
        </w:rPr>
        <w:t>在（16±1）℃下，通过改变培养基成分和光照条件保存缓慢生长离体培养物的方式</w:t>
      </w:r>
      <w:r>
        <w:rPr>
          <w:rFonts w:eastAsia="等线"/>
          <w:color w:val="000000"/>
        </w:rPr>
        <w:t>。</w:t>
      </w:r>
    </w:p>
    <w:p w14:paraId="2D3F7E58">
      <w:pPr>
        <w:pStyle w:val="64"/>
        <w:numPr>
          <w:ilvl w:val="1"/>
          <w:numId w:val="2"/>
        </w:numPr>
        <w:spacing w:before="156" w:after="156"/>
        <w:outlineLvl w:val="1"/>
        <w:rPr>
          <w:rStyle w:val="35"/>
          <w:color w:val="000000"/>
        </w:rPr>
      </w:pPr>
      <w:bookmarkStart w:id="42" w:name="_Toc1959"/>
      <w:bookmarkStart w:id="43" w:name="_Toc13978"/>
      <w:bookmarkStart w:id="44" w:name="_Toc32368"/>
      <w:r>
        <w:rPr>
          <w:color w:val="000000"/>
        </w:rPr>
        <w:t>超低温保存</w:t>
      </w:r>
      <w:r>
        <w:rPr>
          <w:rFonts w:hint="default" w:ascii="Times New Roman" w:hAnsi="Times New Roman" w:cs="Times New Roman"/>
          <w:b w:val="0"/>
          <w:bCs/>
          <w:color w:val="000000"/>
        </w:rPr>
        <w:t>cryopreservation</w:t>
      </w:r>
      <w:bookmarkEnd w:id="42"/>
      <w:bookmarkEnd w:id="43"/>
      <w:bookmarkEnd w:id="44"/>
    </w:p>
    <w:p w14:paraId="07CE135A">
      <w:pPr>
        <w:spacing w:line="360" w:lineRule="atLeast"/>
        <w:ind w:firstLine="420"/>
        <w:rPr>
          <w:rFonts w:ascii="宋体" w:hAnsi="宋体" w:eastAsia="宋体" w:cs="宋体"/>
          <w:kern w:val="0"/>
          <w:szCs w:val="21"/>
        </w:rPr>
      </w:pPr>
      <w:r>
        <w:rPr>
          <w:rFonts w:ascii="宋体" w:hAnsi="宋体" w:eastAsia="宋体" w:cs="宋体"/>
          <w:kern w:val="0"/>
          <w:szCs w:val="21"/>
        </w:rPr>
        <w:t>在液氮（-196℃）中保存代谢和生长几乎完全停止、生物学状态相对稳定的离体培养物的方式。</w:t>
      </w:r>
    </w:p>
    <w:p w14:paraId="24ECC1E1">
      <w:pPr>
        <w:pStyle w:val="61"/>
        <w:numPr>
          <w:ilvl w:val="0"/>
          <w:numId w:val="2"/>
        </w:numPr>
        <w:spacing w:before="312" w:after="312"/>
        <w:outlineLvl w:val="0"/>
        <w:rPr>
          <w:rFonts w:cs="黑体"/>
          <w:szCs w:val="21"/>
        </w:rPr>
      </w:pPr>
      <w:bookmarkStart w:id="45" w:name="_Toc12697"/>
      <w:bookmarkStart w:id="46" w:name="_Toc21395"/>
      <w:bookmarkStart w:id="47" w:name="_Toc20134"/>
      <w:r>
        <w:rPr>
          <w:rFonts w:cs="黑体"/>
          <w:szCs w:val="21"/>
        </w:rPr>
        <w:t>基本要求</w:t>
      </w:r>
      <w:bookmarkEnd w:id="45"/>
      <w:bookmarkEnd w:id="46"/>
      <w:bookmarkEnd w:id="47"/>
    </w:p>
    <w:p w14:paraId="04FA96C7">
      <w:pPr>
        <w:pStyle w:val="65"/>
        <w:numPr>
          <w:ilvl w:val="1"/>
          <w:numId w:val="2"/>
        </w:numPr>
        <w:jc w:val="both"/>
      </w:pPr>
      <w:r>
        <w:rPr>
          <w:rFonts w:cs="宋体"/>
          <w:sz w:val="21"/>
          <w:szCs w:val="21"/>
        </w:rPr>
        <w:t>用于种质资源保存的材料必须保证品种纯正，来源可靠。</w:t>
      </w:r>
    </w:p>
    <w:p w14:paraId="4BB47474">
      <w:pPr>
        <w:pStyle w:val="65"/>
        <w:numPr>
          <w:ilvl w:val="1"/>
          <w:numId w:val="2"/>
        </w:numPr>
        <w:jc w:val="both"/>
      </w:pPr>
      <w:r>
        <w:t xml:space="preserve">利用聚合酶链式反应（PCR）、反转录聚合酶链式反应（RT-PCR）和酶联免疫吸附试验 </w:t>
      </w:r>
      <w:r>
        <w:rPr>
          <w:lang w:val="en-US" w:eastAsia="zh-CN"/>
        </w:rPr>
        <w:t>(</w:t>
      </w:r>
      <w:r>
        <w:t>ELISA</w:t>
      </w:r>
      <w:r>
        <w:rPr>
          <w:lang w:eastAsia="zh-CN"/>
        </w:rPr>
        <w:t>）</w:t>
      </w:r>
      <w:r>
        <w:t>方法检测，确保材料不带香蕉花叶心腐</w:t>
      </w:r>
      <w:r>
        <w:rPr>
          <w:rFonts w:hint="eastAsia"/>
          <w:lang w:val="en-US" w:eastAsia="zh-CN"/>
        </w:rPr>
        <w:t>病毒</w:t>
      </w:r>
      <w:r>
        <w:t>（CMV）和束顶病病毒（BBTV）。</w:t>
      </w:r>
    </w:p>
    <w:p w14:paraId="7CC43AC6">
      <w:pPr>
        <w:pStyle w:val="65"/>
        <w:numPr>
          <w:ilvl w:val="1"/>
          <w:numId w:val="2"/>
        </w:numPr>
        <w:jc w:val="both"/>
      </w:pPr>
      <w:r>
        <w:t>种质未发生变异。</w:t>
      </w:r>
    </w:p>
    <w:p w14:paraId="0F4C697E">
      <w:pPr>
        <w:pStyle w:val="65"/>
        <w:numPr>
          <w:ilvl w:val="1"/>
          <w:numId w:val="2"/>
        </w:numPr>
        <w:jc w:val="both"/>
      </w:pPr>
      <w:r>
        <w:rPr>
          <w:rFonts w:cs="宋体"/>
          <w:sz w:val="21"/>
          <w:szCs w:val="21"/>
        </w:rPr>
        <w:t>详细登记材料情况（见附录A）。</w:t>
      </w:r>
    </w:p>
    <w:p w14:paraId="6F8B9057">
      <w:pPr>
        <w:pStyle w:val="65"/>
        <w:numPr>
          <w:ilvl w:val="2"/>
          <w:numId w:val="2"/>
        </w:numPr>
        <w:jc w:val="both"/>
      </w:pPr>
      <w:r>
        <w:rPr>
          <w:rFonts w:cs="宋体"/>
          <w:sz w:val="21"/>
          <w:szCs w:val="21"/>
        </w:rPr>
        <w:t>名称：种质名、品系名、地方名。</w:t>
      </w:r>
    </w:p>
    <w:p w14:paraId="1EB83054">
      <w:pPr>
        <w:pStyle w:val="65"/>
        <w:numPr>
          <w:ilvl w:val="2"/>
          <w:numId w:val="2"/>
        </w:numPr>
        <w:jc w:val="both"/>
      </w:pPr>
      <w:r>
        <w:rPr>
          <w:rFonts w:cs="宋体"/>
          <w:sz w:val="21"/>
          <w:szCs w:val="21"/>
        </w:rPr>
        <w:t>产地：原生地。</w:t>
      </w:r>
    </w:p>
    <w:p w14:paraId="5BFE308E">
      <w:pPr>
        <w:pStyle w:val="65"/>
        <w:numPr>
          <w:ilvl w:val="2"/>
          <w:numId w:val="2"/>
        </w:numPr>
        <w:jc w:val="both"/>
      </w:pPr>
      <w:r>
        <w:rPr>
          <w:rFonts w:cs="宋体"/>
          <w:sz w:val="21"/>
          <w:szCs w:val="21"/>
        </w:rPr>
        <w:t>引种情况：来源地、引种人、原保存单位、原保存单位编号、引种时间。</w:t>
      </w:r>
    </w:p>
    <w:p w14:paraId="000FB53D">
      <w:pPr>
        <w:pStyle w:val="65"/>
        <w:numPr>
          <w:ilvl w:val="2"/>
          <w:numId w:val="2"/>
        </w:numPr>
        <w:jc w:val="both"/>
      </w:pPr>
      <w:r>
        <w:rPr>
          <w:rFonts w:cs="宋体"/>
          <w:sz w:val="21"/>
          <w:szCs w:val="21"/>
        </w:rPr>
        <w:t>种质编号：国家统一编号、引种号、采集号、保存号。</w:t>
      </w:r>
    </w:p>
    <w:p w14:paraId="6AC876AD">
      <w:pPr>
        <w:pStyle w:val="65"/>
        <w:numPr>
          <w:ilvl w:val="2"/>
          <w:numId w:val="2"/>
        </w:numPr>
        <w:jc w:val="both"/>
      </w:pPr>
      <w:r>
        <w:rPr>
          <w:rFonts w:cs="宋体"/>
          <w:sz w:val="21"/>
          <w:szCs w:val="21"/>
        </w:rPr>
        <w:t>保存情况：保存材料、保存者、保存数量、继代时间、继代次数、操作人。</w:t>
      </w:r>
    </w:p>
    <w:p w14:paraId="1054DFC8">
      <w:pPr>
        <w:pStyle w:val="62"/>
        <w:numPr>
          <w:ilvl w:val="0"/>
          <w:numId w:val="2"/>
        </w:numPr>
        <w:spacing w:before="312" w:after="312"/>
        <w:outlineLvl w:val="0"/>
        <w:rPr>
          <w:rFonts w:hint="eastAsia" w:cs="宋体"/>
          <w:color w:val="auto"/>
          <w:szCs w:val="21"/>
          <w:lang w:val="en-US" w:eastAsia="zh-CN"/>
        </w:rPr>
      </w:pPr>
      <w:bookmarkStart w:id="48" w:name="_Toc30248"/>
      <w:bookmarkStart w:id="49" w:name="_Toc3953"/>
      <w:bookmarkStart w:id="50" w:name="_Toc23828"/>
      <w:r>
        <w:rPr>
          <w:rFonts w:hint="eastAsia" w:cs="黑体"/>
          <w:color w:val="auto"/>
          <w:szCs w:val="21"/>
          <w:lang w:val="en-US" w:eastAsia="zh-CN"/>
        </w:rPr>
        <w:t>香蕉种质资源离体保存程序</w:t>
      </w:r>
      <w:bookmarkEnd w:id="48"/>
      <w:bookmarkEnd w:id="49"/>
      <w:bookmarkEnd w:id="50"/>
    </w:p>
    <w:p w14:paraId="0BE17206">
      <w:pPr>
        <w:pStyle w:val="60"/>
        <w:jc w:val="both"/>
        <w:rPr>
          <w:rFonts w:hint="eastAsia" w:cs="宋体"/>
          <w:sz w:val="21"/>
          <w:szCs w:val="21"/>
          <w:lang w:val="en-US" w:eastAsia="zh-CN"/>
        </w:rPr>
      </w:pPr>
      <w:r>
        <w:rPr>
          <w:rFonts w:hint="eastAsia" w:cs="宋体"/>
          <w:szCs w:val="21"/>
          <w:lang w:val="en-US" w:eastAsia="zh-CN"/>
        </w:rPr>
        <w:t xml:space="preserve"> 保存</w:t>
      </w:r>
      <w:r>
        <w:rPr>
          <w:rFonts w:hint="eastAsia" w:cs="宋体"/>
          <w:sz w:val="21"/>
          <w:szCs w:val="21"/>
          <w:lang w:val="en-US" w:eastAsia="zh-CN"/>
        </w:rPr>
        <w:t>过程主要包括资源的采集、无害化处理、资源的挽救、检测和保存5个过程，处理材料类型包括吸芽、种子和试管苗，详细流程如下：</w:t>
      </w:r>
    </w:p>
    <w:p w14:paraId="5512E7F3">
      <w:pPr>
        <w:pStyle w:val="60"/>
        <w:ind w:left="-1" w:leftChars="0" w:firstLine="0" w:firstLineChars="0"/>
        <w:jc w:val="center"/>
        <w:rPr>
          <w:rFonts w:hint="default" w:cs="宋体"/>
          <w:sz w:val="21"/>
          <w:szCs w:val="21"/>
          <w:lang w:val="en-US" w:eastAsia="zh-CN"/>
        </w:rPr>
      </w:pPr>
      <w:r>
        <w:rPr>
          <w:rFonts w:hint="default" w:cs="宋体"/>
          <w:sz w:val="21"/>
          <w:szCs w:val="21"/>
          <w:lang w:val="en-US" w:eastAsia="zh-CN"/>
        </w:rPr>
        <w:object>
          <v:shape id="_x0000_i1025" o:spt="75" type="#_x0000_t75" style="height:443.55pt;width:39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6FE5ADED">
      <w:pPr>
        <w:pStyle w:val="62"/>
        <w:numPr>
          <w:ilvl w:val="0"/>
          <w:numId w:val="2"/>
        </w:numPr>
        <w:spacing w:before="312" w:after="312"/>
        <w:outlineLvl w:val="0"/>
      </w:pPr>
      <w:bookmarkStart w:id="51" w:name="_Toc6301"/>
      <w:bookmarkStart w:id="52" w:name="_Toc20885"/>
      <w:bookmarkStart w:id="53" w:name="_Toc4806"/>
      <w:r>
        <w:rPr>
          <w:rFonts w:cs="黑体"/>
          <w:szCs w:val="21"/>
        </w:rPr>
        <w:t>资源的采集及包装</w:t>
      </w:r>
      <w:bookmarkEnd w:id="51"/>
      <w:bookmarkEnd w:id="52"/>
      <w:bookmarkEnd w:id="53"/>
    </w:p>
    <w:p w14:paraId="1A0F9D8C">
      <w:pPr>
        <w:pStyle w:val="64"/>
        <w:numPr>
          <w:ilvl w:val="1"/>
          <w:numId w:val="2"/>
        </w:numPr>
        <w:spacing w:before="156" w:after="156"/>
        <w:outlineLvl w:val="1"/>
      </w:pPr>
      <w:bookmarkStart w:id="54" w:name="_Toc27669"/>
      <w:bookmarkStart w:id="55" w:name="_Toc527"/>
      <w:bookmarkStart w:id="56" w:name="_Toc24751"/>
      <w:r>
        <w:rPr>
          <w:rFonts w:cs="黑体"/>
          <w:szCs w:val="21"/>
        </w:rPr>
        <w:t>采集材料类型</w:t>
      </w:r>
      <w:bookmarkEnd w:id="54"/>
      <w:bookmarkEnd w:id="55"/>
      <w:bookmarkEnd w:id="56"/>
    </w:p>
    <w:p w14:paraId="7C4DE3E7">
      <w:pPr>
        <w:pStyle w:val="60"/>
        <w:jc w:val="both"/>
      </w:pPr>
      <w:r>
        <w:rPr>
          <w:rFonts w:cs="宋体"/>
          <w:szCs w:val="21"/>
        </w:rPr>
        <w:t>选择符合4.1的种质材料并按4.2详细登记。</w:t>
      </w:r>
    </w:p>
    <w:p w14:paraId="0C4243DF">
      <w:pPr>
        <w:pStyle w:val="64"/>
        <w:numPr>
          <w:ilvl w:val="2"/>
          <w:numId w:val="2"/>
        </w:numPr>
        <w:spacing w:before="156" w:after="156"/>
      </w:pPr>
      <w:bookmarkStart w:id="57" w:name="_Toc4d6b87a9-e9b8-43ff-b544-7f7ba577799b"/>
      <w:r>
        <w:rPr>
          <w:rFonts w:cs="黑体"/>
          <w:szCs w:val="21"/>
        </w:rPr>
        <w:t>吸芽</w:t>
      </w:r>
      <w:bookmarkEnd w:id="57"/>
    </w:p>
    <w:p w14:paraId="756DA103">
      <w:pPr>
        <w:pStyle w:val="60"/>
        <w:jc w:val="both"/>
      </w:pPr>
      <w:r>
        <w:rPr>
          <w:rFonts w:cs="宋体"/>
          <w:szCs w:val="21"/>
        </w:rPr>
        <w:t>吸芽来源于无明显病虫害、健壮、特征明显的母株，优先选取地面上叶片未展开的笋状芽，其次选择高度较低的吸芽。</w:t>
      </w:r>
    </w:p>
    <w:p w14:paraId="191F6A5F">
      <w:pPr>
        <w:pStyle w:val="64"/>
        <w:numPr>
          <w:ilvl w:val="2"/>
          <w:numId w:val="2"/>
        </w:numPr>
        <w:spacing w:before="156" w:after="156"/>
        <w:outlineLvl w:val="2"/>
      </w:pPr>
      <w:bookmarkStart w:id="58" w:name="_Toc17654"/>
      <w:bookmarkStart w:id="59" w:name="_Toc24067"/>
      <w:r>
        <w:rPr>
          <w:rFonts w:cs="黑体"/>
          <w:szCs w:val="21"/>
        </w:rPr>
        <w:t>果实</w:t>
      </w:r>
      <w:bookmarkEnd w:id="58"/>
      <w:bookmarkEnd w:id="59"/>
    </w:p>
    <w:p w14:paraId="2A43F189">
      <w:pPr>
        <w:pStyle w:val="60"/>
        <w:jc w:val="both"/>
        <w:rPr>
          <w:rFonts w:cs="宋体"/>
          <w:szCs w:val="21"/>
        </w:rPr>
      </w:pPr>
      <w:r>
        <w:rPr>
          <w:rFonts w:cs="宋体"/>
          <w:szCs w:val="21"/>
        </w:rPr>
        <w:t>果实来源于无明显病虫害、健壮、特征明显的母株。成熟且外观完整，无腐烂</w:t>
      </w:r>
      <w:r>
        <w:rPr>
          <w:rFonts w:cs="宋体"/>
          <w:szCs w:val="21"/>
          <w:lang w:eastAsia="zh-CN"/>
        </w:rPr>
        <w:t>现象</w:t>
      </w:r>
      <w:r>
        <w:rPr>
          <w:rFonts w:cs="宋体"/>
          <w:szCs w:val="21"/>
        </w:rPr>
        <w:t>。</w:t>
      </w:r>
    </w:p>
    <w:p w14:paraId="4F53BC1E">
      <w:pPr>
        <w:pStyle w:val="64"/>
        <w:numPr>
          <w:ilvl w:val="2"/>
          <w:numId w:val="2"/>
        </w:numPr>
        <w:spacing w:before="156" w:after="156"/>
        <w:outlineLvl w:val="2"/>
        <w:rPr>
          <w:rFonts w:hint="eastAsia" w:cs="黑体"/>
          <w:szCs w:val="21"/>
          <w:lang w:val="en-US" w:eastAsia="zh-CN"/>
        </w:rPr>
      </w:pPr>
      <w:bookmarkStart w:id="60" w:name="_Toc27000"/>
      <w:bookmarkStart w:id="61" w:name="_Toc22366"/>
      <w:r>
        <w:rPr>
          <w:rFonts w:hint="eastAsia" w:cs="黑体"/>
          <w:szCs w:val="21"/>
          <w:lang w:val="en-US" w:eastAsia="zh-CN"/>
        </w:rPr>
        <w:t>试管苗</w:t>
      </w:r>
      <w:bookmarkEnd w:id="60"/>
      <w:bookmarkEnd w:id="61"/>
    </w:p>
    <w:p w14:paraId="31C191AB">
      <w:pPr>
        <w:pStyle w:val="60"/>
        <w:numPr>
          <w:ilvl w:val="0"/>
          <w:numId w:val="0"/>
        </w:numPr>
        <w:tabs>
          <w:tab w:val="left" w:pos="0"/>
        </w:tabs>
        <w:ind w:left="0" w:leftChars="0" w:firstLine="420" w:firstLineChars="200"/>
        <w:jc w:val="both"/>
        <w:rPr>
          <w:rFonts w:hint="default" w:cs="宋体"/>
          <w:szCs w:val="21"/>
          <w:lang w:val="en-US" w:eastAsia="zh-CN"/>
        </w:rPr>
      </w:pPr>
      <w:r>
        <w:rPr>
          <w:rFonts w:hint="eastAsia" w:cs="宋体"/>
          <w:szCs w:val="21"/>
          <w:lang w:val="en-US" w:eastAsia="zh-CN"/>
        </w:rPr>
        <w:t>试管苗选取健壮、无污染、包装完好的植株。</w:t>
      </w:r>
    </w:p>
    <w:p w14:paraId="6B835AE2">
      <w:pPr>
        <w:pStyle w:val="64"/>
        <w:numPr>
          <w:ilvl w:val="1"/>
          <w:numId w:val="2"/>
        </w:numPr>
        <w:spacing w:before="156" w:after="156"/>
        <w:outlineLvl w:val="1"/>
      </w:pPr>
      <w:bookmarkStart w:id="62" w:name="_Toc13356"/>
      <w:bookmarkStart w:id="63" w:name="_Toc13185"/>
      <w:bookmarkStart w:id="64" w:name="_Toc908"/>
      <w:r>
        <w:rPr>
          <w:rFonts w:cs="黑体"/>
          <w:szCs w:val="21"/>
        </w:rPr>
        <w:t>资源采集</w:t>
      </w:r>
      <w:bookmarkEnd w:id="62"/>
      <w:bookmarkEnd w:id="63"/>
      <w:bookmarkEnd w:id="64"/>
    </w:p>
    <w:p w14:paraId="7C1BE9E7">
      <w:pPr>
        <w:pStyle w:val="64"/>
        <w:numPr>
          <w:ilvl w:val="2"/>
          <w:numId w:val="2"/>
        </w:numPr>
        <w:spacing w:before="156" w:after="156"/>
        <w:outlineLvl w:val="2"/>
      </w:pPr>
      <w:bookmarkStart w:id="65" w:name="_Toc244587a1-5a1e-405f-810b-e54588af076c"/>
      <w:bookmarkStart w:id="66" w:name="_Toc25907"/>
      <w:bookmarkStart w:id="67" w:name="_Toc28971"/>
      <w:r>
        <w:rPr>
          <w:rFonts w:cs="黑体"/>
          <w:szCs w:val="21"/>
        </w:rPr>
        <w:t>吸芽采集</w:t>
      </w:r>
      <w:bookmarkEnd w:id="65"/>
      <w:bookmarkEnd w:id="66"/>
      <w:bookmarkEnd w:id="67"/>
    </w:p>
    <w:p w14:paraId="0CFB04DE">
      <w:pPr>
        <w:pStyle w:val="60"/>
        <w:rPr>
          <w:rFonts w:cs="宋体"/>
          <w:szCs w:val="21"/>
          <w:highlight w:val="yellow"/>
        </w:rPr>
      </w:pPr>
      <w:r>
        <w:rPr>
          <w:rFonts w:cs="宋体"/>
          <w:szCs w:val="21"/>
        </w:rPr>
        <w:t>取完整吸芽，假茎和肉质茎各保留</w:t>
      </w:r>
      <w:r>
        <w:rPr>
          <w:rFonts w:cs="宋体"/>
          <w:szCs w:val="21"/>
          <w:lang w:val="en-US" w:eastAsia="zh-CN"/>
        </w:rPr>
        <w:t>4</w:t>
      </w:r>
      <w:r>
        <w:rPr>
          <w:rFonts w:cs="宋体"/>
          <w:szCs w:val="21"/>
        </w:rPr>
        <w:t xml:space="preserve"> cm～</w:t>
      </w:r>
      <w:r>
        <w:rPr>
          <w:rFonts w:cs="宋体"/>
          <w:szCs w:val="21"/>
          <w:lang w:val="en-US" w:eastAsia="zh-CN"/>
        </w:rPr>
        <w:t>5</w:t>
      </w:r>
      <w:r>
        <w:rPr>
          <w:rFonts w:cs="宋体"/>
          <w:szCs w:val="21"/>
        </w:rPr>
        <w:t xml:space="preserve"> cm，剥除</w:t>
      </w:r>
      <w:r>
        <w:rPr>
          <w:rFonts w:cs="宋体"/>
          <w:szCs w:val="21"/>
          <w:lang w:val="en-US" w:eastAsia="zh-CN"/>
        </w:rPr>
        <w:t>干枯、腐烂</w:t>
      </w:r>
      <w:r>
        <w:rPr>
          <w:rFonts w:cs="宋体"/>
          <w:szCs w:val="21"/>
        </w:rPr>
        <w:t>的叶鞘，晾干表面水分（见附录B）。</w:t>
      </w:r>
    </w:p>
    <w:p w14:paraId="31056017">
      <w:pPr>
        <w:pStyle w:val="64"/>
        <w:numPr>
          <w:ilvl w:val="2"/>
          <w:numId w:val="2"/>
        </w:numPr>
        <w:spacing w:before="156" w:after="156"/>
        <w:outlineLvl w:val="2"/>
      </w:pPr>
      <w:bookmarkStart w:id="68" w:name="_Toc271b32b0-1105-486f-86b0-0d3d00cb11b6"/>
      <w:bookmarkStart w:id="69" w:name="_Toc16599"/>
      <w:bookmarkStart w:id="70" w:name="_Toc23946"/>
      <w:r>
        <w:rPr>
          <w:rFonts w:cs="黑体"/>
          <w:szCs w:val="21"/>
        </w:rPr>
        <w:t>种子采集</w:t>
      </w:r>
      <w:bookmarkEnd w:id="68"/>
      <w:bookmarkEnd w:id="69"/>
      <w:bookmarkEnd w:id="70"/>
    </w:p>
    <w:p w14:paraId="3A149643">
      <w:pPr>
        <w:pStyle w:val="60"/>
        <w:jc w:val="both"/>
        <w:rPr>
          <w:rFonts w:hint="default" w:eastAsia="宋体" w:cs="宋体"/>
          <w:szCs w:val="21"/>
          <w:lang w:val="en-US" w:eastAsia="zh-CN"/>
        </w:rPr>
      </w:pPr>
      <w:r>
        <w:rPr>
          <w:rFonts w:cs="宋体"/>
          <w:szCs w:val="21"/>
        </w:rPr>
        <w:t>直接剪取完整无腐成熟果实或从果实中分离出种子，清洗、晾干表面水分后包装。</w:t>
      </w:r>
    </w:p>
    <w:p w14:paraId="75A15484">
      <w:pPr>
        <w:pStyle w:val="64"/>
        <w:numPr>
          <w:ilvl w:val="1"/>
          <w:numId w:val="2"/>
        </w:numPr>
        <w:spacing w:before="156" w:after="156"/>
        <w:outlineLvl w:val="1"/>
      </w:pPr>
      <w:bookmarkStart w:id="71" w:name="_Toc32326"/>
      <w:bookmarkStart w:id="72" w:name="_Toc21141"/>
      <w:bookmarkStart w:id="73" w:name="_Toc9079"/>
      <w:r>
        <w:rPr>
          <w:rFonts w:cs="黑体"/>
          <w:szCs w:val="21"/>
        </w:rPr>
        <w:t>资源包装</w:t>
      </w:r>
      <w:bookmarkEnd w:id="71"/>
      <w:bookmarkEnd w:id="72"/>
      <w:bookmarkEnd w:id="73"/>
    </w:p>
    <w:p w14:paraId="7E138307">
      <w:pPr>
        <w:pStyle w:val="60"/>
        <w:jc w:val="both"/>
      </w:pPr>
      <w:r>
        <w:rPr>
          <w:rFonts w:cs="宋体"/>
          <w:szCs w:val="21"/>
        </w:rPr>
        <w:t>资源的包装</w:t>
      </w:r>
      <w:r>
        <w:rPr>
          <w:rFonts w:cs="宋体"/>
          <w:szCs w:val="21"/>
          <w:lang w:eastAsia="zh-CN"/>
        </w:rPr>
        <w:t>应满足</w:t>
      </w:r>
      <w:r>
        <w:rPr>
          <w:rFonts w:cs="宋体"/>
          <w:szCs w:val="21"/>
        </w:rPr>
        <w:t>能够抗挤压、保湿、防霉等要求。</w:t>
      </w:r>
    </w:p>
    <w:p w14:paraId="25A66924">
      <w:pPr>
        <w:pStyle w:val="64"/>
        <w:numPr>
          <w:ilvl w:val="2"/>
          <w:numId w:val="2"/>
        </w:numPr>
        <w:spacing w:before="156" w:after="156"/>
        <w:outlineLvl w:val="2"/>
      </w:pPr>
      <w:bookmarkStart w:id="74" w:name="_Toc10420"/>
      <w:bookmarkStart w:id="75" w:name="_Toc839ee9cf-ab89-4e4e-a66e-522a1cf395e8"/>
      <w:bookmarkStart w:id="76" w:name="_Toc31753"/>
      <w:r>
        <w:rPr>
          <w:rFonts w:cs="黑体"/>
          <w:szCs w:val="21"/>
        </w:rPr>
        <w:t>包装材料</w:t>
      </w:r>
      <w:bookmarkEnd w:id="74"/>
      <w:bookmarkEnd w:id="75"/>
      <w:bookmarkEnd w:id="76"/>
    </w:p>
    <w:p w14:paraId="52DD119E">
      <w:pPr>
        <w:pStyle w:val="60"/>
        <w:jc w:val="both"/>
      </w:pPr>
      <w:r>
        <w:rPr>
          <w:rFonts w:cs="宋体"/>
          <w:szCs w:val="21"/>
        </w:rPr>
        <w:t>包装材料要具有透气、柔软、吸水性好、清洁、不易发霉腐烂、保湿性强等特性，包装材料易获得，且允许用于邮寄或运输。</w:t>
      </w:r>
    </w:p>
    <w:p w14:paraId="55AD521E">
      <w:pPr>
        <w:pStyle w:val="64"/>
        <w:numPr>
          <w:ilvl w:val="2"/>
          <w:numId w:val="2"/>
        </w:numPr>
        <w:spacing w:before="156" w:after="156"/>
        <w:outlineLvl w:val="2"/>
      </w:pPr>
      <w:bookmarkStart w:id="77" w:name="_Toc15764"/>
      <w:bookmarkStart w:id="78" w:name="_Toc2b45585d-69f8-475b-94a0-7e74eb5e9ab5"/>
      <w:bookmarkStart w:id="79" w:name="_Toc2291"/>
      <w:r>
        <w:rPr>
          <w:rFonts w:cs="黑体"/>
          <w:szCs w:val="21"/>
        </w:rPr>
        <w:t>包装</w:t>
      </w:r>
      <w:bookmarkEnd w:id="77"/>
      <w:bookmarkEnd w:id="78"/>
      <w:bookmarkEnd w:id="79"/>
    </w:p>
    <w:p w14:paraId="062A6931">
      <w:pPr>
        <w:pStyle w:val="60"/>
        <w:jc w:val="both"/>
        <w:rPr>
          <w:rFonts w:cs="宋体"/>
          <w:szCs w:val="21"/>
        </w:rPr>
      </w:pPr>
      <w:r>
        <w:rPr>
          <w:rFonts w:cs="宋体"/>
          <w:szCs w:val="21"/>
        </w:rPr>
        <w:t>资源包裹打包后，要在包装明显位置标注采集的种质类型、日期、地点、采集人等关键信息。</w:t>
      </w:r>
    </w:p>
    <w:p w14:paraId="0DA15414">
      <w:pPr>
        <w:pStyle w:val="62"/>
        <w:numPr>
          <w:ilvl w:val="0"/>
          <w:numId w:val="2"/>
        </w:numPr>
        <w:spacing w:before="312" w:after="312"/>
        <w:outlineLvl w:val="0"/>
      </w:pPr>
      <w:bookmarkStart w:id="80" w:name="_Toc29693"/>
      <w:bookmarkStart w:id="81" w:name="_Toc31056"/>
      <w:bookmarkStart w:id="82" w:name="_Toc29038"/>
      <w:r>
        <w:rPr>
          <w:rFonts w:cs="黑体"/>
          <w:szCs w:val="21"/>
        </w:rPr>
        <w:t>无害化（除害）</w:t>
      </w:r>
      <w:bookmarkEnd w:id="80"/>
      <w:bookmarkEnd w:id="81"/>
      <w:bookmarkEnd w:id="82"/>
    </w:p>
    <w:p w14:paraId="7193768E">
      <w:pPr>
        <w:pStyle w:val="64"/>
        <w:numPr>
          <w:ilvl w:val="1"/>
          <w:numId w:val="2"/>
        </w:numPr>
        <w:spacing w:before="156" w:after="156"/>
        <w:outlineLvl w:val="1"/>
      </w:pPr>
      <w:bookmarkStart w:id="83" w:name="_Toc9697"/>
      <w:bookmarkStart w:id="84" w:name="_Toc5598"/>
      <w:bookmarkStart w:id="85" w:name="_Toc21545"/>
      <w:r>
        <w:rPr>
          <w:rFonts w:cs="黑体"/>
          <w:szCs w:val="21"/>
        </w:rPr>
        <w:t>病虫害类型</w:t>
      </w:r>
      <w:bookmarkEnd w:id="83"/>
      <w:bookmarkEnd w:id="84"/>
      <w:bookmarkEnd w:id="85"/>
    </w:p>
    <w:p w14:paraId="41C8F8E7">
      <w:pPr>
        <w:pStyle w:val="64"/>
        <w:numPr>
          <w:ilvl w:val="2"/>
          <w:numId w:val="2"/>
        </w:numPr>
        <w:spacing w:before="156" w:after="156"/>
        <w:outlineLvl w:val="2"/>
      </w:pPr>
      <w:bookmarkStart w:id="86" w:name="_Toc65ee4ae0-f44d-41ca-8945-f18864717c78"/>
      <w:bookmarkStart w:id="87" w:name="_Toc21601"/>
      <w:bookmarkStart w:id="88" w:name="_Toc11334"/>
      <w:r>
        <w:rPr>
          <w:rFonts w:cs="黑体"/>
          <w:szCs w:val="21"/>
        </w:rPr>
        <w:t>主要病害</w:t>
      </w:r>
      <w:bookmarkEnd w:id="86"/>
      <w:bookmarkEnd w:id="87"/>
      <w:bookmarkEnd w:id="88"/>
    </w:p>
    <w:p w14:paraId="4039BF5D">
      <w:pPr>
        <w:pStyle w:val="60"/>
        <w:jc w:val="both"/>
      </w:pPr>
      <w:r>
        <w:rPr>
          <w:rFonts w:cs="宋体"/>
          <w:szCs w:val="21"/>
        </w:rPr>
        <w:t>《中华人民共和国进境植物检疫禁止进境物名录》（2018）、《中华人民共和国进境植物检疫性有害生物名录》（2021）中涉及的香蕉可能携带的病害，包括香蕉束顶病、黑叶斑病和枯萎病等。</w:t>
      </w:r>
    </w:p>
    <w:p w14:paraId="0CB60956">
      <w:pPr>
        <w:pStyle w:val="64"/>
        <w:numPr>
          <w:ilvl w:val="2"/>
          <w:numId w:val="2"/>
        </w:numPr>
        <w:spacing w:before="156" w:after="156"/>
        <w:outlineLvl w:val="2"/>
      </w:pPr>
      <w:bookmarkStart w:id="89" w:name="_Toc83161cb4-e96f-447b-a16f-6dee1469067a"/>
      <w:bookmarkStart w:id="90" w:name="_Toc21205"/>
      <w:bookmarkStart w:id="91" w:name="_Toc25785"/>
      <w:r>
        <w:rPr>
          <w:rFonts w:cs="黑体"/>
          <w:szCs w:val="21"/>
        </w:rPr>
        <w:t>主要虫害</w:t>
      </w:r>
      <w:bookmarkEnd w:id="89"/>
      <w:bookmarkEnd w:id="90"/>
      <w:bookmarkEnd w:id="91"/>
    </w:p>
    <w:p w14:paraId="63305EAA">
      <w:pPr>
        <w:pStyle w:val="60"/>
        <w:jc w:val="both"/>
      </w:pPr>
      <w:r>
        <w:rPr>
          <w:rFonts w:cs="宋体"/>
          <w:szCs w:val="21"/>
        </w:rPr>
        <w:t>《中华人民共和国进境植物检疫禁止进境物名录》（2018）、《中华人民共和国进境植物检疫性有害生物名录》（2021）中涉及的香蕉可能携带的虫害，包括钻穴线虫、象鼻虫、雀斑虫等。</w:t>
      </w:r>
    </w:p>
    <w:p w14:paraId="73BDC59F">
      <w:pPr>
        <w:pStyle w:val="64"/>
        <w:numPr>
          <w:ilvl w:val="1"/>
          <w:numId w:val="2"/>
        </w:numPr>
        <w:spacing w:before="156" w:after="156"/>
        <w:outlineLvl w:val="1"/>
      </w:pPr>
      <w:bookmarkStart w:id="92" w:name="_Toc30622"/>
      <w:bookmarkStart w:id="93" w:name="_Toc772"/>
      <w:bookmarkStart w:id="94" w:name="_Toc30431"/>
      <w:r>
        <w:rPr>
          <w:rFonts w:hint="eastAsia" w:cs="黑体"/>
          <w:szCs w:val="21"/>
          <w:lang w:val="en-US" w:eastAsia="zh-CN"/>
        </w:rPr>
        <w:t>不同材料的</w:t>
      </w:r>
      <w:r>
        <w:rPr>
          <w:rFonts w:cs="黑体"/>
          <w:szCs w:val="21"/>
        </w:rPr>
        <w:t>无害化</w:t>
      </w:r>
      <w:r>
        <w:rPr>
          <w:rFonts w:hint="eastAsia" w:cs="黑体"/>
          <w:szCs w:val="21"/>
          <w:lang w:val="en-US" w:eastAsia="zh-CN"/>
        </w:rPr>
        <w:t>方法</w:t>
      </w:r>
      <w:bookmarkEnd w:id="92"/>
      <w:bookmarkEnd w:id="93"/>
      <w:bookmarkEnd w:id="94"/>
    </w:p>
    <w:p w14:paraId="1826455B">
      <w:pPr>
        <w:pStyle w:val="64"/>
        <w:numPr>
          <w:ilvl w:val="2"/>
          <w:numId w:val="2"/>
        </w:numPr>
        <w:spacing w:before="156" w:after="156"/>
        <w:outlineLvl w:val="2"/>
      </w:pPr>
      <w:bookmarkStart w:id="95" w:name="_Toc9042"/>
      <w:bookmarkStart w:id="96" w:name="_Toc02df7b53-332b-4f8b-90d4-74c8a8385f94"/>
      <w:bookmarkStart w:id="97" w:name="_Toc29394"/>
      <w:r>
        <w:rPr>
          <w:rFonts w:cs="黑体"/>
          <w:szCs w:val="21"/>
        </w:rPr>
        <w:t>吸芽无害化</w:t>
      </w:r>
      <w:bookmarkEnd w:id="95"/>
      <w:bookmarkEnd w:id="96"/>
      <w:bookmarkEnd w:id="97"/>
    </w:p>
    <w:p w14:paraId="2E18A3CF">
      <w:pPr>
        <w:pStyle w:val="64"/>
        <w:numPr>
          <w:ilvl w:val="3"/>
          <w:numId w:val="2"/>
        </w:numPr>
        <w:spacing w:before="156" w:after="156"/>
        <w:outlineLvl w:val="3"/>
      </w:pPr>
      <w:bookmarkStart w:id="98" w:name="_Toc01dae2a4-8a41-412f-b283-18e7bd0a39b4"/>
      <w:bookmarkStart w:id="99" w:name="_Toc13303"/>
      <w:bookmarkStart w:id="100" w:name="_Toc6790"/>
      <w:r>
        <w:rPr>
          <w:rFonts w:cs="黑体"/>
          <w:szCs w:val="21"/>
        </w:rPr>
        <w:t>取材方法</w:t>
      </w:r>
      <w:bookmarkEnd w:id="98"/>
      <w:bookmarkEnd w:id="99"/>
      <w:bookmarkEnd w:id="100"/>
    </w:p>
    <w:p w14:paraId="27BD291A">
      <w:pPr>
        <w:pStyle w:val="60"/>
        <w:jc w:val="both"/>
      </w:pPr>
      <w:r>
        <w:rPr>
          <w:rFonts w:cs="宋体"/>
          <w:szCs w:val="21"/>
        </w:rPr>
        <w:t>取吸芽顶芽或其侧芽，去除表层组织，</w:t>
      </w:r>
      <w:r>
        <w:rPr>
          <w:rFonts w:cs="宋体"/>
          <w:szCs w:val="21"/>
          <w:lang w:eastAsia="zh-CN"/>
        </w:rPr>
        <w:t>使用</w:t>
      </w:r>
      <w:r>
        <w:rPr>
          <w:rFonts w:cs="宋体"/>
          <w:szCs w:val="21"/>
        </w:rPr>
        <w:t>75%酒精消毒后，剥取0.5 mm左右的茎尖，接种到培养基。</w:t>
      </w:r>
    </w:p>
    <w:p w14:paraId="55B813BC">
      <w:pPr>
        <w:pStyle w:val="64"/>
        <w:numPr>
          <w:ilvl w:val="3"/>
          <w:numId w:val="2"/>
        </w:numPr>
        <w:spacing w:before="156" w:after="156"/>
        <w:outlineLvl w:val="3"/>
      </w:pPr>
      <w:bookmarkStart w:id="101" w:name="_Toc5fdd7aaa-d32c-43de-b7c0-fd2baf9fb465"/>
      <w:bookmarkStart w:id="102" w:name="_Toc11390"/>
      <w:bookmarkStart w:id="103" w:name="_Toc11512"/>
      <w:r>
        <w:rPr>
          <w:rFonts w:cs="黑体"/>
          <w:szCs w:val="21"/>
        </w:rPr>
        <w:t>培养</w:t>
      </w:r>
      <w:bookmarkEnd w:id="101"/>
      <w:r>
        <w:rPr>
          <w:rFonts w:cs="黑体"/>
          <w:szCs w:val="21"/>
        </w:rPr>
        <w:t>条件</w:t>
      </w:r>
      <w:bookmarkEnd w:id="102"/>
      <w:bookmarkEnd w:id="103"/>
    </w:p>
    <w:p w14:paraId="44B4232F">
      <w:pPr>
        <w:pStyle w:val="60"/>
        <w:jc w:val="both"/>
      </w:pPr>
      <w:r>
        <w:rPr>
          <w:rFonts w:cs="宋体"/>
          <w:szCs w:val="21"/>
        </w:rPr>
        <w:t>培养基为MS+6-BA 2.0～3.0 mg/L+NAA 0.1 mg/L+蔗糖30 g/L+卡拉胶7 g/L，pH 值为5.8，在温度25℃条件下黑暗培养。</w:t>
      </w:r>
    </w:p>
    <w:p w14:paraId="75CFF80A">
      <w:pPr>
        <w:pStyle w:val="64"/>
        <w:numPr>
          <w:ilvl w:val="3"/>
          <w:numId w:val="2"/>
        </w:numPr>
        <w:spacing w:before="156" w:after="156"/>
        <w:outlineLvl w:val="3"/>
      </w:pPr>
      <w:bookmarkStart w:id="104" w:name="_Tocfa724913-a028-4158-bc7c-676dd29f5fea"/>
      <w:bookmarkStart w:id="105" w:name="_Toc20494"/>
      <w:bookmarkStart w:id="106" w:name="_Toc14936"/>
      <w:r>
        <w:rPr>
          <w:rFonts w:cs="黑体"/>
          <w:szCs w:val="21"/>
        </w:rPr>
        <w:t>繁育</w:t>
      </w:r>
      <w:bookmarkEnd w:id="104"/>
      <w:bookmarkEnd w:id="105"/>
      <w:bookmarkEnd w:id="106"/>
    </w:p>
    <w:p w14:paraId="041AB87F">
      <w:pPr>
        <w:pStyle w:val="60"/>
        <w:jc w:val="both"/>
      </w:pPr>
      <w:r>
        <w:rPr>
          <w:rFonts w:cs="宋体"/>
          <w:szCs w:val="21"/>
        </w:rPr>
        <w:t>参照行业标准NY/T357的4.2外植体诱导与继代培养。</w:t>
      </w:r>
    </w:p>
    <w:p w14:paraId="3854F5A8">
      <w:pPr>
        <w:pStyle w:val="60"/>
        <w:jc w:val="both"/>
      </w:pPr>
      <w:r>
        <w:rPr>
          <w:rFonts w:cs="宋体"/>
          <w:szCs w:val="21"/>
        </w:rPr>
        <w:t>当暗培养的材料开始分化时，用相同培养基继代，在25℃，光照强度300 lx～500 lx的条件下，以8～10小时/天的光照周期培养。</w:t>
      </w:r>
    </w:p>
    <w:p w14:paraId="43C4DCC7">
      <w:pPr>
        <w:pStyle w:val="60"/>
        <w:jc w:val="both"/>
      </w:pPr>
      <w:r>
        <w:rPr>
          <w:rFonts w:cs="宋体"/>
          <w:szCs w:val="21"/>
        </w:rPr>
        <w:t>继代次数、后期光照强度、光照周期和培养温度，参照行业标准NY/T357的4.2.2继代次数和培养周期。继代培养不超过15代，光照强度1000</w:t>
      </w:r>
      <w:r>
        <w:rPr>
          <w:rFonts w:hint="eastAsia" w:cs="宋体"/>
          <w:szCs w:val="21"/>
          <w:lang w:val="en-US" w:eastAsia="zh-CN"/>
        </w:rPr>
        <w:t xml:space="preserve"> </w:t>
      </w:r>
      <w:r>
        <w:rPr>
          <w:rFonts w:cs="宋体"/>
          <w:szCs w:val="21"/>
        </w:rPr>
        <w:t>lx～3000 lx，光照时间为8～12小时/天，温度27±2℃。</w:t>
      </w:r>
    </w:p>
    <w:p w14:paraId="11D5EC79">
      <w:pPr>
        <w:pStyle w:val="64"/>
        <w:numPr>
          <w:ilvl w:val="3"/>
          <w:numId w:val="2"/>
        </w:numPr>
        <w:spacing w:before="156" w:after="156"/>
        <w:outlineLvl w:val="3"/>
      </w:pPr>
      <w:bookmarkStart w:id="107" w:name="_Toc22627"/>
      <w:bookmarkStart w:id="108" w:name="_Toc24580"/>
      <w:bookmarkStart w:id="109" w:name="_Toc3cb841f1-ee36-48ee-b44c-868717877f71"/>
      <w:r>
        <w:rPr>
          <w:rFonts w:cs="黑体"/>
          <w:szCs w:val="21"/>
        </w:rPr>
        <w:t>生根培养</w:t>
      </w:r>
      <w:bookmarkEnd w:id="107"/>
      <w:bookmarkEnd w:id="108"/>
      <w:bookmarkEnd w:id="109"/>
    </w:p>
    <w:p w14:paraId="3A74D1BE">
      <w:pPr>
        <w:pStyle w:val="60"/>
        <w:jc w:val="both"/>
      </w:pPr>
      <w:r>
        <w:rPr>
          <w:rFonts w:cs="宋体"/>
          <w:szCs w:val="21"/>
        </w:rPr>
        <w:t>参照行业标准NY/T357的4.3生根培养。</w:t>
      </w:r>
    </w:p>
    <w:p w14:paraId="01DD8F8F">
      <w:pPr>
        <w:pStyle w:val="60"/>
        <w:ind w:left="105" w:firstLine="315"/>
        <w:jc w:val="both"/>
      </w:pPr>
      <w:r>
        <w:rPr>
          <w:rFonts w:cs="宋体"/>
          <w:szCs w:val="21"/>
        </w:rPr>
        <w:t>培养基：1/2MS+NAA 0.1～0.2 mg/L+蔗糖30 g/L+卡拉胶7 g/L，pH 值为5.8。容器为宽12 cm，高16 cm大小的塑料组培袋。</w:t>
      </w:r>
    </w:p>
    <w:p w14:paraId="5A1440E7">
      <w:pPr>
        <w:pStyle w:val="60"/>
        <w:jc w:val="both"/>
      </w:pPr>
      <w:r>
        <w:rPr>
          <w:rFonts w:cs="宋体"/>
          <w:szCs w:val="21"/>
        </w:rPr>
        <w:t>培养条件：光照强度</w:t>
      </w:r>
      <w:r>
        <w:rPr>
          <w:rFonts w:cs="宋体"/>
          <w:szCs w:val="21"/>
          <w:lang w:eastAsia="zh-CN"/>
        </w:rPr>
        <w:t>1000</w:t>
      </w:r>
      <w:r>
        <w:rPr>
          <w:rFonts w:cs="宋体"/>
          <w:szCs w:val="21"/>
        </w:rPr>
        <w:t xml:space="preserve"> lx～</w:t>
      </w:r>
      <w:r>
        <w:rPr>
          <w:rFonts w:cs="宋体"/>
          <w:szCs w:val="21"/>
          <w:lang w:eastAsia="zh-CN"/>
        </w:rPr>
        <w:t>3000</w:t>
      </w:r>
      <w:r>
        <w:rPr>
          <w:rFonts w:cs="宋体"/>
          <w:szCs w:val="21"/>
        </w:rPr>
        <w:t xml:space="preserve"> lx，光照时间为8～12小时/天，温度27±2℃。</w:t>
      </w:r>
    </w:p>
    <w:p w14:paraId="5BE40261">
      <w:pPr>
        <w:pStyle w:val="64"/>
        <w:numPr>
          <w:ilvl w:val="3"/>
          <w:numId w:val="2"/>
        </w:numPr>
        <w:spacing w:before="156" w:after="156"/>
        <w:outlineLvl w:val="3"/>
      </w:pPr>
      <w:bookmarkStart w:id="110" w:name="_Toc0e3edcb2-c9a5-41c0-9060-9402c6a6a499"/>
      <w:bookmarkStart w:id="111" w:name="_Toc10245"/>
      <w:bookmarkStart w:id="112" w:name="_Toc8391"/>
      <w:r>
        <w:rPr>
          <w:rFonts w:cs="黑体"/>
          <w:szCs w:val="21"/>
        </w:rPr>
        <w:t>残余物的处理</w:t>
      </w:r>
      <w:bookmarkEnd w:id="110"/>
      <w:bookmarkEnd w:id="111"/>
      <w:bookmarkEnd w:id="112"/>
    </w:p>
    <w:p w14:paraId="792107B0">
      <w:pPr>
        <w:pStyle w:val="60"/>
        <w:jc w:val="both"/>
      </w:pPr>
      <w:r>
        <w:rPr>
          <w:rFonts w:cs="宋体"/>
          <w:szCs w:val="21"/>
        </w:rPr>
        <w:t>收集剥取茎尖过程中产生的切除组织、包装材料、已用无菌纸、已用手套等所有接触过材料的残余物，在高压灭菌锅中121℃处理20分钟，彻底杀灭材料所携带的各类生物。</w:t>
      </w:r>
    </w:p>
    <w:p w14:paraId="4CC99D84">
      <w:pPr>
        <w:pStyle w:val="64"/>
        <w:numPr>
          <w:ilvl w:val="2"/>
          <w:numId w:val="2"/>
        </w:numPr>
        <w:spacing w:before="156" w:after="156"/>
        <w:outlineLvl w:val="2"/>
      </w:pPr>
      <w:bookmarkStart w:id="113" w:name="_Toc14229"/>
      <w:bookmarkStart w:id="114" w:name="_Toce9b46902-9067-47a4-b276-6ce4a3ad40fd"/>
      <w:bookmarkStart w:id="115" w:name="_Toc31274"/>
      <w:r>
        <w:rPr>
          <w:rFonts w:cs="黑体"/>
          <w:szCs w:val="21"/>
        </w:rPr>
        <w:t>种子无害化</w:t>
      </w:r>
      <w:bookmarkEnd w:id="113"/>
      <w:bookmarkEnd w:id="114"/>
      <w:bookmarkEnd w:id="115"/>
    </w:p>
    <w:p w14:paraId="3DF3E742">
      <w:pPr>
        <w:pStyle w:val="64"/>
        <w:numPr>
          <w:ilvl w:val="3"/>
          <w:numId w:val="2"/>
        </w:numPr>
        <w:spacing w:before="156" w:after="156"/>
        <w:outlineLvl w:val="3"/>
      </w:pPr>
      <w:bookmarkStart w:id="116" w:name="_Toc97dc761c-69db-460c-9a58-7eb5d3e4c6df"/>
      <w:bookmarkStart w:id="117" w:name="_Toc4045"/>
      <w:bookmarkStart w:id="118" w:name="_Toc23707"/>
      <w:r>
        <w:rPr>
          <w:rFonts w:cs="黑体"/>
          <w:szCs w:val="21"/>
        </w:rPr>
        <w:t>取材方法</w:t>
      </w:r>
      <w:bookmarkEnd w:id="116"/>
      <w:bookmarkEnd w:id="117"/>
      <w:bookmarkEnd w:id="118"/>
    </w:p>
    <w:p w14:paraId="5FCBB91B">
      <w:pPr>
        <w:pStyle w:val="60"/>
        <w:jc w:val="both"/>
      </w:pPr>
      <w:r>
        <w:rPr>
          <w:rFonts w:cs="宋体"/>
          <w:szCs w:val="21"/>
        </w:rPr>
        <w:t>去掉包装后，妥善收集包装材料。</w:t>
      </w:r>
    </w:p>
    <w:p w14:paraId="125C056E">
      <w:pPr>
        <w:pStyle w:val="60"/>
        <w:jc w:val="both"/>
      </w:pPr>
      <w:r>
        <w:rPr>
          <w:rFonts w:cs="宋体"/>
          <w:szCs w:val="21"/>
        </w:rPr>
        <w:t>将种子用洗涤剂浸泡10分钟，流水冲洗10分钟，吸干水分后，于超净工作台上用次氯酸钠消毒20分钟，</w:t>
      </w:r>
      <w:r>
        <w:rPr>
          <w:rFonts w:cs="宋体"/>
          <w:szCs w:val="21"/>
          <w:lang w:eastAsia="zh-CN"/>
        </w:rPr>
        <w:t>用无菌</w:t>
      </w:r>
      <w:r>
        <w:rPr>
          <w:rFonts w:cs="宋体"/>
          <w:szCs w:val="21"/>
        </w:rPr>
        <w:t>水冲洗5次，无菌纸吸干水分，借助解剖镜，小心剥取胚，接种到培养基</w:t>
      </w:r>
      <w:r>
        <w:rPr>
          <w:rFonts w:cs="宋体"/>
          <w:szCs w:val="21"/>
          <w:lang w:eastAsia="zh-CN"/>
        </w:rPr>
        <w:t>上。</w:t>
      </w:r>
    </w:p>
    <w:p w14:paraId="77AA37CE">
      <w:pPr>
        <w:pStyle w:val="64"/>
        <w:numPr>
          <w:ilvl w:val="3"/>
          <w:numId w:val="2"/>
        </w:numPr>
        <w:spacing w:before="156" w:after="156"/>
        <w:outlineLvl w:val="3"/>
      </w:pPr>
      <w:bookmarkStart w:id="119" w:name="_Toc737111b5-8c0c-4bc2-a66f-d3992dca2d88"/>
      <w:bookmarkStart w:id="120" w:name="_Toc32029"/>
      <w:bookmarkStart w:id="121" w:name="_Toc4905"/>
      <w:r>
        <w:rPr>
          <w:rFonts w:cs="黑体"/>
          <w:szCs w:val="21"/>
        </w:rPr>
        <w:t>培养方法</w:t>
      </w:r>
      <w:bookmarkEnd w:id="119"/>
      <w:bookmarkEnd w:id="120"/>
      <w:bookmarkEnd w:id="121"/>
    </w:p>
    <w:p w14:paraId="56A24B14">
      <w:pPr>
        <w:pStyle w:val="60"/>
        <w:jc w:val="both"/>
      </w:pPr>
      <w:r>
        <w:rPr>
          <w:rFonts w:cs="宋体"/>
          <w:szCs w:val="21"/>
        </w:rPr>
        <w:t>培养基为MS+6-BA 20～30 mg/L+NAA 0.1 mg/L+蔗糖30 g/L+卡拉胶7 g/L，pH 值为5.8。φ90 mm，高2 cm的一次性塑料培养皿。温度25℃，黑暗培养。</w:t>
      </w:r>
    </w:p>
    <w:p w14:paraId="1A94AB39">
      <w:pPr>
        <w:pStyle w:val="64"/>
        <w:numPr>
          <w:ilvl w:val="3"/>
          <w:numId w:val="2"/>
        </w:numPr>
        <w:spacing w:before="156" w:after="156"/>
        <w:outlineLvl w:val="3"/>
      </w:pPr>
      <w:bookmarkStart w:id="122" w:name="_Tocf8fb72b3-a3b4-465f-ba4b-f23370322fb2"/>
      <w:bookmarkStart w:id="123" w:name="_Toc29487"/>
      <w:bookmarkStart w:id="124" w:name="_Toc6350"/>
      <w:r>
        <w:rPr>
          <w:rFonts w:cs="黑体"/>
          <w:szCs w:val="21"/>
        </w:rPr>
        <w:t>繁育</w:t>
      </w:r>
      <w:bookmarkEnd w:id="122"/>
      <w:bookmarkEnd w:id="123"/>
      <w:bookmarkEnd w:id="124"/>
    </w:p>
    <w:p w14:paraId="7BFCE66B">
      <w:pPr>
        <w:pStyle w:val="60"/>
        <w:jc w:val="both"/>
      </w:pPr>
      <w:r>
        <w:rPr>
          <w:rFonts w:cs="宋体"/>
          <w:szCs w:val="21"/>
        </w:rPr>
        <w:t>参照行业标准NY/T357的4.2外植体诱导与继代培养。</w:t>
      </w:r>
    </w:p>
    <w:p w14:paraId="2899A7AA">
      <w:pPr>
        <w:pStyle w:val="60"/>
        <w:jc w:val="both"/>
      </w:pPr>
      <w:r>
        <w:rPr>
          <w:rFonts w:cs="宋体"/>
          <w:szCs w:val="21"/>
        </w:rPr>
        <w:t>当暗培养的材料开始分化时，用相同培养基继代，在25℃，光照强度300 lx～500 lx的条件下，以8～10小时/天的光照周期培养。</w:t>
      </w:r>
    </w:p>
    <w:p w14:paraId="7AD1519C">
      <w:pPr>
        <w:pStyle w:val="60"/>
        <w:jc w:val="both"/>
      </w:pPr>
      <w:r>
        <w:rPr>
          <w:rFonts w:cs="宋体"/>
          <w:szCs w:val="21"/>
        </w:rPr>
        <w:t>继代次数、后期光照强度、光照周期和培养温度，参照行业标准NY/T357的4.2.2继代次数和培养周期。继代培养不超过15代，光照强度1，000 lx～3，000 lx，光照时间为8～12小时/天，温度27±2℃。</w:t>
      </w:r>
    </w:p>
    <w:p w14:paraId="44685215">
      <w:pPr>
        <w:pStyle w:val="64"/>
        <w:numPr>
          <w:ilvl w:val="3"/>
          <w:numId w:val="2"/>
        </w:numPr>
        <w:spacing w:before="156" w:after="156"/>
        <w:outlineLvl w:val="3"/>
      </w:pPr>
      <w:bookmarkStart w:id="125" w:name="_Toc32101"/>
      <w:bookmarkStart w:id="126" w:name="_Tocfa1bfee6-c4a9-4e0c-94b8-1f4d20e5d369"/>
      <w:bookmarkStart w:id="127" w:name="_Toc15592"/>
      <w:r>
        <w:rPr>
          <w:rFonts w:cs="黑体"/>
          <w:szCs w:val="21"/>
        </w:rPr>
        <w:t>生根培养</w:t>
      </w:r>
      <w:bookmarkEnd w:id="125"/>
      <w:bookmarkEnd w:id="126"/>
      <w:bookmarkEnd w:id="127"/>
    </w:p>
    <w:p w14:paraId="03CC5DB6">
      <w:pPr>
        <w:pStyle w:val="60"/>
        <w:jc w:val="both"/>
      </w:pPr>
      <w:r>
        <w:rPr>
          <w:rFonts w:cs="宋体"/>
          <w:szCs w:val="21"/>
        </w:rPr>
        <w:t>参照行业标准NY/T357的4.3生根培养。</w:t>
      </w:r>
    </w:p>
    <w:p w14:paraId="0D81B768">
      <w:pPr>
        <w:pStyle w:val="60"/>
        <w:jc w:val="both"/>
      </w:pPr>
      <w:r>
        <w:rPr>
          <w:rFonts w:cs="宋体"/>
          <w:szCs w:val="21"/>
        </w:rPr>
        <w:t>培养基：1/2MS+NAA 0.1～0.2 mg/L+蔗糖30 g/L+卡拉胶7 g/L，pH 值为5.8。容器为宽12 cm，高16 cm大小的塑料组培袋。</w:t>
      </w:r>
    </w:p>
    <w:p w14:paraId="5B03966D">
      <w:pPr>
        <w:pStyle w:val="60"/>
        <w:jc w:val="both"/>
      </w:pPr>
      <w:r>
        <w:rPr>
          <w:rFonts w:cs="宋体"/>
          <w:szCs w:val="21"/>
        </w:rPr>
        <w:t>培养条件：光照强度1，000 lx～3，000 lx，光照时间为8～12小时/天，温度27±2℃。</w:t>
      </w:r>
    </w:p>
    <w:p w14:paraId="32A2F223">
      <w:pPr>
        <w:pStyle w:val="64"/>
        <w:numPr>
          <w:ilvl w:val="3"/>
          <w:numId w:val="2"/>
        </w:numPr>
        <w:spacing w:before="156" w:after="156"/>
        <w:outlineLvl w:val="3"/>
      </w:pPr>
      <w:bookmarkStart w:id="128" w:name="_Toc3bd33c44-08d9-460b-a886-8cb32b29dde4"/>
      <w:bookmarkStart w:id="129" w:name="_Toc27172"/>
      <w:bookmarkStart w:id="130" w:name="_Toc23227"/>
      <w:r>
        <w:rPr>
          <w:rFonts w:cs="黑体"/>
          <w:szCs w:val="21"/>
        </w:rPr>
        <w:t>残余物的处理</w:t>
      </w:r>
      <w:bookmarkEnd w:id="128"/>
      <w:bookmarkEnd w:id="129"/>
      <w:bookmarkEnd w:id="130"/>
    </w:p>
    <w:p w14:paraId="47CF6A48">
      <w:pPr>
        <w:pStyle w:val="60"/>
        <w:jc w:val="both"/>
        <w:rPr>
          <w:rFonts w:cs="宋体"/>
          <w:szCs w:val="21"/>
        </w:rPr>
      </w:pPr>
      <w:r>
        <w:rPr>
          <w:rFonts w:cs="宋体"/>
          <w:szCs w:val="21"/>
        </w:rPr>
        <w:t>同</w:t>
      </w:r>
      <w:r>
        <w:rPr>
          <w:rFonts w:hint="eastAsia" w:cs="宋体"/>
          <w:szCs w:val="21"/>
          <w:lang w:val="en-US" w:eastAsia="zh-CN"/>
        </w:rPr>
        <w:t>7</w:t>
      </w:r>
      <w:r>
        <w:rPr>
          <w:rFonts w:cs="宋体"/>
          <w:szCs w:val="21"/>
        </w:rPr>
        <w:t>.2.1.5。</w:t>
      </w:r>
    </w:p>
    <w:p w14:paraId="6BEF149C">
      <w:pPr>
        <w:pStyle w:val="62"/>
        <w:numPr>
          <w:ilvl w:val="0"/>
          <w:numId w:val="2"/>
        </w:numPr>
        <w:spacing w:before="312" w:after="312"/>
        <w:outlineLvl w:val="0"/>
      </w:pPr>
      <w:bookmarkStart w:id="131" w:name="_Toc7768"/>
      <w:bookmarkStart w:id="132" w:name="_Toc22700"/>
      <w:bookmarkStart w:id="133" w:name="_Toc21953"/>
      <w:r>
        <w:rPr>
          <w:rFonts w:cs="黑体"/>
          <w:szCs w:val="21"/>
        </w:rPr>
        <w:t>挽救</w:t>
      </w:r>
      <w:bookmarkEnd w:id="131"/>
      <w:bookmarkEnd w:id="132"/>
      <w:bookmarkEnd w:id="133"/>
    </w:p>
    <w:p w14:paraId="078B20F6">
      <w:pPr>
        <w:pStyle w:val="64"/>
        <w:numPr>
          <w:ilvl w:val="1"/>
          <w:numId w:val="2"/>
        </w:numPr>
        <w:spacing w:before="156" w:after="156"/>
        <w:outlineLvl w:val="1"/>
      </w:pPr>
      <w:bookmarkStart w:id="134" w:name="_Toc10768"/>
      <w:bookmarkStart w:id="135" w:name="_Toc25732"/>
      <w:bookmarkStart w:id="136" w:name="_Toc2511"/>
      <w:r>
        <w:rPr>
          <w:rFonts w:cs="黑体"/>
          <w:szCs w:val="21"/>
        </w:rPr>
        <w:t>材料</w:t>
      </w:r>
      <w:bookmarkEnd w:id="134"/>
      <w:bookmarkEnd w:id="135"/>
      <w:bookmarkEnd w:id="136"/>
    </w:p>
    <w:p w14:paraId="2187485F">
      <w:pPr>
        <w:pStyle w:val="64"/>
        <w:numPr>
          <w:ilvl w:val="2"/>
          <w:numId w:val="2"/>
        </w:numPr>
        <w:spacing w:before="156" w:after="156"/>
        <w:outlineLvl w:val="2"/>
      </w:pPr>
      <w:bookmarkStart w:id="137" w:name="_Toc49a4eb52-d7ce-4a26-915e-ab893b84b9c9"/>
      <w:bookmarkStart w:id="138" w:name="_Toc8160"/>
      <w:bookmarkStart w:id="139" w:name="_Toc2288"/>
      <w:r>
        <w:rPr>
          <w:rFonts w:cs="黑体"/>
          <w:szCs w:val="21"/>
        </w:rPr>
        <w:t>试管苗</w:t>
      </w:r>
      <w:bookmarkEnd w:id="137"/>
      <w:bookmarkEnd w:id="138"/>
      <w:bookmarkEnd w:id="139"/>
    </w:p>
    <w:p w14:paraId="65006D46">
      <w:pPr>
        <w:pStyle w:val="60"/>
        <w:jc w:val="both"/>
      </w:pPr>
      <w:r>
        <w:rPr>
          <w:rFonts w:cs="宋体"/>
          <w:szCs w:val="21"/>
        </w:rPr>
        <w:t>需挽救的试管苗包括但不限于：主体部分变黑、枯黄、芽心变黑等活力部分丧失的材料。</w:t>
      </w:r>
    </w:p>
    <w:p w14:paraId="2A45C7F4">
      <w:pPr>
        <w:pStyle w:val="64"/>
        <w:numPr>
          <w:ilvl w:val="2"/>
          <w:numId w:val="2"/>
        </w:numPr>
        <w:spacing w:before="156" w:after="156"/>
        <w:outlineLvl w:val="2"/>
      </w:pPr>
      <w:bookmarkStart w:id="140" w:name="_Toc22960"/>
      <w:bookmarkStart w:id="141" w:name="_Toc2877d30e-4e9a-4d71-8468-59be1028b970"/>
      <w:bookmarkStart w:id="142" w:name="_Toc32167"/>
      <w:r>
        <w:rPr>
          <w:rFonts w:cs="黑体"/>
          <w:szCs w:val="21"/>
        </w:rPr>
        <w:t>吸芽</w:t>
      </w:r>
      <w:bookmarkEnd w:id="140"/>
      <w:bookmarkEnd w:id="141"/>
      <w:bookmarkEnd w:id="142"/>
    </w:p>
    <w:p w14:paraId="27949DE7">
      <w:pPr>
        <w:pStyle w:val="60"/>
        <w:jc w:val="both"/>
      </w:pPr>
      <w:r>
        <w:rPr>
          <w:rFonts w:cs="宋体"/>
          <w:szCs w:val="21"/>
        </w:rPr>
        <w:t>需挽救的吸芽包括但不限于：采集处理产生断裂的吸芽、顶芽被破坏或丢失的吸芽、已产生发霉或腐烂的吸芽、切块太小的吸芽、材料干枯的吸芽等。</w:t>
      </w:r>
    </w:p>
    <w:p w14:paraId="1ED35B11">
      <w:pPr>
        <w:pStyle w:val="64"/>
        <w:numPr>
          <w:ilvl w:val="1"/>
          <w:numId w:val="2"/>
        </w:numPr>
        <w:spacing w:before="156" w:after="156"/>
        <w:outlineLvl w:val="1"/>
      </w:pPr>
      <w:bookmarkStart w:id="143" w:name="_Toc29861"/>
      <w:bookmarkStart w:id="144" w:name="_Toc1275"/>
      <w:bookmarkStart w:id="145" w:name="_Toc28445"/>
      <w:r>
        <w:rPr>
          <w:rFonts w:cs="黑体"/>
          <w:szCs w:val="21"/>
        </w:rPr>
        <w:t>挽救</w:t>
      </w:r>
      <w:bookmarkEnd w:id="143"/>
      <w:bookmarkEnd w:id="144"/>
      <w:bookmarkEnd w:id="145"/>
    </w:p>
    <w:p w14:paraId="6D894B8F">
      <w:pPr>
        <w:pStyle w:val="64"/>
        <w:numPr>
          <w:ilvl w:val="2"/>
          <w:numId w:val="2"/>
        </w:numPr>
        <w:spacing w:before="156" w:after="156"/>
        <w:outlineLvl w:val="2"/>
      </w:pPr>
      <w:bookmarkStart w:id="146" w:name="_Toc1c0d9e87-b8d6-4d86-98fb-e4fe86063050"/>
      <w:bookmarkStart w:id="147" w:name="_Toc24844"/>
      <w:bookmarkStart w:id="148" w:name="_Toc21158"/>
      <w:r>
        <w:rPr>
          <w:rFonts w:cs="黑体"/>
          <w:szCs w:val="21"/>
        </w:rPr>
        <w:t>试管苗挽救</w:t>
      </w:r>
      <w:bookmarkEnd w:id="146"/>
      <w:bookmarkEnd w:id="147"/>
      <w:bookmarkEnd w:id="148"/>
    </w:p>
    <w:p w14:paraId="208007E4">
      <w:pPr>
        <w:pStyle w:val="64"/>
        <w:numPr>
          <w:ilvl w:val="3"/>
          <w:numId w:val="2"/>
        </w:numPr>
        <w:spacing w:before="156" w:after="156"/>
        <w:outlineLvl w:val="3"/>
      </w:pPr>
      <w:bookmarkStart w:id="149" w:name="_Tocafc05ce5-9fca-4726-b87d-2ab3c21711f9"/>
      <w:bookmarkStart w:id="150" w:name="_Toc17466"/>
      <w:bookmarkStart w:id="151" w:name="_Toc17012"/>
      <w:r>
        <w:rPr>
          <w:rFonts w:cs="黑体"/>
          <w:szCs w:val="21"/>
        </w:rPr>
        <w:t>取材方法</w:t>
      </w:r>
      <w:bookmarkEnd w:id="149"/>
      <w:bookmarkEnd w:id="150"/>
      <w:bookmarkEnd w:id="151"/>
    </w:p>
    <w:p w14:paraId="4DDA31B5">
      <w:pPr>
        <w:pStyle w:val="60"/>
        <w:jc w:val="both"/>
        <w:rPr>
          <w:rFonts w:eastAsia="宋体"/>
          <w:lang w:eastAsia="zh-CN"/>
        </w:rPr>
      </w:pPr>
      <w:r>
        <w:rPr>
          <w:rFonts w:cs="宋体"/>
          <w:szCs w:val="21"/>
        </w:rPr>
        <w:t>取需挽救的试管苗，去除上部叶片和基部根系，将芽纵切后，再切除变黑部分，接种到培养基上；对于枯黄的试管苗，切掉上部</w:t>
      </w:r>
      <w:r>
        <w:rPr>
          <w:rFonts w:cs="宋体"/>
          <w:szCs w:val="21"/>
          <w:lang w:val="en-US" w:eastAsia="zh-CN"/>
        </w:rPr>
        <w:t>及外部</w:t>
      </w:r>
      <w:r>
        <w:rPr>
          <w:rFonts w:cs="宋体"/>
          <w:szCs w:val="21"/>
        </w:rPr>
        <w:t>叶片后，在解剖镜下剥取1～3 mm</w:t>
      </w:r>
      <w:r>
        <w:rPr>
          <w:rFonts w:cs="宋体"/>
          <w:szCs w:val="21"/>
          <w:lang w:eastAsia="zh-CN"/>
        </w:rPr>
        <w:t>大小的</w:t>
      </w:r>
      <w:r>
        <w:rPr>
          <w:rFonts w:cs="宋体"/>
          <w:szCs w:val="21"/>
          <w:lang w:val="en-US" w:eastAsia="zh-CN"/>
        </w:rPr>
        <w:t>茎尖</w:t>
      </w:r>
      <w:r>
        <w:rPr>
          <w:rFonts w:cs="宋体"/>
          <w:szCs w:val="21"/>
        </w:rPr>
        <w:t>，接种到培养基</w:t>
      </w:r>
      <w:r>
        <w:rPr>
          <w:rFonts w:cs="宋体"/>
          <w:szCs w:val="21"/>
          <w:lang w:val="en-US" w:eastAsia="zh-CN"/>
        </w:rPr>
        <w:t>上</w:t>
      </w:r>
    </w:p>
    <w:p w14:paraId="7773CA84">
      <w:pPr>
        <w:pStyle w:val="64"/>
        <w:numPr>
          <w:ilvl w:val="3"/>
          <w:numId w:val="2"/>
        </w:numPr>
        <w:spacing w:before="156" w:after="156"/>
        <w:outlineLvl w:val="3"/>
      </w:pPr>
      <w:bookmarkStart w:id="152" w:name="_Tocb6cd0762-4208-436c-86d8-344d80da3431"/>
      <w:bookmarkStart w:id="153" w:name="_Toc3060"/>
      <w:bookmarkStart w:id="154" w:name="_Toc21068"/>
      <w:r>
        <w:rPr>
          <w:rFonts w:cs="黑体"/>
          <w:szCs w:val="21"/>
        </w:rPr>
        <w:t>培养方法</w:t>
      </w:r>
      <w:bookmarkEnd w:id="152"/>
      <w:bookmarkEnd w:id="153"/>
      <w:bookmarkEnd w:id="154"/>
    </w:p>
    <w:p w14:paraId="4E6E7595">
      <w:pPr>
        <w:pStyle w:val="60"/>
        <w:jc w:val="both"/>
      </w:pPr>
      <w:r>
        <w:rPr>
          <w:rFonts w:cs="宋体"/>
          <w:szCs w:val="21"/>
        </w:rPr>
        <w:t>培养基为MS+6-BA 2.0～3.0 mg/L+NAA 0.1 mg/L+蔗糖30 g/L+卡拉胶7 g/L，pH 值为5.8。温度25℃，暗培养</w:t>
      </w:r>
    </w:p>
    <w:p w14:paraId="3E877453">
      <w:pPr>
        <w:pStyle w:val="64"/>
        <w:numPr>
          <w:ilvl w:val="3"/>
          <w:numId w:val="2"/>
        </w:numPr>
        <w:spacing w:before="156" w:after="156"/>
        <w:outlineLvl w:val="3"/>
      </w:pPr>
      <w:bookmarkStart w:id="155" w:name="_Toc2024"/>
      <w:bookmarkStart w:id="156" w:name="_Toc19561"/>
      <w:bookmarkStart w:id="157" w:name="_Tocdb02377c-168d-4f78-8eb6-9816fe4fcd5b"/>
      <w:r>
        <w:rPr>
          <w:rFonts w:cs="黑体"/>
          <w:szCs w:val="21"/>
        </w:rPr>
        <w:t>繁育</w:t>
      </w:r>
      <w:bookmarkEnd w:id="155"/>
      <w:bookmarkEnd w:id="156"/>
      <w:bookmarkEnd w:id="157"/>
    </w:p>
    <w:p w14:paraId="4B2B5ABE">
      <w:pPr>
        <w:pStyle w:val="60"/>
        <w:jc w:val="both"/>
      </w:pPr>
      <w:r>
        <w:rPr>
          <w:rFonts w:cs="宋体"/>
          <w:szCs w:val="21"/>
        </w:rPr>
        <w:t>参照行业标准NY/T357的4.2外植体诱导与继代培养。</w:t>
      </w:r>
    </w:p>
    <w:p w14:paraId="447E375A">
      <w:pPr>
        <w:pStyle w:val="60"/>
        <w:jc w:val="both"/>
      </w:pPr>
      <w:r>
        <w:rPr>
          <w:rFonts w:cs="宋体"/>
          <w:szCs w:val="21"/>
        </w:rPr>
        <w:t>当暗培养的材料开始分化时，在相同培养基上继代，25℃，弱光，光照强度300 lx-500 lx，8～10小时/天的光照周期。</w:t>
      </w:r>
    </w:p>
    <w:p w14:paraId="64660CA8">
      <w:pPr>
        <w:pStyle w:val="60"/>
        <w:jc w:val="both"/>
      </w:pPr>
      <w:r>
        <w:rPr>
          <w:rFonts w:cs="宋体"/>
          <w:szCs w:val="21"/>
        </w:rPr>
        <w:t>继代次数、后期光照强度、光照周期和培养温度，参照行业标准NY/T357的4.2.2继代次数和培养周期。继代培养不超过15代，光照强度1，000 lx～3，000 lx，光照时间为8～12小时/天，温度27±2℃。</w:t>
      </w:r>
    </w:p>
    <w:p w14:paraId="32FDECDE">
      <w:pPr>
        <w:pStyle w:val="64"/>
        <w:numPr>
          <w:ilvl w:val="3"/>
          <w:numId w:val="2"/>
        </w:numPr>
        <w:spacing w:before="156" w:after="156"/>
        <w:outlineLvl w:val="3"/>
      </w:pPr>
      <w:bookmarkStart w:id="158" w:name="_Toc62b5cf31-2766-4865-949c-cab1a9fe8134"/>
      <w:bookmarkStart w:id="159" w:name="_Toc16848"/>
      <w:bookmarkStart w:id="160" w:name="_Toc28376"/>
      <w:r>
        <w:rPr>
          <w:rFonts w:cs="黑体"/>
          <w:szCs w:val="21"/>
        </w:rPr>
        <w:t>生根培养</w:t>
      </w:r>
      <w:bookmarkEnd w:id="158"/>
      <w:bookmarkEnd w:id="159"/>
      <w:bookmarkEnd w:id="160"/>
    </w:p>
    <w:p w14:paraId="1B9FB2F5">
      <w:pPr>
        <w:pStyle w:val="60"/>
        <w:jc w:val="both"/>
      </w:pPr>
      <w:r>
        <w:rPr>
          <w:rFonts w:cs="宋体"/>
          <w:szCs w:val="21"/>
        </w:rPr>
        <w:t>参照行业标准NY/T357的4.3生根培养。</w:t>
      </w:r>
    </w:p>
    <w:p w14:paraId="5D9AE80C">
      <w:pPr>
        <w:pStyle w:val="60"/>
        <w:jc w:val="both"/>
      </w:pPr>
      <w:r>
        <w:rPr>
          <w:rFonts w:cs="宋体"/>
          <w:szCs w:val="21"/>
        </w:rPr>
        <w:t>培养基：1/2MS+NAA 0.1～0.2 mg/L+蔗糖30 g/L+卡拉胶7 g/L，pH 值为5.8。容器为宽12 cm，高16 cm大小的塑料组培袋。</w:t>
      </w:r>
    </w:p>
    <w:p w14:paraId="6028023A">
      <w:pPr>
        <w:pStyle w:val="60"/>
        <w:jc w:val="both"/>
      </w:pPr>
      <w:r>
        <w:rPr>
          <w:rFonts w:cs="宋体"/>
          <w:szCs w:val="21"/>
        </w:rPr>
        <w:t>培养条件：光照强度1，000 lx～3，000 lx，光照时间为8～12小时/天，温度27±2℃。</w:t>
      </w:r>
    </w:p>
    <w:p w14:paraId="02D480DD">
      <w:pPr>
        <w:pStyle w:val="64"/>
        <w:numPr>
          <w:ilvl w:val="2"/>
          <w:numId w:val="2"/>
        </w:numPr>
        <w:spacing w:before="156" w:after="156"/>
        <w:outlineLvl w:val="2"/>
      </w:pPr>
      <w:bookmarkStart w:id="161" w:name="_Toc09ed79e5-dc15-45ff-9cec-43e51bb17c18"/>
      <w:bookmarkStart w:id="162" w:name="_Toc15661"/>
      <w:bookmarkStart w:id="163" w:name="_Toc1083"/>
      <w:r>
        <w:rPr>
          <w:rFonts w:cs="黑体"/>
          <w:szCs w:val="21"/>
        </w:rPr>
        <w:t>吸芽挽救</w:t>
      </w:r>
      <w:bookmarkEnd w:id="161"/>
      <w:bookmarkEnd w:id="162"/>
      <w:bookmarkEnd w:id="163"/>
    </w:p>
    <w:p w14:paraId="748E811D">
      <w:pPr>
        <w:pStyle w:val="64"/>
        <w:numPr>
          <w:ilvl w:val="3"/>
          <w:numId w:val="2"/>
        </w:numPr>
        <w:spacing w:before="156" w:after="156"/>
        <w:outlineLvl w:val="3"/>
      </w:pPr>
      <w:bookmarkStart w:id="164" w:name="_Toc16454"/>
      <w:bookmarkStart w:id="165" w:name="_Toc14705"/>
      <w:bookmarkStart w:id="166" w:name="_Toc92cd880d-64e6-452f-bad4-c6a5ee372523"/>
      <w:r>
        <w:rPr>
          <w:rFonts w:cs="黑体"/>
          <w:szCs w:val="21"/>
        </w:rPr>
        <w:t>取材方法</w:t>
      </w:r>
      <w:bookmarkEnd w:id="164"/>
      <w:bookmarkEnd w:id="165"/>
      <w:bookmarkEnd w:id="166"/>
    </w:p>
    <w:p w14:paraId="2778AAC2">
      <w:pPr>
        <w:pStyle w:val="60"/>
        <w:jc w:val="both"/>
      </w:pPr>
      <w:r>
        <w:rPr>
          <w:rFonts w:cs="宋体"/>
          <w:szCs w:val="21"/>
        </w:rPr>
        <w:t>取可用的吸芽（见附录B，图B.1），观察是否有顶芽或侧芽（见附录B，图B.2），切掉表层组织，表面用75%酒精擦拭消毒后，于超净工作台晾干，借助解剖镜，小心剥取0.5 mm左右的茎尖，接种到培养基。</w:t>
      </w:r>
    </w:p>
    <w:p w14:paraId="69C38F5F">
      <w:pPr>
        <w:pStyle w:val="64"/>
        <w:numPr>
          <w:ilvl w:val="3"/>
          <w:numId w:val="2"/>
        </w:numPr>
        <w:spacing w:before="156" w:after="156"/>
        <w:outlineLvl w:val="3"/>
      </w:pPr>
      <w:bookmarkStart w:id="167" w:name="_Toc70d45ce5-9ba7-49b5-b0ab-27ee0ad1f275"/>
      <w:bookmarkStart w:id="168" w:name="_Toc175"/>
      <w:bookmarkStart w:id="169" w:name="_Toc31950"/>
      <w:r>
        <w:rPr>
          <w:rFonts w:cs="黑体"/>
          <w:szCs w:val="21"/>
        </w:rPr>
        <w:t>培养方法</w:t>
      </w:r>
      <w:bookmarkEnd w:id="167"/>
      <w:bookmarkEnd w:id="168"/>
      <w:bookmarkEnd w:id="169"/>
    </w:p>
    <w:p w14:paraId="7FD08C3A">
      <w:pPr>
        <w:pStyle w:val="60"/>
        <w:jc w:val="both"/>
      </w:pPr>
      <w:r>
        <w:rPr>
          <w:rFonts w:cs="宋体"/>
          <w:szCs w:val="21"/>
        </w:rPr>
        <w:t>培养基为MS+6-BA 2.0～3.0 mg/L+NAA 0.1 mg/L+蔗糖30 g/L+卡拉胶7 g/L，pH 值为5.8。温度25℃，黑暗培养。</w:t>
      </w:r>
    </w:p>
    <w:p w14:paraId="3B24050E">
      <w:pPr>
        <w:pStyle w:val="64"/>
        <w:numPr>
          <w:ilvl w:val="3"/>
          <w:numId w:val="2"/>
        </w:numPr>
        <w:spacing w:before="156" w:after="156"/>
        <w:outlineLvl w:val="3"/>
      </w:pPr>
      <w:bookmarkStart w:id="170" w:name="_Toc9864"/>
      <w:bookmarkStart w:id="171" w:name="_Tocd8f5e916-0eae-428e-b462-00b84a7b9bb2"/>
      <w:bookmarkStart w:id="172" w:name="_Toc110"/>
      <w:r>
        <w:rPr>
          <w:rFonts w:cs="黑体"/>
          <w:szCs w:val="21"/>
        </w:rPr>
        <w:t>二次处理方法</w:t>
      </w:r>
      <w:bookmarkEnd w:id="170"/>
      <w:bookmarkEnd w:id="171"/>
      <w:bookmarkEnd w:id="172"/>
    </w:p>
    <w:p w14:paraId="591DAE81">
      <w:pPr>
        <w:pStyle w:val="60"/>
        <w:jc w:val="both"/>
      </w:pPr>
      <w:r>
        <w:rPr>
          <w:rFonts w:cs="宋体"/>
          <w:szCs w:val="21"/>
        </w:rPr>
        <w:t>对于腐烂材料的茎尖，需要二次处理，第一次处理后的茎尖，在初代培养基上培养中，出现肉眼可见的菌脓时，在二次继代时，在采用相同培养基的表面滴加杀菌剂（PPM）10 μ</w:t>
      </w:r>
      <w:r>
        <w:rPr>
          <w:rFonts w:hint="eastAsia" w:cs="宋体"/>
          <w:szCs w:val="21"/>
          <w:lang w:val="en-US" w:eastAsia="zh-CN"/>
        </w:rPr>
        <w:t>L</w:t>
      </w:r>
      <w:r>
        <w:rPr>
          <w:rFonts w:cs="宋体"/>
          <w:szCs w:val="21"/>
        </w:rPr>
        <w:t>～20 μ</w:t>
      </w:r>
      <w:r>
        <w:rPr>
          <w:rFonts w:hint="eastAsia" w:cs="宋体"/>
          <w:szCs w:val="21"/>
          <w:lang w:val="en-US" w:eastAsia="zh-CN"/>
        </w:rPr>
        <w:t>L</w:t>
      </w:r>
      <w:r>
        <w:rPr>
          <w:rFonts w:cs="宋体"/>
          <w:szCs w:val="21"/>
        </w:rPr>
        <w:t>，把细菌污染的茎尖插入到有杀菌剂液滴的培养基中，在6.3.2.2的条件下继续培养。</w:t>
      </w:r>
    </w:p>
    <w:p w14:paraId="525AAC10">
      <w:pPr>
        <w:pStyle w:val="64"/>
        <w:numPr>
          <w:ilvl w:val="3"/>
          <w:numId w:val="2"/>
        </w:numPr>
        <w:spacing w:before="156" w:after="156"/>
        <w:outlineLvl w:val="3"/>
      </w:pPr>
      <w:bookmarkStart w:id="173" w:name="_Toc29105"/>
      <w:bookmarkStart w:id="174" w:name="_Toc27092"/>
      <w:bookmarkStart w:id="175" w:name="_Toc849088de-22a5-4d8f-8736-8bece57f03d3"/>
      <w:r>
        <w:rPr>
          <w:rFonts w:cs="黑体"/>
          <w:szCs w:val="21"/>
        </w:rPr>
        <w:t>繁育</w:t>
      </w:r>
      <w:bookmarkEnd w:id="173"/>
      <w:bookmarkEnd w:id="174"/>
      <w:bookmarkEnd w:id="175"/>
    </w:p>
    <w:p w14:paraId="6B6416E0">
      <w:pPr>
        <w:pStyle w:val="60"/>
        <w:jc w:val="both"/>
      </w:pPr>
      <w:r>
        <w:rPr>
          <w:rFonts w:cs="宋体"/>
          <w:szCs w:val="21"/>
        </w:rPr>
        <w:t>同</w:t>
      </w:r>
      <w:r>
        <w:rPr>
          <w:rFonts w:hint="eastAsia" w:cs="宋体"/>
          <w:szCs w:val="21"/>
          <w:lang w:val="en-US" w:eastAsia="zh-CN"/>
        </w:rPr>
        <w:t>7</w:t>
      </w:r>
      <w:r>
        <w:rPr>
          <w:rFonts w:cs="宋体"/>
          <w:szCs w:val="21"/>
        </w:rPr>
        <w:t>.2.1.3。</w:t>
      </w:r>
    </w:p>
    <w:p w14:paraId="2BABD2E7">
      <w:pPr>
        <w:pStyle w:val="64"/>
        <w:numPr>
          <w:ilvl w:val="3"/>
          <w:numId w:val="2"/>
        </w:numPr>
        <w:spacing w:before="156" w:after="156"/>
        <w:outlineLvl w:val="3"/>
      </w:pPr>
      <w:bookmarkStart w:id="176" w:name="_Toc17479"/>
      <w:bookmarkStart w:id="177" w:name="_Toc30848"/>
      <w:bookmarkStart w:id="178" w:name="_Tocf01816f0-35e0-4bbb-8a70-4f4088fb7ea0"/>
      <w:r>
        <w:rPr>
          <w:rFonts w:cs="黑体"/>
          <w:szCs w:val="21"/>
        </w:rPr>
        <w:t>生根培养</w:t>
      </w:r>
      <w:bookmarkEnd w:id="176"/>
      <w:bookmarkEnd w:id="177"/>
      <w:bookmarkEnd w:id="178"/>
    </w:p>
    <w:p w14:paraId="12712064">
      <w:pPr>
        <w:pStyle w:val="60"/>
        <w:jc w:val="both"/>
      </w:pPr>
      <w:r>
        <w:rPr>
          <w:rFonts w:cs="宋体"/>
          <w:szCs w:val="21"/>
        </w:rPr>
        <w:t>同</w:t>
      </w:r>
      <w:r>
        <w:rPr>
          <w:rFonts w:hint="eastAsia" w:cs="宋体"/>
          <w:szCs w:val="21"/>
          <w:lang w:val="en-US" w:eastAsia="zh-CN"/>
        </w:rPr>
        <w:t>7</w:t>
      </w:r>
      <w:r>
        <w:rPr>
          <w:rFonts w:cs="宋体"/>
          <w:szCs w:val="21"/>
        </w:rPr>
        <w:t>.2.1.4。</w:t>
      </w:r>
    </w:p>
    <w:p w14:paraId="55D69D30">
      <w:pPr>
        <w:pStyle w:val="64"/>
        <w:numPr>
          <w:ilvl w:val="3"/>
          <w:numId w:val="2"/>
        </w:numPr>
        <w:spacing w:before="156" w:after="156"/>
        <w:outlineLvl w:val="3"/>
      </w:pPr>
      <w:bookmarkStart w:id="179" w:name="_Toc13523"/>
      <w:bookmarkStart w:id="180" w:name="_Toc862c06bb-8110-4110-92ce-12ab3cdb5684"/>
      <w:bookmarkStart w:id="181" w:name="_Toc12737"/>
      <w:r>
        <w:rPr>
          <w:rFonts w:cs="黑体"/>
          <w:szCs w:val="21"/>
        </w:rPr>
        <w:t>残余物的处理</w:t>
      </w:r>
      <w:bookmarkEnd w:id="179"/>
      <w:bookmarkEnd w:id="180"/>
      <w:bookmarkEnd w:id="181"/>
    </w:p>
    <w:p w14:paraId="1AAF213E">
      <w:pPr>
        <w:pStyle w:val="60"/>
        <w:jc w:val="both"/>
        <w:rPr>
          <w:rFonts w:cs="宋体"/>
          <w:szCs w:val="21"/>
        </w:rPr>
      </w:pPr>
      <w:r>
        <w:rPr>
          <w:rFonts w:cs="宋体"/>
          <w:szCs w:val="21"/>
        </w:rPr>
        <w:t>同</w:t>
      </w:r>
      <w:r>
        <w:rPr>
          <w:rFonts w:hint="eastAsia" w:cs="宋体"/>
          <w:szCs w:val="21"/>
          <w:lang w:val="en-US" w:eastAsia="zh-CN"/>
        </w:rPr>
        <w:t>7</w:t>
      </w:r>
      <w:r>
        <w:rPr>
          <w:rFonts w:cs="宋体"/>
          <w:szCs w:val="21"/>
        </w:rPr>
        <w:t>.2.1.5。</w:t>
      </w:r>
    </w:p>
    <w:p w14:paraId="2000BEE9">
      <w:pPr>
        <w:pStyle w:val="60"/>
        <w:jc w:val="both"/>
      </w:pPr>
      <w:r>
        <w:rPr>
          <w:rFonts w:cs="宋体"/>
          <w:szCs w:val="21"/>
        </w:rPr>
        <w:t>收集剥取茎尖过程中产生的切除组织、包装材料、已用无菌纸、已用手套等所有接触过材料的残余物，在高压灭菌锅中121℃处理20分钟，彻底杀灭材料所携带的各类生物。</w:t>
      </w:r>
    </w:p>
    <w:p w14:paraId="5B529714">
      <w:pPr>
        <w:pStyle w:val="62"/>
        <w:numPr>
          <w:ilvl w:val="0"/>
          <w:numId w:val="2"/>
        </w:numPr>
        <w:spacing w:before="312" w:after="312"/>
        <w:outlineLvl w:val="0"/>
      </w:pPr>
      <w:bookmarkStart w:id="182" w:name="_Toc10041"/>
      <w:bookmarkStart w:id="183" w:name="_Toc30034"/>
      <w:bookmarkStart w:id="184" w:name="_Toc11268"/>
      <w:r>
        <w:rPr>
          <w:rFonts w:cs="黑体"/>
          <w:szCs w:val="21"/>
        </w:rPr>
        <w:t>检测</w:t>
      </w:r>
      <w:bookmarkEnd w:id="182"/>
      <w:bookmarkEnd w:id="183"/>
      <w:bookmarkEnd w:id="184"/>
    </w:p>
    <w:p w14:paraId="5F55A67C">
      <w:pPr>
        <w:pStyle w:val="60"/>
        <w:jc w:val="both"/>
      </w:pPr>
      <w:r>
        <w:rPr>
          <w:rFonts w:cs="宋体"/>
          <w:szCs w:val="21"/>
        </w:rPr>
        <w:t>经过挽救、除害后繁育的香蕉苗，可以排除多种细菌、真菌和昆虫的可能性，但不能确保是否含有肉眼不可见的病毒、线虫类生物。</w:t>
      </w:r>
    </w:p>
    <w:p w14:paraId="6D8EDEF6">
      <w:pPr>
        <w:pStyle w:val="64"/>
        <w:numPr>
          <w:ilvl w:val="1"/>
          <w:numId w:val="2"/>
        </w:numPr>
        <w:spacing w:before="156" w:after="156"/>
        <w:ind w:left="0" w:firstLine="0"/>
        <w:outlineLvl w:val="1"/>
      </w:pPr>
      <w:bookmarkStart w:id="185" w:name="_Toc5010"/>
      <w:bookmarkStart w:id="186" w:name="_Toc24069"/>
      <w:bookmarkStart w:id="187" w:name="_Toc21094"/>
      <w:r>
        <w:rPr>
          <w:rFonts w:cs="黑体"/>
          <w:szCs w:val="21"/>
        </w:rPr>
        <w:t>病毒检测</w:t>
      </w:r>
      <w:bookmarkEnd w:id="185"/>
      <w:bookmarkEnd w:id="186"/>
      <w:bookmarkEnd w:id="187"/>
    </w:p>
    <w:p w14:paraId="58781ED0">
      <w:pPr>
        <w:pStyle w:val="60"/>
        <w:jc w:val="both"/>
      </w:pPr>
      <w:r>
        <w:rPr>
          <w:rFonts w:cs="宋体"/>
          <w:szCs w:val="21"/>
        </w:rPr>
        <w:t>检测香蕉束顶病病毒和香蕉花叶病病毒。参考行业标准NY/T2251.2012病毒分子检测技术规范。</w:t>
      </w:r>
    </w:p>
    <w:p w14:paraId="5FC1B692">
      <w:pPr>
        <w:pStyle w:val="60"/>
        <w:jc w:val="both"/>
        <w:rPr>
          <w:rFonts w:cs="宋体"/>
          <w:szCs w:val="21"/>
        </w:rPr>
      </w:pPr>
      <w:r>
        <w:rPr>
          <w:rFonts w:cs="宋体"/>
          <w:szCs w:val="21"/>
        </w:rPr>
        <w:t>本文件提供了需要设备简单、操作方便、速度快的PCR检测和ELISA两种方法。</w:t>
      </w:r>
    </w:p>
    <w:p w14:paraId="4CD4B8F3">
      <w:pPr>
        <w:pStyle w:val="64"/>
        <w:keepNext w:val="0"/>
        <w:keepLines w:val="0"/>
        <w:pageBreakBefore w:val="0"/>
        <w:widowControl/>
        <w:numPr>
          <w:ilvl w:val="2"/>
          <w:numId w:val="2"/>
        </w:numPr>
        <w:overflowPunct w:val="0"/>
        <w:bidi w:val="0"/>
        <w:spacing w:before="156" w:after="156"/>
        <w:ind w:left="0" w:firstLine="0"/>
        <w:textAlignment w:val="auto"/>
        <w:outlineLvl w:val="2"/>
        <w:rPr>
          <w:rFonts w:cs="黑体"/>
          <w:szCs w:val="21"/>
        </w:rPr>
      </w:pPr>
      <w:bookmarkStart w:id="188" w:name="_Toc5926"/>
      <w:bookmarkStart w:id="189" w:name="_Toc18964"/>
      <w:r>
        <w:rPr>
          <w:rFonts w:cs="黑体"/>
          <w:szCs w:val="21"/>
          <w:lang w:val="en-US" w:eastAsia="zh-CN"/>
        </w:rPr>
        <w:t>分子检测</w:t>
      </w:r>
      <w:bookmarkEnd w:id="188"/>
      <w:bookmarkEnd w:id="189"/>
    </w:p>
    <w:p w14:paraId="637DE60C">
      <w:pPr>
        <w:pStyle w:val="60"/>
        <w:numPr>
          <w:ilvl w:val="0"/>
          <w:numId w:val="0"/>
        </w:numPr>
        <w:ind w:left="0" w:firstLine="0"/>
        <w:jc w:val="both"/>
      </w:pPr>
      <w:r>
        <w:t xml:space="preserve">    每一</w:t>
      </w:r>
      <w:r>
        <w:rPr>
          <w:rFonts w:hint="eastAsia"/>
          <w:lang w:val="en-US" w:eastAsia="zh-CN"/>
        </w:rPr>
        <w:t>个</w:t>
      </w:r>
      <w:r>
        <w:t>保存的编号送其中1个芽进行病毒检测</w:t>
      </w:r>
      <w:r>
        <w:rPr>
          <w:lang w:eastAsia="zh-CN"/>
        </w:rPr>
        <w:t>，</w:t>
      </w:r>
      <w:r>
        <w:t>带病芽允许率为0。</w:t>
      </w:r>
    </w:p>
    <w:p w14:paraId="19398670">
      <w:pPr>
        <w:pStyle w:val="64"/>
        <w:numPr>
          <w:ilvl w:val="3"/>
          <w:numId w:val="2"/>
        </w:numPr>
        <w:spacing w:before="156" w:after="156"/>
        <w:ind w:left="0" w:firstLine="0"/>
        <w:outlineLvl w:val="3"/>
      </w:pPr>
      <w:bookmarkStart w:id="190" w:name="_Toc5ee7a719-0796-4063-8c98-34b6ce978ff5"/>
      <w:bookmarkStart w:id="191" w:name="_Toc26082"/>
      <w:bookmarkStart w:id="192" w:name="_Toc13947"/>
      <w:r>
        <w:rPr>
          <w:rFonts w:cs="黑体"/>
          <w:szCs w:val="21"/>
        </w:rPr>
        <w:t>BBTV病毒分子检测</w:t>
      </w:r>
      <w:bookmarkEnd w:id="190"/>
      <w:bookmarkEnd w:id="191"/>
      <w:bookmarkEnd w:id="192"/>
    </w:p>
    <w:p w14:paraId="6C82E320">
      <w:pPr>
        <w:pStyle w:val="60"/>
        <w:jc w:val="both"/>
        <w:rPr>
          <w:rFonts w:cs="宋体"/>
          <w:szCs w:val="21"/>
        </w:rPr>
      </w:pPr>
      <w:r>
        <w:rPr>
          <w:rFonts w:cs="宋体"/>
          <w:szCs w:val="21"/>
        </w:rPr>
        <w:t>BBTV采用PCR方法，检测应设置对照</w:t>
      </w:r>
      <w:r>
        <w:rPr>
          <w:rFonts w:cs="宋体"/>
          <w:szCs w:val="21"/>
          <w:lang w:eastAsia="zh-CN"/>
        </w:rPr>
        <w:t>，</w:t>
      </w:r>
      <w:r>
        <w:rPr>
          <w:rFonts w:cs="宋体"/>
          <w:szCs w:val="21"/>
        </w:rPr>
        <w:t>用健康的植物组织作阴性对照</w:t>
      </w:r>
      <w:r>
        <w:rPr>
          <w:rFonts w:cs="宋体"/>
          <w:szCs w:val="21"/>
          <w:lang w:eastAsia="zh-CN"/>
        </w:rPr>
        <w:t>，</w:t>
      </w:r>
      <w:r>
        <w:rPr>
          <w:rFonts w:cs="宋体"/>
          <w:szCs w:val="21"/>
        </w:rPr>
        <w:t>用感染BBTV的植物组织作阳性对照</w:t>
      </w:r>
      <w:r>
        <w:rPr>
          <w:rFonts w:cs="宋体"/>
          <w:szCs w:val="21"/>
          <w:lang w:eastAsia="zh-CN"/>
        </w:rPr>
        <w:t>，</w:t>
      </w:r>
      <w:r>
        <w:rPr>
          <w:rFonts w:cs="宋体"/>
          <w:szCs w:val="21"/>
        </w:rPr>
        <w:t>用 ddH</w:t>
      </w:r>
      <w:r>
        <w:rPr>
          <w:rFonts w:cs="宋体"/>
          <w:szCs w:val="21"/>
          <w:vertAlign w:val="subscript"/>
        </w:rPr>
        <w:t>2</w:t>
      </w:r>
      <w:r>
        <w:rPr>
          <w:rFonts w:cs="宋体"/>
          <w:szCs w:val="21"/>
        </w:rPr>
        <w:t>0 作空白对照。</w:t>
      </w:r>
    </w:p>
    <w:p w14:paraId="48F21062">
      <w:pPr>
        <w:pStyle w:val="60"/>
        <w:jc w:val="both"/>
        <w:rPr>
          <w:rFonts w:cs="宋体"/>
          <w:szCs w:val="21"/>
        </w:rPr>
      </w:pPr>
      <w:r>
        <w:rPr>
          <w:rFonts w:cs="宋体"/>
          <w:szCs w:val="21"/>
        </w:rPr>
        <w:t>取香蕉无菌生根苗叶片0.1 g，采用CTAB法提取DNA，以提取的叶片DNA为模板进行PCR扩增。</w:t>
      </w:r>
    </w:p>
    <w:p w14:paraId="23DCC8AA">
      <w:pPr>
        <w:pStyle w:val="60"/>
        <w:jc w:val="both"/>
      </w:pPr>
      <w:r>
        <w:rPr>
          <w:rFonts w:cs="宋体"/>
          <w:szCs w:val="21"/>
        </w:rPr>
        <w:t>具体操作步骤</w:t>
      </w:r>
      <w:r>
        <w:rPr>
          <w:rFonts w:cs="宋体"/>
          <w:szCs w:val="21"/>
          <w:lang w:eastAsia="zh-CN"/>
        </w:rPr>
        <w:t>（</w:t>
      </w:r>
      <w:r>
        <w:rPr>
          <w:rFonts w:cs="宋体"/>
          <w:szCs w:val="21"/>
        </w:rPr>
        <w:t>见附录C</w:t>
      </w:r>
      <w:r>
        <w:rPr>
          <w:rFonts w:cs="宋体"/>
          <w:szCs w:val="21"/>
          <w:lang w:eastAsia="zh-CN"/>
        </w:rPr>
        <w:t>）</w:t>
      </w:r>
      <w:r>
        <w:rPr>
          <w:rFonts w:cs="宋体"/>
          <w:szCs w:val="21"/>
        </w:rPr>
        <w:t>。当使用商品化检测试剂盒时</w:t>
      </w:r>
      <w:r>
        <w:rPr>
          <w:rFonts w:cs="宋体"/>
          <w:szCs w:val="21"/>
          <w:lang w:eastAsia="zh-CN"/>
        </w:rPr>
        <w:t>，</w:t>
      </w:r>
      <w:r>
        <w:rPr>
          <w:rFonts w:cs="宋体"/>
          <w:szCs w:val="21"/>
        </w:rPr>
        <w:t>参照试剂盒使用说明进行操作。</w:t>
      </w:r>
    </w:p>
    <w:p w14:paraId="5F1CAFA2">
      <w:pPr>
        <w:pStyle w:val="64"/>
        <w:numPr>
          <w:ilvl w:val="3"/>
          <w:numId w:val="2"/>
        </w:numPr>
        <w:spacing w:before="156" w:after="156"/>
        <w:outlineLvl w:val="3"/>
      </w:pPr>
      <w:bookmarkStart w:id="193" w:name="_Toc20467"/>
      <w:bookmarkStart w:id="194" w:name="_Toc31517"/>
      <w:bookmarkStart w:id="195" w:name="_Toc17b919a3-17bb-4f61-8e9a-a092a56b0964"/>
      <w:r>
        <w:rPr>
          <w:rFonts w:cs="黑体"/>
          <w:szCs w:val="21"/>
        </w:rPr>
        <w:t>CMV的RT-PCR扩增</w:t>
      </w:r>
      <w:bookmarkEnd w:id="193"/>
      <w:bookmarkEnd w:id="194"/>
      <w:bookmarkEnd w:id="195"/>
    </w:p>
    <w:p w14:paraId="054C0D3F">
      <w:pPr>
        <w:pStyle w:val="60"/>
        <w:jc w:val="both"/>
        <w:rPr>
          <w:rFonts w:cs="宋体"/>
          <w:szCs w:val="21"/>
        </w:rPr>
      </w:pPr>
      <w:r>
        <w:rPr>
          <w:rFonts w:cs="宋体"/>
          <w:szCs w:val="21"/>
        </w:rPr>
        <w:t xml:space="preserve"> CMV采用反转录PCR法</w:t>
      </w:r>
      <w:r>
        <w:rPr>
          <w:rFonts w:cs="宋体"/>
          <w:szCs w:val="21"/>
          <w:lang w:eastAsia="zh-CN"/>
        </w:rPr>
        <w:t>（</w:t>
      </w:r>
      <w:r>
        <w:rPr>
          <w:rFonts w:cs="宋体"/>
          <w:szCs w:val="21"/>
        </w:rPr>
        <w:t>RT-PCR</w:t>
      </w:r>
      <w:r>
        <w:rPr>
          <w:rFonts w:cs="宋体"/>
          <w:szCs w:val="21"/>
          <w:lang w:eastAsia="zh-CN"/>
        </w:rPr>
        <w:t>）</w:t>
      </w:r>
      <w:r>
        <w:rPr>
          <w:rFonts w:cs="宋体"/>
          <w:szCs w:val="21"/>
        </w:rPr>
        <w:t>扩增。设置对照</w:t>
      </w:r>
      <w:r>
        <w:rPr>
          <w:rFonts w:cs="宋体"/>
          <w:szCs w:val="21"/>
          <w:lang w:eastAsia="zh-CN"/>
        </w:rPr>
        <w:t>，</w:t>
      </w:r>
      <w:r>
        <w:rPr>
          <w:rFonts w:cs="宋体"/>
          <w:szCs w:val="21"/>
        </w:rPr>
        <w:t>用健康的植物组织作阴性对照</w:t>
      </w:r>
      <w:r>
        <w:rPr>
          <w:rFonts w:cs="宋体"/>
          <w:szCs w:val="21"/>
          <w:lang w:eastAsia="zh-CN"/>
        </w:rPr>
        <w:t>，</w:t>
      </w:r>
      <w:r>
        <w:rPr>
          <w:rFonts w:cs="宋体"/>
          <w:szCs w:val="21"/>
        </w:rPr>
        <w:t>用感染BBTV的植物组织作阳性对照</w:t>
      </w:r>
      <w:r>
        <w:rPr>
          <w:rFonts w:cs="宋体"/>
          <w:szCs w:val="21"/>
          <w:lang w:eastAsia="zh-CN"/>
        </w:rPr>
        <w:t>，</w:t>
      </w:r>
      <w:r>
        <w:rPr>
          <w:rFonts w:cs="宋体"/>
          <w:szCs w:val="21"/>
        </w:rPr>
        <w:t>用 ddH</w:t>
      </w:r>
      <w:r>
        <w:rPr>
          <w:rFonts w:cs="宋体"/>
          <w:szCs w:val="21"/>
          <w:vertAlign w:val="subscript"/>
        </w:rPr>
        <w:t>2</w:t>
      </w:r>
      <w:r>
        <w:rPr>
          <w:rFonts w:cs="宋体"/>
          <w:szCs w:val="21"/>
        </w:rPr>
        <w:t>0 作空白对照。</w:t>
      </w:r>
    </w:p>
    <w:p w14:paraId="0A86C9E7">
      <w:pPr>
        <w:pStyle w:val="60"/>
        <w:jc w:val="both"/>
        <w:rPr>
          <w:rFonts w:cs="宋体"/>
          <w:szCs w:val="21"/>
        </w:rPr>
      </w:pPr>
      <w:r>
        <w:rPr>
          <w:rFonts w:cs="宋体"/>
          <w:szCs w:val="21"/>
        </w:rPr>
        <w:t>取香蕉无菌生根苗叶片0.1 g，采用CTAB法提取RNA，反转录合成cDNA。以合成的cDNA为模板进行扩增。</w:t>
      </w:r>
    </w:p>
    <w:p w14:paraId="7ACC4DB9">
      <w:pPr>
        <w:pStyle w:val="60"/>
        <w:jc w:val="both"/>
        <w:rPr>
          <w:rFonts w:cs="宋体"/>
          <w:szCs w:val="21"/>
        </w:rPr>
      </w:pPr>
      <w:r>
        <w:rPr>
          <w:rFonts w:cs="宋体"/>
          <w:szCs w:val="21"/>
        </w:rPr>
        <w:t>具体操作步骤</w:t>
      </w:r>
      <w:r>
        <w:rPr>
          <w:rFonts w:cs="宋体"/>
          <w:szCs w:val="21"/>
          <w:lang w:eastAsia="zh-CN"/>
        </w:rPr>
        <w:t>（</w:t>
      </w:r>
      <w:r>
        <w:rPr>
          <w:rFonts w:cs="宋体"/>
          <w:szCs w:val="21"/>
        </w:rPr>
        <w:t>见附录C</w:t>
      </w:r>
      <w:r>
        <w:rPr>
          <w:rFonts w:cs="宋体"/>
          <w:szCs w:val="21"/>
          <w:lang w:eastAsia="zh-CN"/>
        </w:rPr>
        <w:t>）</w:t>
      </w:r>
      <w:r>
        <w:rPr>
          <w:rFonts w:cs="宋体"/>
          <w:szCs w:val="21"/>
        </w:rPr>
        <w:t>。当使用商品化检测试剂盒时</w:t>
      </w:r>
      <w:r>
        <w:rPr>
          <w:rFonts w:cs="宋体"/>
          <w:szCs w:val="21"/>
          <w:lang w:eastAsia="zh-CN"/>
        </w:rPr>
        <w:t>，</w:t>
      </w:r>
      <w:r>
        <w:rPr>
          <w:rFonts w:cs="宋体"/>
          <w:szCs w:val="21"/>
        </w:rPr>
        <w:t>参照试剂盒使用说明进行操作。</w:t>
      </w:r>
    </w:p>
    <w:p w14:paraId="2D7E9415">
      <w:pPr>
        <w:pStyle w:val="64"/>
        <w:numPr>
          <w:ilvl w:val="3"/>
          <w:numId w:val="2"/>
        </w:numPr>
        <w:spacing w:before="156" w:after="156"/>
        <w:outlineLvl w:val="3"/>
      </w:pPr>
      <w:bookmarkStart w:id="196" w:name="_Toc9952"/>
      <w:bookmarkStart w:id="197" w:name="_Toc80160fe3-238e-48aa-8321-32001ac4aecb"/>
      <w:bookmarkStart w:id="198" w:name="_Toc17190"/>
      <w:r>
        <w:rPr>
          <w:rFonts w:cs="黑体"/>
          <w:szCs w:val="21"/>
        </w:rPr>
        <w:t>PCR 产物凝胶电泳检测</w:t>
      </w:r>
      <w:bookmarkEnd w:id="196"/>
      <w:bookmarkEnd w:id="197"/>
      <w:bookmarkEnd w:id="198"/>
    </w:p>
    <w:p w14:paraId="3866507E">
      <w:pPr>
        <w:pStyle w:val="60"/>
        <w:jc w:val="both"/>
        <w:rPr>
          <w:rFonts w:cs="宋体"/>
          <w:szCs w:val="21"/>
        </w:rPr>
      </w:pPr>
      <w:r>
        <w:rPr>
          <w:rFonts w:cs="宋体"/>
          <w:szCs w:val="21"/>
        </w:rPr>
        <w:t>各组分PCR扩增完毕后，进行1%</w:t>
      </w:r>
      <w:r>
        <w:rPr>
          <w:rFonts w:cs="宋体"/>
          <w:szCs w:val="21"/>
          <w:lang w:eastAsia="zh-CN"/>
        </w:rPr>
        <w:t>（</w:t>
      </w:r>
      <w:r>
        <w:rPr>
          <w:rFonts w:cs="宋体"/>
          <w:szCs w:val="21"/>
        </w:rPr>
        <w:t>W/V</w:t>
      </w:r>
      <w:r>
        <w:rPr>
          <w:rFonts w:cs="宋体"/>
          <w:szCs w:val="21"/>
          <w:lang w:eastAsia="zh-CN"/>
        </w:rPr>
        <w:t>）</w:t>
      </w:r>
      <w:r>
        <w:rPr>
          <w:rFonts w:cs="宋体"/>
          <w:szCs w:val="21"/>
        </w:rPr>
        <w:t>的琼脂糖凝胶电泳检测。</w:t>
      </w:r>
    </w:p>
    <w:p w14:paraId="0650CC2D">
      <w:pPr>
        <w:pStyle w:val="64"/>
        <w:numPr>
          <w:ilvl w:val="3"/>
          <w:numId w:val="2"/>
        </w:numPr>
        <w:spacing w:before="156" w:after="156"/>
        <w:outlineLvl w:val="3"/>
        <w:rPr>
          <w:rFonts w:cs="黑体"/>
          <w:szCs w:val="21"/>
        </w:rPr>
      </w:pPr>
      <w:bookmarkStart w:id="199" w:name="_Toc23274"/>
      <w:bookmarkStart w:id="200" w:name="_Toc27814"/>
      <w:bookmarkStart w:id="201" w:name="_Toc20209"/>
      <w:r>
        <w:rPr>
          <w:rFonts w:cs="黑体"/>
          <w:szCs w:val="21"/>
        </w:rPr>
        <w:t>结果判定</w:t>
      </w:r>
      <w:bookmarkEnd w:id="199"/>
      <w:bookmarkEnd w:id="200"/>
      <w:bookmarkEnd w:id="201"/>
    </w:p>
    <w:p w14:paraId="485FC6A6">
      <w:pPr>
        <w:pStyle w:val="60"/>
        <w:keepNext w:val="0"/>
        <w:keepLines w:val="0"/>
        <w:pageBreakBefore w:val="0"/>
        <w:widowControl/>
        <w:overflowPunct w:val="0"/>
        <w:bidi w:val="0"/>
        <w:snapToGrid/>
        <w:jc w:val="both"/>
        <w:textAlignment w:val="auto"/>
        <w:rPr>
          <w:rFonts w:cs="宋体"/>
          <w:szCs w:val="21"/>
        </w:rPr>
      </w:pPr>
      <w:r>
        <w:rPr>
          <w:rFonts w:cs="宋体"/>
          <w:szCs w:val="21"/>
        </w:rPr>
        <w:t>阳性对照、阴性对照与空白对照正确</w:t>
      </w:r>
      <w:r>
        <w:rPr>
          <w:rFonts w:cs="宋体"/>
          <w:szCs w:val="21"/>
          <w:lang w:eastAsia="zh-CN"/>
        </w:rPr>
        <w:t>，</w:t>
      </w:r>
      <w:r>
        <w:rPr>
          <w:rFonts w:cs="宋体"/>
          <w:szCs w:val="21"/>
        </w:rPr>
        <w:t>待测样品出现目标条带</w:t>
      </w:r>
      <w:r>
        <w:rPr>
          <w:rFonts w:cs="宋体"/>
          <w:szCs w:val="21"/>
          <w:lang w:eastAsia="zh-CN"/>
        </w:rPr>
        <w:t>，</w:t>
      </w:r>
      <w:r>
        <w:rPr>
          <w:rFonts w:cs="宋体"/>
          <w:szCs w:val="21"/>
        </w:rPr>
        <w:t>判定为阳性。阳性对照、阴性对照与空白对照正确</w:t>
      </w:r>
      <w:r>
        <w:rPr>
          <w:rFonts w:cs="宋体"/>
          <w:szCs w:val="21"/>
          <w:lang w:eastAsia="zh-CN"/>
        </w:rPr>
        <w:t>，</w:t>
      </w:r>
      <w:r>
        <w:rPr>
          <w:rFonts w:cs="宋体"/>
          <w:szCs w:val="21"/>
        </w:rPr>
        <w:t>待测样品未出现目标条带</w:t>
      </w:r>
      <w:r>
        <w:rPr>
          <w:rFonts w:cs="宋体"/>
          <w:szCs w:val="21"/>
          <w:lang w:eastAsia="zh-CN"/>
        </w:rPr>
        <w:t>，</w:t>
      </w:r>
      <w:r>
        <w:rPr>
          <w:rFonts w:cs="宋体"/>
          <w:szCs w:val="21"/>
        </w:rPr>
        <w:t>判定为阴性。</w:t>
      </w:r>
    </w:p>
    <w:p w14:paraId="6B4DEDDA">
      <w:pPr>
        <w:pStyle w:val="64"/>
        <w:keepNext w:val="0"/>
        <w:keepLines w:val="0"/>
        <w:pageBreakBefore w:val="0"/>
        <w:widowControl/>
        <w:numPr>
          <w:ilvl w:val="2"/>
          <w:numId w:val="2"/>
        </w:numPr>
        <w:overflowPunct w:val="0"/>
        <w:bidi w:val="0"/>
        <w:spacing w:before="156" w:after="156"/>
        <w:ind w:left="0" w:firstLine="0"/>
        <w:textAlignment w:val="auto"/>
        <w:outlineLvl w:val="2"/>
      </w:pPr>
      <w:bookmarkStart w:id="202" w:name="_Toc20172"/>
      <w:bookmarkStart w:id="203" w:name="_Tocd4c5b370-a911-47a3-946a-4afe779b682c"/>
      <w:bookmarkStart w:id="204" w:name="_Toc27598"/>
      <w:r>
        <w:rPr>
          <w:rFonts w:cs="黑体"/>
          <w:szCs w:val="21"/>
        </w:rPr>
        <w:t>ELISA检测</w:t>
      </w:r>
      <w:bookmarkEnd w:id="202"/>
      <w:bookmarkEnd w:id="203"/>
      <w:bookmarkEnd w:id="204"/>
    </w:p>
    <w:p w14:paraId="6C8A5BBD">
      <w:pPr>
        <w:pStyle w:val="60"/>
        <w:keepNext w:val="0"/>
        <w:keepLines w:val="0"/>
        <w:pageBreakBefore w:val="0"/>
        <w:widowControl/>
        <w:overflowPunct w:val="0"/>
        <w:bidi w:val="0"/>
        <w:snapToGrid/>
        <w:jc w:val="both"/>
        <w:textAlignment w:val="auto"/>
        <w:rPr>
          <w:rFonts w:cs="宋体"/>
          <w:szCs w:val="21"/>
        </w:rPr>
      </w:pPr>
      <w:bookmarkStart w:id="205" w:name="_Toc2657b579-dddd-479b-afef-bdf869eccab7"/>
      <w:r>
        <w:rPr>
          <w:rFonts w:cs="宋体"/>
          <w:szCs w:val="21"/>
        </w:rPr>
        <w:t>ELISA检测设置对照</w:t>
      </w:r>
      <w:r>
        <w:rPr>
          <w:rFonts w:cs="宋体"/>
          <w:szCs w:val="21"/>
          <w:lang w:eastAsia="zh-CN"/>
        </w:rPr>
        <w:t>，</w:t>
      </w:r>
      <w:r>
        <w:rPr>
          <w:rFonts w:cs="宋体"/>
          <w:szCs w:val="21"/>
        </w:rPr>
        <w:t>用健康的植物组织作阴性对照</w:t>
      </w:r>
      <w:r>
        <w:rPr>
          <w:rFonts w:cs="宋体"/>
          <w:szCs w:val="21"/>
          <w:lang w:eastAsia="zh-CN"/>
        </w:rPr>
        <w:t>，</w:t>
      </w:r>
      <w:r>
        <w:rPr>
          <w:rFonts w:cs="宋体"/>
          <w:szCs w:val="21"/>
        </w:rPr>
        <w:t>用感染BBTV和 CMV的植物组织作阳性对照</w:t>
      </w:r>
      <w:r>
        <w:rPr>
          <w:rFonts w:cs="宋体"/>
          <w:szCs w:val="21"/>
          <w:lang w:eastAsia="zh-CN"/>
        </w:rPr>
        <w:t>，</w:t>
      </w:r>
      <w:r>
        <w:rPr>
          <w:rFonts w:cs="宋体"/>
          <w:szCs w:val="21"/>
        </w:rPr>
        <w:t>用样品提取缓冲液作空白对照。其中</w:t>
      </w:r>
      <w:r>
        <w:rPr>
          <w:rFonts w:cs="宋体"/>
          <w:szCs w:val="21"/>
          <w:lang w:eastAsia="zh-CN"/>
        </w:rPr>
        <w:t>，</w:t>
      </w:r>
      <w:r>
        <w:rPr>
          <w:rFonts w:cs="宋体"/>
          <w:szCs w:val="21"/>
        </w:rPr>
        <w:t>阴性对照材料应该尽量与所检测样品一致。</w:t>
      </w:r>
    </w:p>
    <w:p w14:paraId="4D204928">
      <w:pPr>
        <w:pStyle w:val="60"/>
        <w:keepNext w:val="0"/>
        <w:keepLines w:val="0"/>
        <w:pageBreakBefore w:val="0"/>
        <w:widowControl/>
        <w:overflowPunct w:val="0"/>
        <w:bidi w:val="0"/>
        <w:snapToGrid/>
        <w:jc w:val="both"/>
        <w:textAlignment w:val="auto"/>
      </w:pPr>
      <w:r>
        <w:rPr>
          <w:rFonts w:cs="宋体"/>
          <w:szCs w:val="21"/>
        </w:rPr>
        <w:t>具体操作步骤</w:t>
      </w:r>
      <w:r>
        <w:rPr>
          <w:rFonts w:hint="eastAsia" w:cs="宋体"/>
          <w:szCs w:val="21"/>
          <w:lang w:eastAsia="zh-CN"/>
        </w:rPr>
        <w:t>（</w:t>
      </w:r>
      <w:r>
        <w:rPr>
          <w:rFonts w:cs="宋体"/>
          <w:szCs w:val="21"/>
        </w:rPr>
        <w:t>见附录D</w:t>
      </w:r>
      <w:r>
        <w:rPr>
          <w:rFonts w:hint="eastAsia" w:cs="宋体"/>
          <w:szCs w:val="21"/>
          <w:lang w:eastAsia="zh-CN"/>
        </w:rPr>
        <w:t>）</w:t>
      </w:r>
      <w:r>
        <w:rPr>
          <w:rFonts w:cs="宋体"/>
          <w:szCs w:val="21"/>
        </w:rPr>
        <w:t>。当使用商品化检测试剂盒时</w:t>
      </w:r>
      <w:r>
        <w:rPr>
          <w:rFonts w:cs="宋体"/>
          <w:szCs w:val="21"/>
          <w:lang w:eastAsia="zh-CN"/>
        </w:rPr>
        <w:t>，</w:t>
      </w:r>
      <w:r>
        <w:rPr>
          <w:rFonts w:cs="宋体"/>
          <w:szCs w:val="21"/>
        </w:rPr>
        <w:t>参照试剂盒使用说明进行操作。</w:t>
      </w:r>
      <w:bookmarkEnd w:id="205"/>
    </w:p>
    <w:p w14:paraId="209D721E">
      <w:pPr>
        <w:pStyle w:val="64"/>
        <w:numPr>
          <w:ilvl w:val="1"/>
          <w:numId w:val="2"/>
        </w:numPr>
        <w:spacing w:before="156" w:after="156"/>
        <w:outlineLvl w:val="1"/>
      </w:pPr>
      <w:bookmarkStart w:id="206" w:name="_Toc10162"/>
      <w:bookmarkStart w:id="207" w:name="_Toc14521"/>
      <w:bookmarkStart w:id="208" w:name="_Toc27594"/>
      <w:r>
        <w:rPr>
          <w:rFonts w:cs="黑体"/>
          <w:szCs w:val="21"/>
        </w:rPr>
        <w:t>线虫检测</w:t>
      </w:r>
      <w:bookmarkEnd w:id="206"/>
      <w:bookmarkEnd w:id="207"/>
      <w:bookmarkEnd w:id="208"/>
    </w:p>
    <w:p w14:paraId="0CC944E9">
      <w:pPr>
        <w:pStyle w:val="60"/>
        <w:jc w:val="both"/>
      </w:pPr>
      <w:r>
        <w:rPr>
          <w:rFonts w:cs="宋体"/>
          <w:szCs w:val="21"/>
        </w:rPr>
        <w:t>参考行业标准NY/T1485-2007香蕉穿孔线虫检测与鉴定技术进行形态检测，并利用分子方法进行检测。</w:t>
      </w:r>
    </w:p>
    <w:p w14:paraId="7D8E4CC2">
      <w:pPr>
        <w:pStyle w:val="64"/>
        <w:numPr>
          <w:ilvl w:val="2"/>
          <w:numId w:val="2"/>
        </w:numPr>
        <w:spacing w:before="156" w:after="156"/>
        <w:ind w:left="0" w:firstLine="0"/>
        <w:outlineLvl w:val="2"/>
      </w:pPr>
      <w:bookmarkStart w:id="209" w:name="_Toc26319"/>
      <w:bookmarkStart w:id="210" w:name="_Toc1253"/>
      <w:bookmarkStart w:id="211" w:name="_Toc1bee8b7c-9652-42c2-bf11-212e6ae85b63"/>
      <w:r>
        <w:rPr>
          <w:rFonts w:cs="黑体"/>
          <w:szCs w:val="21"/>
        </w:rPr>
        <w:t>现场检疫</w:t>
      </w:r>
      <w:bookmarkEnd w:id="209"/>
      <w:bookmarkEnd w:id="210"/>
      <w:bookmarkEnd w:id="211"/>
    </w:p>
    <w:p w14:paraId="26E7A7CA">
      <w:pPr>
        <w:pStyle w:val="60"/>
        <w:jc w:val="both"/>
      </w:pPr>
      <w:r>
        <w:rPr>
          <w:rFonts w:cs="宋体"/>
          <w:szCs w:val="21"/>
        </w:rPr>
        <w:t>对香蕉组培苗根及根茎部分进行检查，注意检查是否有变褐和坏死等症状，并送实验室进行香蕉穿孔线虫的检验。</w:t>
      </w:r>
    </w:p>
    <w:p w14:paraId="1B15976F">
      <w:pPr>
        <w:pStyle w:val="64"/>
        <w:numPr>
          <w:ilvl w:val="2"/>
          <w:numId w:val="2"/>
        </w:numPr>
        <w:spacing w:before="156" w:after="156"/>
        <w:ind w:left="0" w:firstLine="0"/>
        <w:outlineLvl w:val="2"/>
      </w:pPr>
      <w:bookmarkStart w:id="212" w:name="_Toc3078"/>
      <w:bookmarkStart w:id="213" w:name="_Toc28471"/>
      <w:bookmarkStart w:id="214" w:name="_Toc8456cc3e-587b-46de-9fd8-8778fc20b083"/>
      <w:r>
        <w:rPr>
          <w:rFonts w:cs="黑体"/>
          <w:szCs w:val="21"/>
        </w:rPr>
        <w:t>实验室检验</w:t>
      </w:r>
      <w:bookmarkEnd w:id="212"/>
      <w:bookmarkEnd w:id="213"/>
      <w:bookmarkEnd w:id="214"/>
    </w:p>
    <w:p w14:paraId="15BC21F0">
      <w:pPr>
        <w:pStyle w:val="64"/>
        <w:numPr>
          <w:ilvl w:val="3"/>
          <w:numId w:val="2"/>
        </w:numPr>
        <w:spacing w:before="156" w:after="156"/>
        <w:outlineLvl w:val="3"/>
      </w:pPr>
      <w:bookmarkStart w:id="215" w:name="_Toc83fd8b85-3539-4dd5-96a2-57c81eed9efc"/>
      <w:bookmarkStart w:id="216" w:name="_Toc1019"/>
      <w:bookmarkStart w:id="217" w:name="_Toc15792"/>
      <w:r>
        <w:rPr>
          <w:rFonts w:cs="黑体"/>
          <w:szCs w:val="21"/>
        </w:rPr>
        <w:t>样品分离</w:t>
      </w:r>
      <w:bookmarkEnd w:id="215"/>
      <w:bookmarkEnd w:id="216"/>
      <w:bookmarkEnd w:id="217"/>
    </w:p>
    <w:p w14:paraId="62AFCC0A">
      <w:pPr>
        <w:pStyle w:val="60"/>
        <w:jc w:val="both"/>
      </w:pPr>
      <w:r>
        <w:rPr>
          <w:rFonts w:cs="宋体"/>
          <w:szCs w:val="21"/>
        </w:rPr>
        <w:t>对于抽取的样品，仔细检查根部，尽量选取组培苗的根作为分离样品。</w:t>
      </w:r>
    </w:p>
    <w:p w14:paraId="7CC52086">
      <w:pPr>
        <w:pStyle w:val="64"/>
        <w:numPr>
          <w:ilvl w:val="3"/>
          <w:numId w:val="2"/>
        </w:numPr>
        <w:spacing w:before="156" w:after="156"/>
        <w:outlineLvl w:val="3"/>
      </w:pPr>
      <w:bookmarkStart w:id="218" w:name="_Toc148bfcfc-1dba-47ba-b768-882d9ae43ac7"/>
      <w:bookmarkStart w:id="219" w:name="_Toc9730"/>
      <w:bookmarkStart w:id="220" w:name="_Toc31786"/>
      <w:r>
        <w:rPr>
          <w:rFonts w:cs="黑体"/>
          <w:szCs w:val="21"/>
        </w:rPr>
        <w:t>线虫分离</w:t>
      </w:r>
      <w:bookmarkEnd w:id="218"/>
      <w:bookmarkEnd w:id="219"/>
      <w:bookmarkEnd w:id="220"/>
    </w:p>
    <w:p w14:paraId="0C59DEE1">
      <w:pPr>
        <w:pStyle w:val="60"/>
        <w:jc w:val="both"/>
      </w:pPr>
      <w:r>
        <w:rPr>
          <w:rFonts w:cs="宋体"/>
          <w:szCs w:val="21"/>
        </w:rPr>
        <w:t>用浅盘分离法或漏斗法分离线虫。</w:t>
      </w:r>
    </w:p>
    <w:p w14:paraId="21FAEF56">
      <w:pPr>
        <w:pStyle w:val="64"/>
        <w:numPr>
          <w:ilvl w:val="3"/>
          <w:numId w:val="2"/>
        </w:numPr>
        <w:spacing w:before="156" w:after="156"/>
        <w:outlineLvl w:val="3"/>
      </w:pPr>
      <w:bookmarkStart w:id="221" w:name="_Toc55c7e51d-fe52-49c0-aa7a-71fd5f2dce3d"/>
      <w:bookmarkStart w:id="222" w:name="_Toc8234"/>
      <w:bookmarkStart w:id="223" w:name="_Toc3201"/>
      <w:r>
        <w:rPr>
          <w:rFonts w:cs="黑体"/>
          <w:szCs w:val="21"/>
        </w:rPr>
        <w:t>显微镜检查</w:t>
      </w:r>
      <w:bookmarkEnd w:id="221"/>
      <w:bookmarkEnd w:id="222"/>
      <w:bookmarkEnd w:id="223"/>
    </w:p>
    <w:p w14:paraId="3A1A14A9">
      <w:pPr>
        <w:pStyle w:val="60"/>
        <w:jc w:val="both"/>
      </w:pPr>
      <w:r>
        <w:rPr>
          <w:rFonts w:cs="宋体"/>
          <w:szCs w:val="21"/>
        </w:rPr>
        <w:t>挑取线虫若干条制成临时玻片在生物显微镜下镜检，观察线虫的形态。</w:t>
      </w:r>
    </w:p>
    <w:p w14:paraId="60C0F0FB">
      <w:pPr>
        <w:pStyle w:val="64"/>
        <w:numPr>
          <w:ilvl w:val="3"/>
          <w:numId w:val="2"/>
        </w:numPr>
        <w:spacing w:before="156" w:after="156"/>
        <w:outlineLvl w:val="3"/>
      </w:pPr>
      <w:bookmarkStart w:id="224" w:name="_Toc23516"/>
      <w:bookmarkStart w:id="225" w:name="_Toc45035d70-8599-4ae1-a15b-f451589c2c7c"/>
      <w:bookmarkStart w:id="226" w:name="_Toc22317"/>
      <w:r>
        <w:rPr>
          <w:rFonts w:cs="黑体"/>
          <w:szCs w:val="21"/>
        </w:rPr>
        <w:t>形态鉴定特征</w:t>
      </w:r>
      <w:bookmarkEnd w:id="224"/>
      <w:bookmarkEnd w:id="225"/>
      <w:bookmarkEnd w:id="226"/>
    </w:p>
    <w:p w14:paraId="3B99F5CE">
      <w:pPr>
        <w:pStyle w:val="60"/>
        <w:jc w:val="both"/>
      </w:pPr>
      <w:r>
        <w:rPr>
          <w:rFonts w:cs="宋体"/>
          <w:szCs w:val="21"/>
        </w:rPr>
        <w:t>穿孔线虫形态及显微形态特征</w:t>
      </w:r>
      <w:r>
        <w:rPr>
          <w:rFonts w:hint="eastAsia" w:cs="宋体"/>
          <w:szCs w:val="21"/>
          <w:lang w:eastAsia="zh-CN"/>
        </w:rPr>
        <w:t>（</w:t>
      </w:r>
      <w:r>
        <w:rPr>
          <w:rFonts w:cs="宋体"/>
          <w:szCs w:val="21"/>
        </w:rPr>
        <w:t>见附录E</w:t>
      </w:r>
      <w:r>
        <w:rPr>
          <w:rFonts w:hint="eastAsia" w:cs="宋体"/>
          <w:szCs w:val="21"/>
          <w:lang w:eastAsia="zh-CN"/>
        </w:rPr>
        <w:t>）</w:t>
      </w:r>
      <w:r>
        <w:rPr>
          <w:rFonts w:cs="宋体"/>
          <w:szCs w:val="21"/>
        </w:rPr>
        <w:t>。</w:t>
      </w:r>
    </w:p>
    <w:p w14:paraId="6145E224">
      <w:pPr>
        <w:pStyle w:val="64"/>
        <w:numPr>
          <w:ilvl w:val="2"/>
          <w:numId w:val="2"/>
        </w:numPr>
        <w:spacing w:before="156" w:after="156"/>
        <w:outlineLvl w:val="2"/>
      </w:pPr>
      <w:bookmarkStart w:id="227" w:name="_Toc12063"/>
      <w:bookmarkStart w:id="228" w:name="_Toc496cb778-c5da-45c0-b328-0bc1bcd1fb30"/>
      <w:bookmarkStart w:id="229" w:name="_Toc410"/>
      <w:r>
        <w:rPr>
          <w:rFonts w:cs="黑体"/>
          <w:szCs w:val="21"/>
        </w:rPr>
        <w:t>分子检测</w:t>
      </w:r>
      <w:bookmarkEnd w:id="227"/>
      <w:bookmarkEnd w:id="228"/>
      <w:bookmarkEnd w:id="229"/>
    </w:p>
    <w:p w14:paraId="517292E0">
      <w:pPr>
        <w:pStyle w:val="64"/>
        <w:numPr>
          <w:ilvl w:val="3"/>
          <w:numId w:val="2"/>
        </w:numPr>
        <w:spacing w:before="156" w:after="156"/>
        <w:outlineLvl w:val="3"/>
      </w:pPr>
      <w:bookmarkStart w:id="230" w:name="_Toc10251"/>
      <w:bookmarkStart w:id="231" w:name="_Toc22051"/>
      <w:bookmarkStart w:id="232" w:name="_Toc645ea14d-051e-4566-a1c3-0c75c033bf84"/>
      <w:r>
        <w:rPr>
          <w:rFonts w:cs="黑体"/>
          <w:szCs w:val="21"/>
        </w:rPr>
        <w:t>DNA粗提</w:t>
      </w:r>
      <w:bookmarkEnd w:id="230"/>
      <w:bookmarkEnd w:id="231"/>
      <w:bookmarkEnd w:id="232"/>
    </w:p>
    <w:p w14:paraId="2BC8ABFF">
      <w:pPr>
        <w:pStyle w:val="60"/>
        <w:jc w:val="both"/>
      </w:pPr>
      <w:r>
        <w:rPr>
          <w:rFonts w:cs="宋体"/>
          <w:szCs w:val="21"/>
        </w:rPr>
        <w:t>以香蕉组培苗根及根茎部分采用改良的CTAB提取DNA。</w:t>
      </w:r>
    </w:p>
    <w:p w14:paraId="2D1F7990">
      <w:pPr>
        <w:pStyle w:val="64"/>
        <w:numPr>
          <w:ilvl w:val="3"/>
          <w:numId w:val="2"/>
        </w:numPr>
        <w:spacing w:before="156" w:after="156"/>
        <w:outlineLvl w:val="3"/>
      </w:pPr>
      <w:bookmarkStart w:id="233" w:name="_Toc17324"/>
      <w:bookmarkStart w:id="234" w:name="_Toc44a04841-e5eb-4b32-ae9b-0655ecd076c9"/>
      <w:bookmarkStart w:id="235" w:name="_Toc5107"/>
      <w:r>
        <w:rPr>
          <w:rFonts w:cs="黑体"/>
          <w:szCs w:val="21"/>
        </w:rPr>
        <w:t>PCR检测</w:t>
      </w:r>
      <w:bookmarkEnd w:id="233"/>
      <w:bookmarkEnd w:id="234"/>
      <w:bookmarkEnd w:id="235"/>
    </w:p>
    <w:p w14:paraId="283A1733">
      <w:pPr>
        <w:pStyle w:val="60"/>
        <w:jc w:val="both"/>
        <w:rPr>
          <w:rFonts w:cs="宋体"/>
          <w:szCs w:val="21"/>
        </w:rPr>
      </w:pPr>
      <w:r>
        <w:rPr>
          <w:rFonts w:cs="宋体"/>
          <w:szCs w:val="21"/>
        </w:rPr>
        <w:t>25 μ</w:t>
      </w:r>
      <w:r>
        <w:rPr>
          <w:rFonts w:hint="eastAsia" w:cs="宋体"/>
          <w:szCs w:val="21"/>
          <w:lang w:val="en-US" w:eastAsia="zh-CN"/>
        </w:rPr>
        <w:t>L</w:t>
      </w:r>
      <w:r>
        <w:rPr>
          <w:rFonts w:cs="宋体"/>
          <w:szCs w:val="21"/>
        </w:rPr>
        <w:t>特异性扩增PCR反应体系：DNA模板2 μ</w:t>
      </w:r>
      <w:r>
        <w:rPr>
          <w:rFonts w:hint="eastAsia" w:cs="宋体"/>
          <w:szCs w:val="21"/>
          <w:lang w:val="en-US" w:eastAsia="zh-CN"/>
        </w:rPr>
        <w:t>L</w:t>
      </w:r>
      <w:r>
        <w:rPr>
          <w:rFonts w:cs="宋体"/>
          <w:szCs w:val="21"/>
          <w:lang w:eastAsia="zh-CN"/>
        </w:rPr>
        <w:t>，</w:t>
      </w:r>
      <w:r>
        <w:rPr>
          <w:rFonts w:cs="宋体"/>
          <w:szCs w:val="21"/>
        </w:rPr>
        <w:t>上游引物PF（5’-TGTCATCGCCTTTGGCAGCT-3’）</w:t>
      </w:r>
      <w:r>
        <w:rPr>
          <w:rFonts w:cs="宋体"/>
          <w:szCs w:val="21"/>
          <w:lang w:eastAsia="zh-CN"/>
        </w:rPr>
        <w:t>（</w:t>
      </w:r>
      <w:r>
        <w:rPr>
          <w:rFonts w:cs="宋体"/>
          <w:szCs w:val="21"/>
        </w:rPr>
        <w:t>10μM</w:t>
      </w:r>
      <w:r>
        <w:rPr>
          <w:rFonts w:cs="宋体"/>
          <w:szCs w:val="21"/>
          <w:lang w:eastAsia="zh-CN"/>
        </w:rPr>
        <w:t>）</w:t>
      </w:r>
      <w:r>
        <w:rPr>
          <w:rFonts w:cs="宋体"/>
          <w:szCs w:val="21"/>
        </w:rPr>
        <w:t>0.7 μl，下游引物PR（5’-TGGTAAACGACCCTGAACCAG-3’）</w:t>
      </w:r>
      <w:r>
        <w:rPr>
          <w:rFonts w:cs="宋体"/>
          <w:szCs w:val="21"/>
          <w:lang w:eastAsia="zh-CN"/>
        </w:rPr>
        <w:t>（</w:t>
      </w:r>
      <w:r>
        <w:rPr>
          <w:rFonts w:cs="宋体"/>
          <w:szCs w:val="21"/>
        </w:rPr>
        <w:t>10μM</w:t>
      </w:r>
      <w:r>
        <w:rPr>
          <w:rFonts w:cs="宋体"/>
          <w:szCs w:val="21"/>
          <w:lang w:eastAsia="zh-CN"/>
        </w:rPr>
        <w:t>）</w:t>
      </w:r>
      <w:r>
        <w:rPr>
          <w:rFonts w:cs="宋体"/>
          <w:szCs w:val="21"/>
        </w:rPr>
        <w:t>0.7 μ</w:t>
      </w:r>
      <w:r>
        <w:rPr>
          <w:rFonts w:hint="eastAsia" w:cs="宋体"/>
          <w:szCs w:val="21"/>
          <w:lang w:val="en-US" w:eastAsia="zh-CN"/>
        </w:rPr>
        <w:t>L</w:t>
      </w:r>
      <w:r>
        <w:rPr>
          <w:rFonts w:cs="宋体"/>
          <w:szCs w:val="21"/>
        </w:rPr>
        <w:t>，2×mix酶10μ</w:t>
      </w:r>
      <w:r>
        <w:rPr>
          <w:rFonts w:hint="eastAsia" w:cs="宋体"/>
          <w:szCs w:val="21"/>
          <w:lang w:val="en-US" w:eastAsia="zh-CN"/>
        </w:rPr>
        <w:t>L</w:t>
      </w:r>
      <w:r>
        <w:rPr>
          <w:rFonts w:cs="宋体"/>
          <w:szCs w:val="21"/>
        </w:rPr>
        <w:t>，其余用超纯水补足。进行PCR扩增。</w:t>
      </w:r>
    </w:p>
    <w:p w14:paraId="11D25E87">
      <w:pPr>
        <w:pStyle w:val="60"/>
        <w:jc w:val="both"/>
      </w:pPr>
      <w:r>
        <w:rPr>
          <w:rFonts w:cs="宋体"/>
          <w:szCs w:val="21"/>
        </w:rPr>
        <w:t>反应程序为：94℃ 5</w:t>
      </w:r>
      <w:r>
        <w:rPr>
          <w:rFonts w:hint="eastAsia" w:cs="宋体"/>
          <w:szCs w:val="21"/>
          <w:lang w:val="en-US" w:eastAsia="zh-CN"/>
        </w:rPr>
        <w:t xml:space="preserve"> </w:t>
      </w:r>
      <w:r>
        <w:rPr>
          <w:rFonts w:cs="宋体"/>
          <w:szCs w:val="21"/>
        </w:rPr>
        <w:t>min；94℃ 30s, 56℃ 30 s, 72℃ 45</w:t>
      </w:r>
      <w:r>
        <w:rPr>
          <w:rFonts w:hint="eastAsia" w:cs="宋体"/>
          <w:szCs w:val="21"/>
          <w:lang w:val="en-US" w:eastAsia="zh-CN"/>
        </w:rPr>
        <w:t xml:space="preserve"> </w:t>
      </w:r>
      <w:r>
        <w:rPr>
          <w:rFonts w:cs="宋体"/>
          <w:szCs w:val="21"/>
        </w:rPr>
        <w:t>s, 35个循环；72℃ 8</w:t>
      </w:r>
      <w:r>
        <w:rPr>
          <w:rFonts w:hint="eastAsia" w:cs="宋体"/>
          <w:szCs w:val="21"/>
          <w:lang w:val="en-US" w:eastAsia="zh-CN"/>
        </w:rPr>
        <w:t xml:space="preserve"> </w:t>
      </w:r>
      <w:r>
        <w:rPr>
          <w:rFonts w:cs="宋体"/>
          <w:szCs w:val="21"/>
        </w:rPr>
        <w:t>min，4℃保存。</w:t>
      </w:r>
    </w:p>
    <w:p w14:paraId="1A428E22">
      <w:pPr>
        <w:pStyle w:val="64"/>
        <w:numPr>
          <w:ilvl w:val="3"/>
          <w:numId w:val="2"/>
        </w:numPr>
        <w:spacing w:before="156" w:after="156"/>
        <w:outlineLvl w:val="3"/>
      </w:pPr>
      <w:bookmarkStart w:id="236" w:name="_Toc359"/>
      <w:bookmarkStart w:id="237" w:name="_Toc17496"/>
      <w:r>
        <w:rPr>
          <w:rFonts w:cs="黑体"/>
          <w:szCs w:val="21"/>
        </w:rPr>
        <w:t>对照设置</w:t>
      </w:r>
      <w:bookmarkEnd w:id="236"/>
      <w:bookmarkEnd w:id="237"/>
    </w:p>
    <w:p w14:paraId="0C6958E9">
      <w:pPr>
        <w:pStyle w:val="60"/>
        <w:jc w:val="both"/>
        <w:rPr>
          <w:rFonts w:cs="宋体"/>
        </w:rPr>
      </w:pPr>
      <w:r>
        <w:rPr>
          <w:rFonts w:cs="宋体"/>
          <w:szCs w:val="21"/>
        </w:rPr>
        <w:t>设置对照</w:t>
      </w:r>
      <w:r>
        <w:rPr>
          <w:rFonts w:cs="宋体"/>
          <w:szCs w:val="21"/>
          <w:lang w:eastAsia="zh-CN"/>
        </w:rPr>
        <w:t>，</w:t>
      </w:r>
      <w:r>
        <w:rPr>
          <w:rFonts w:cs="宋体"/>
          <w:szCs w:val="21"/>
        </w:rPr>
        <w:t>用健康的植物组织作阴性对照</w:t>
      </w:r>
      <w:r>
        <w:rPr>
          <w:rFonts w:cs="宋体"/>
          <w:szCs w:val="21"/>
          <w:lang w:eastAsia="zh-CN"/>
        </w:rPr>
        <w:t>，</w:t>
      </w:r>
      <w:r>
        <w:rPr>
          <w:rFonts w:cs="宋体"/>
          <w:szCs w:val="21"/>
        </w:rPr>
        <w:t>用纯化培养的线虫为阳性对照</w:t>
      </w:r>
      <w:r>
        <w:rPr>
          <w:rFonts w:cs="宋体"/>
          <w:szCs w:val="21"/>
          <w:lang w:eastAsia="zh-CN"/>
        </w:rPr>
        <w:t>，</w:t>
      </w:r>
      <w:r>
        <w:rPr>
          <w:rFonts w:cs="宋体"/>
          <w:szCs w:val="21"/>
        </w:rPr>
        <w:t>用 ddH</w:t>
      </w:r>
      <w:r>
        <w:rPr>
          <w:rFonts w:cs="宋体"/>
          <w:szCs w:val="21"/>
          <w:vertAlign w:val="subscript"/>
        </w:rPr>
        <w:t>2</w:t>
      </w:r>
      <w:r>
        <w:rPr>
          <w:rFonts w:cs="宋体"/>
          <w:szCs w:val="21"/>
        </w:rPr>
        <w:t>0 作空白对照。</w:t>
      </w:r>
    </w:p>
    <w:p w14:paraId="1B52050A">
      <w:pPr>
        <w:pStyle w:val="64"/>
        <w:numPr>
          <w:ilvl w:val="3"/>
          <w:numId w:val="2"/>
        </w:numPr>
        <w:spacing w:before="156" w:after="156"/>
        <w:outlineLvl w:val="3"/>
      </w:pPr>
      <w:bookmarkStart w:id="238" w:name="_Tocadaee911-5561-4725-8751-a07b82a1931d"/>
      <w:bookmarkStart w:id="239" w:name="_Toc17906"/>
      <w:bookmarkStart w:id="240" w:name="_Toc1644"/>
      <w:r>
        <w:rPr>
          <w:rFonts w:cs="黑体"/>
          <w:szCs w:val="21"/>
        </w:rPr>
        <w:t>琼脂糖凝胶电泳检测</w:t>
      </w:r>
      <w:bookmarkEnd w:id="238"/>
      <w:bookmarkEnd w:id="239"/>
      <w:bookmarkEnd w:id="240"/>
    </w:p>
    <w:p w14:paraId="26C4C7FD">
      <w:pPr>
        <w:pStyle w:val="60"/>
        <w:jc w:val="both"/>
        <w:rPr>
          <w:rFonts w:cs="宋体"/>
          <w:szCs w:val="21"/>
        </w:rPr>
      </w:pPr>
      <w:r>
        <w:rPr>
          <w:rFonts w:cs="宋体"/>
          <w:szCs w:val="21"/>
        </w:rPr>
        <w:t>PCR反应结束后，取5 μ</w:t>
      </w:r>
      <w:r>
        <w:rPr>
          <w:rFonts w:hint="eastAsia" w:cs="宋体"/>
          <w:szCs w:val="21"/>
          <w:lang w:val="en-US" w:eastAsia="zh-CN"/>
        </w:rPr>
        <w:t>L</w:t>
      </w:r>
      <w:r>
        <w:rPr>
          <w:rFonts w:cs="宋体"/>
          <w:szCs w:val="21"/>
        </w:rPr>
        <w:t>产物</w:t>
      </w:r>
      <w:r>
        <w:rPr>
          <w:rFonts w:cs="宋体"/>
          <w:szCs w:val="21"/>
          <w:lang w:eastAsia="zh-CN"/>
        </w:rPr>
        <w:t>进行</w:t>
      </w:r>
      <w:r>
        <w:rPr>
          <w:rFonts w:cs="宋体"/>
          <w:szCs w:val="21"/>
        </w:rPr>
        <w:t>1%</w:t>
      </w:r>
      <w:r>
        <w:rPr>
          <w:rFonts w:cs="宋体"/>
          <w:szCs w:val="21"/>
          <w:lang w:eastAsia="zh-CN"/>
        </w:rPr>
        <w:t>（</w:t>
      </w:r>
      <w:r>
        <w:rPr>
          <w:rFonts w:cs="宋体"/>
          <w:szCs w:val="21"/>
        </w:rPr>
        <w:t>W/V</w:t>
      </w:r>
      <w:r>
        <w:rPr>
          <w:rFonts w:cs="宋体"/>
          <w:szCs w:val="21"/>
          <w:lang w:eastAsia="zh-CN"/>
        </w:rPr>
        <w:t>）</w:t>
      </w:r>
      <w:r>
        <w:rPr>
          <w:rFonts w:cs="宋体"/>
          <w:szCs w:val="21"/>
        </w:rPr>
        <w:t>的琼脂糖凝胶电泳检测。进行观察、拍照和记录，若出现271bp的特异性片段说明有香蕉穿孔线虫的存在。</w:t>
      </w:r>
    </w:p>
    <w:p w14:paraId="4115526A">
      <w:pPr>
        <w:pStyle w:val="64"/>
        <w:numPr>
          <w:ilvl w:val="1"/>
          <w:numId w:val="2"/>
        </w:numPr>
        <w:spacing w:before="156" w:after="156"/>
        <w:outlineLvl w:val="1"/>
        <w:rPr>
          <w:rFonts w:hint="eastAsia" w:cs="黑体"/>
          <w:szCs w:val="21"/>
          <w:lang w:val="en-US" w:eastAsia="zh-CN"/>
        </w:rPr>
      </w:pPr>
      <w:bookmarkStart w:id="241" w:name="_Toc21522"/>
      <w:bookmarkStart w:id="242" w:name="_Toc12362"/>
      <w:bookmarkStart w:id="243" w:name="_Toc13165"/>
      <w:r>
        <w:rPr>
          <w:rFonts w:hint="eastAsia" w:cs="黑体"/>
          <w:szCs w:val="21"/>
          <w:lang w:val="en-US" w:eastAsia="zh-CN"/>
        </w:rPr>
        <w:t>不合格材料处置</w:t>
      </w:r>
      <w:bookmarkEnd w:id="241"/>
      <w:bookmarkEnd w:id="242"/>
      <w:bookmarkEnd w:id="243"/>
    </w:p>
    <w:p w14:paraId="429023AA">
      <w:pPr>
        <w:pStyle w:val="60"/>
        <w:jc w:val="both"/>
        <w:rPr>
          <w:rFonts w:hint="default" w:eastAsia="宋体" w:cs="宋体"/>
          <w:szCs w:val="21"/>
          <w:lang w:val="en-US" w:eastAsia="zh-CN"/>
        </w:rPr>
      </w:pPr>
      <w:r>
        <w:rPr>
          <w:rFonts w:hint="eastAsia" w:cs="宋体"/>
          <w:szCs w:val="21"/>
          <w:lang w:val="en-US" w:eastAsia="zh-CN"/>
        </w:rPr>
        <w:t>通过检测合格的材料进行保存，处理后仍达不到保存条件的，视材料质量可进行再次的无害化处理，若材料已无法使用，按7.2.1.5 残余物的处理方式处理。</w:t>
      </w:r>
    </w:p>
    <w:p w14:paraId="3EEF23DC">
      <w:pPr>
        <w:pStyle w:val="62"/>
        <w:numPr>
          <w:ilvl w:val="0"/>
          <w:numId w:val="2"/>
        </w:numPr>
        <w:spacing w:before="312" w:after="312"/>
        <w:outlineLvl w:val="0"/>
      </w:pPr>
      <w:bookmarkStart w:id="244" w:name="_Toc27978"/>
      <w:bookmarkStart w:id="245" w:name="_Toc20206"/>
      <w:bookmarkStart w:id="246" w:name="_Toc32043"/>
      <w:r>
        <w:rPr>
          <w:rFonts w:cs="黑体"/>
          <w:szCs w:val="21"/>
        </w:rPr>
        <w:t>保存</w:t>
      </w:r>
      <w:bookmarkEnd w:id="244"/>
      <w:bookmarkEnd w:id="245"/>
      <w:bookmarkEnd w:id="246"/>
    </w:p>
    <w:p w14:paraId="42AEE169">
      <w:pPr>
        <w:pStyle w:val="60"/>
        <w:tabs>
          <w:tab w:val="left" w:pos="567"/>
          <w:tab w:val="left" w:pos="993"/>
        </w:tabs>
        <w:jc w:val="both"/>
      </w:pPr>
      <w:r>
        <w:t>用于保存的材料全部为经过检测不带有真菌、细菌、病毒、线虫等的试管苗。</w:t>
      </w:r>
    </w:p>
    <w:p w14:paraId="5D77564D">
      <w:pPr>
        <w:pStyle w:val="64"/>
        <w:numPr>
          <w:ilvl w:val="1"/>
          <w:numId w:val="2"/>
        </w:numPr>
        <w:spacing w:before="156" w:after="156"/>
        <w:outlineLvl w:val="1"/>
        <w:rPr>
          <w:rFonts w:hint="eastAsia" w:ascii="黑体" w:hAnsi="黑体" w:eastAsia="黑体" w:cs="黑体"/>
          <w:szCs w:val="21"/>
        </w:rPr>
      </w:pPr>
      <w:bookmarkStart w:id="247" w:name="_Toc5733"/>
      <w:bookmarkStart w:id="248" w:name="_Toc9106"/>
      <w:bookmarkStart w:id="249" w:name="_Toc5282"/>
      <w:r>
        <w:rPr>
          <w:rFonts w:hint="eastAsia" w:cs="黑体"/>
          <w:szCs w:val="21"/>
          <w:lang w:val="en-US" w:eastAsia="zh-CN"/>
        </w:rPr>
        <w:t>常温</w:t>
      </w:r>
      <w:r>
        <w:rPr>
          <w:rFonts w:cs="黑体"/>
          <w:szCs w:val="21"/>
        </w:rPr>
        <w:t>保存</w:t>
      </w:r>
      <w:bookmarkEnd w:id="247"/>
      <w:bookmarkEnd w:id="248"/>
      <w:bookmarkEnd w:id="249"/>
    </w:p>
    <w:p w14:paraId="6B737B48">
      <w:pPr>
        <w:pStyle w:val="64"/>
        <w:numPr>
          <w:ilvl w:val="2"/>
          <w:numId w:val="2"/>
        </w:numPr>
        <w:spacing w:before="156" w:after="156"/>
        <w:outlineLvl w:val="2"/>
        <w:rPr>
          <w:rFonts w:hint="eastAsia" w:ascii="宋体" w:hAnsi="宋体" w:eastAsia="宋体" w:cs="宋体"/>
          <w:szCs w:val="21"/>
        </w:rPr>
      </w:pPr>
      <w:bookmarkStart w:id="250" w:name="_Toc15257"/>
      <w:bookmarkStart w:id="251" w:name="_Toc15925"/>
      <w:r>
        <w:rPr>
          <w:rFonts w:cs="黑体"/>
          <w:szCs w:val="21"/>
        </w:rPr>
        <w:t>保存</w:t>
      </w:r>
      <w:r>
        <w:rPr>
          <w:rFonts w:hint="eastAsia" w:cs="黑体"/>
          <w:szCs w:val="21"/>
          <w:lang w:val="en-US" w:eastAsia="zh-CN"/>
        </w:rPr>
        <w:t>材料</w:t>
      </w:r>
      <w:bookmarkEnd w:id="250"/>
      <w:bookmarkEnd w:id="251"/>
    </w:p>
    <w:p w14:paraId="04CC9668">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color w:val="auto"/>
          <w:kern w:val="0"/>
          <w:sz w:val="21"/>
          <w:szCs w:val="21"/>
          <w:lang w:val="en-US" w:eastAsia="zh-CN" w:bidi="ar-SA"/>
        </w:rPr>
        <w:t>选择符合4.1、4.2和4.3的种质材料并按4.4详细登记，经表面消毒后在无菌条件下切取大小约0.5 cm的生长点组织，按照常规组织培养方法进行外植体诱导、增殖（继代）培养，繁殖出的试管苗用作香蕉离体保存的材料。</w:t>
      </w:r>
    </w:p>
    <w:p w14:paraId="4F8BD848">
      <w:pPr>
        <w:pStyle w:val="64"/>
        <w:numPr>
          <w:ilvl w:val="2"/>
          <w:numId w:val="2"/>
        </w:numPr>
        <w:spacing w:before="156" w:after="156"/>
        <w:outlineLvl w:val="2"/>
        <w:rPr>
          <w:rFonts w:hint="eastAsia" w:ascii="黑体" w:hAnsi="黑体" w:eastAsia="黑体" w:cs="黑体"/>
          <w:szCs w:val="21"/>
        </w:rPr>
      </w:pPr>
      <w:bookmarkStart w:id="252" w:name="_Toc21263"/>
      <w:bookmarkStart w:id="253" w:name="_Toc19887"/>
      <w:r>
        <w:rPr>
          <w:rFonts w:cs="黑体"/>
          <w:szCs w:val="21"/>
        </w:rPr>
        <w:t>保存</w:t>
      </w:r>
      <w:r>
        <w:rPr>
          <w:rFonts w:hint="eastAsia" w:cs="黑体"/>
          <w:szCs w:val="21"/>
          <w:lang w:val="en-US" w:eastAsia="zh-CN"/>
        </w:rPr>
        <w:t>容器</w:t>
      </w:r>
      <w:bookmarkEnd w:id="252"/>
      <w:bookmarkEnd w:id="253"/>
    </w:p>
    <w:p w14:paraId="3459B402">
      <w:pPr>
        <w:spacing w:line="360" w:lineRule="atLeast"/>
        <w:ind w:firstLine="420"/>
        <w:rPr>
          <w:rFonts w:hint="eastAsia" w:ascii="宋体" w:hAnsi="宋体" w:eastAsia="宋体" w:cs="宋体"/>
          <w:color w:val="000000"/>
        </w:rPr>
      </w:pPr>
      <w:r>
        <w:rPr>
          <w:rFonts w:hint="eastAsia" w:ascii="宋体" w:hAnsi="宋体" w:eastAsia="宋体" w:cs="宋体"/>
          <w:color w:val="000000"/>
        </w:rPr>
        <w:t>采用规格为18 mm～25 mm×160 mm～180 mm的试管，用内置硅胶圈的密封塑料盖封口，用标签写明种质编号。</w:t>
      </w:r>
    </w:p>
    <w:p w14:paraId="3AA97234">
      <w:pPr>
        <w:pStyle w:val="64"/>
        <w:numPr>
          <w:ilvl w:val="2"/>
          <w:numId w:val="2"/>
        </w:numPr>
        <w:spacing w:before="156" w:after="156"/>
        <w:outlineLvl w:val="2"/>
        <w:rPr>
          <w:rFonts w:hint="eastAsia" w:ascii="宋体" w:hAnsi="宋体" w:eastAsia="宋体" w:cs="宋体"/>
          <w:szCs w:val="21"/>
        </w:rPr>
      </w:pPr>
      <w:bookmarkStart w:id="254" w:name="_Toc20111"/>
      <w:bookmarkStart w:id="255" w:name="_Toc29933"/>
      <w:r>
        <w:rPr>
          <w:rFonts w:cs="黑体"/>
          <w:szCs w:val="21"/>
        </w:rPr>
        <w:t>保存</w:t>
      </w:r>
      <w:r>
        <w:rPr>
          <w:rFonts w:hint="eastAsia" w:cs="黑体"/>
          <w:szCs w:val="21"/>
          <w:lang w:val="en-US" w:eastAsia="zh-CN"/>
        </w:rPr>
        <w:t>条件</w:t>
      </w:r>
      <w:bookmarkEnd w:id="254"/>
      <w:bookmarkEnd w:id="255"/>
    </w:p>
    <w:p w14:paraId="7D731BF0">
      <w:pPr>
        <w:pStyle w:val="41"/>
        <w:tabs>
          <w:tab w:val="left" w:pos="426"/>
        </w:tabs>
        <w:spacing w:line="360" w:lineRule="atLeast"/>
        <w:rPr>
          <w:rFonts w:hint="eastAsia" w:ascii="宋体" w:hAnsi="宋体" w:eastAsia="宋体" w:cs="宋体"/>
          <w:color w:val="000000"/>
        </w:rPr>
      </w:pPr>
      <w:r>
        <w:rPr>
          <w:rFonts w:hint="eastAsia" w:ascii="宋体" w:hAnsi="宋体" w:eastAsia="宋体" w:cs="宋体"/>
          <w:color w:val="000000"/>
        </w:rPr>
        <w:t>保存温度（25±2）℃，光照强度</w:t>
      </w:r>
      <w:r>
        <w:rPr>
          <w:rFonts w:hint="eastAsia" w:ascii="宋体" w:hAnsi="宋体" w:eastAsia="宋体" w:cs="宋体"/>
          <w:szCs w:val="21"/>
        </w:rPr>
        <w:t>350 lx～500 lx</w:t>
      </w:r>
      <w:r>
        <w:rPr>
          <w:rFonts w:hint="eastAsia" w:ascii="宋体" w:hAnsi="宋体" w:eastAsia="宋体" w:cs="宋体"/>
          <w:color w:val="000000"/>
        </w:rPr>
        <w:t>，光照时间8小时/天～12小时/天，培养基为：MS+蔗糖30 g/L+6-苄基腺嘌呤（6-BA）1.12 mg/L+α-萘乙酸（NAA）0.175 mg/L，pH 5.8。每管加培养基15 m</w:t>
      </w:r>
      <w:r>
        <w:rPr>
          <w:rFonts w:hint="eastAsia" w:ascii="宋体" w:hAnsi="宋体" w:eastAsia="宋体" w:cs="宋体"/>
          <w:color w:val="000000"/>
          <w:lang w:val="en-US" w:eastAsia="zh-CN"/>
        </w:rPr>
        <w:t>L</w:t>
      </w:r>
      <w:r>
        <w:rPr>
          <w:rFonts w:hint="eastAsia" w:ascii="宋体" w:hAnsi="宋体" w:eastAsia="宋体" w:cs="宋体"/>
          <w:color w:val="000000"/>
        </w:rPr>
        <w:t>～20 m</w:t>
      </w:r>
      <w:r>
        <w:rPr>
          <w:rFonts w:hint="eastAsia" w:ascii="宋体" w:hAnsi="宋体" w:eastAsia="宋体" w:cs="宋体"/>
          <w:color w:val="000000"/>
          <w:lang w:val="en-US" w:eastAsia="zh-CN"/>
        </w:rPr>
        <w:t>L</w:t>
      </w:r>
      <w:r>
        <w:rPr>
          <w:rFonts w:hint="eastAsia" w:ascii="宋体" w:hAnsi="宋体" w:eastAsia="宋体" w:cs="宋体"/>
          <w:color w:val="000000"/>
        </w:rPr>
        <w:t>。</w:t>
      </w:r>
    </w:p>
    <w:p w14:paraId="35811819">
      <w:pPr>
        <w:pStyle w:val="64"/>
        <w:numPr>
          <w:ilvl w:val="2"/>
          <w:numId w:val="2"/>
        </w:numPr>
        <w:spacing w:before="156" w:after="156"/>
        <w:outlineLvl w:val="2"/>
        <w:rPr>
          <w:rFonts w:hint="eastAsia" w:ascii="宋体" w:hAnsi="宋体" w:eastAsia="宋体" w:cs="宋体"/>
          <w:szCs w:val="21"/>
        </w:rPr>
      </w:pPr>
      <w:bookmarkStart w:id="256" w:name="_Toc20753"/>
      <w:bookmarkStart w:id="257" w:name="_Toc20316"/>
      <w:r>
        <w:rPr>
          <w:rFonts w:cs="黑体"/>
          <w:szCs w:val="21"/>
        </w:rPr>
        <w:t>保存</w:t>
      </w:r>
      <w:r>
        <w:rPr>
          <w:rFonts w:hint="eastAsia" w:cs="黑体"/>
          <w:szCs w:val="21"/>
          <w:lang w:val="en-US" w:eastAsia="zh-CN"/>
        </w:rPr>
        <w:t>数量</w:t>
      </w:r>
      <w:bookmarkEnd w:id="256"/>
      <w:bookmarkEnd w:id="257"/>
    </w:p>
    <w:p w14:paraId="145B6F49">
      <w:pPr>
        <w:pStyle w:val="41"/>
        <w:tabs>
          <w:tab w:val="left" w:pos="426"/>
        </w:tabs>
        <w:spacing w:line="360" w:lineRule="atLeast"/>
        <w:rPr>
          <w:rFonts w:hint="eastAsia" w:ascii="宋体" w:hAnsi="宋体" w:eastAsia="宋体" w:cs="宋体"/>
          <w:color w:val="000000"/>
        </w:rPr>
      </w:pPr>
      <w:r>
        <w:rPr>
          <w:rFonts w:hint="eastAsia" w:ascii="宋体" w:hAnsi="宋体" w:eastAsia="宋体" w:cs="宋体"/>
          <w:color w:val="000000"/>
        </w:rPr>
        <w:t>每份种质保存10管以上，每管1个丛芽。</w:t>
      </w:r>
    </w:p>
    <w:p w14:paraId="2DFB8AF7">
      <w:pPr>
        <w:pStyle w:val="64"/>
        <w:numPr>
          <w:ilvl w:val="2"/>
          <w:numId w:val="2"/>
        </w:numPr>
        <w:spacing w:before="156" w:after="156"/>
        <w:outlineLvl w:val="2"/>
        <w:rPr>
          <w:rFonts w:hint="eastAsia" w:ascii="黑体" w:hAnsi="黑体" w:eastAsia="黑体" w:cs="黑体"/>
          <w:szCs w:val="21"/>
        </w:rPr>
      </w:pPr>
      <w:bookmarkStart w:id="258" w:name="_Toc21894"/>
      <w:bookmarkStart w:id="259" w:name="_Toc16627"/>
      <w:r>
        <w:rPr>
          <w:rFonts w:hint="eastAsia" w:cs="黑体"/>
          <w:szCs w:val="21"/>
          <w:lang w:val="en-US" w:eastAsia="zh-CN"/>
        </w:rPr>
        <w:t>继代时间</w:t>
      </w:r>
      <w:bookmarkEnd w:id="258"/>
      <w:bookmarkEnd w:id="259"/>
    </w:p>
    <w:p w14:paraId="286227BC">
      <w:pPr>
        <w:pStyle w:val="41"/>
        <w:tabs>
          <w:tab w:val="left" w:pos="426"/>
        </w:tabs>
        <w:spacing w:line="360" w:lineRule="atLeast"/>
        <w:rPr>
          <w:rFonts w:hint="eastAsia" w:ascii="宋体" w:hAnsi="宋体" w:eastAsia="宋体" w:cs="宋体"/>
          <w:color w:val="000000"/>
        </w:rPr>
      </w:pPr>
      <w:r>
        <w:rPr>
          <w:rFonts w:hint="eastAsia" w:ascii="宋体" w:hAnsi="宋体" w:eastAsia="宋体" w:cs="宋体"/>
          <w:color w:val="000000"/>
        </w:rPr>
        <w:t>每2～3个月继代1次。</w:t>
      </w:r>
    </w:p>
    <w:p w14:paraId="722D3589">
      <w:pPr>
        <w:pStyle w:val="64"/>
        <w:numPr>
          <w:ilvl w:val="1"/>
          <w:numId w:val="2"/>
        </w:numPr>
        <w:spacing w:before="156" w:after="156"/>
        <w:outlineLvl w:val="1"/>
        <w:rPr>
          <w:rFonts w:hint="eastAsia" w:ascii="黑体" w:hAnsi="黑体" w:eastAsia="黑体" w:cs="黑体"/>
          <w:szCs w:val="21"/>
        </w:rPr>
      </w:pPr>
      <w:bookmarkStart w:id="260" w:name="_Toc18376"/>
      <w:bookmarkStart w:id="261" w:name="_Toc12501"/>
      <w:bookmarkStart w:id="262" w:name="_Toc1579"/>
      <w:r>
        <w:rPr>
          <w:rFonts w:hint="eastAsia" w:cs="黑体"/>
          <w:szCs w:val="21"/>
          <w:lang w:val="en-US" w:eastAsia="zh-CN"/>
        </w:rPr>
        <w:t>低温保存</w:t>
      </w:r>
      <w:bookmarkEnd w:id="260"/>
      <w:bookmarkEnd w:id="261"/>
      <w:bookmarkEnd w:id="262"/>
    </w:p>
    <w:p w14:paraId="53C6746C">
      <w:pPr>
        <w:pStyle w:val="64"/>
        <w:numPr>
          <w:ilvl w:val="2"/>
          <w:numId w:val="2"/>
        </w:numPr>
        <w:spacing w:before="156" w:after="156"/>
        <w:outlineLvl w:val="2"/>
        <w:rPr>
          <w:rFonts w:hint="eastAsia" w:ascii="宋体" w:hAnsi="宋体" w:eastAsia="宋体" w:cs="宋体"/>
          <w:szCs w:val="21"/>
        </w:rPr>
      </w:pPr>
      <w:bookmarkStart w:id="263" w:name="_Toc2797"/>
      <w:r>
        <w:rPr>
          <w:rFonts w:cs="黑体"/>
          <w:szCs w:val="21"/>
        </w:rPr>
        <w:t>保存</w:t>
      </w:r>
      <w:r>
        <w:rPr>
          <w:rFonts w:hint="eastAsia" w:cs="黑体"/>
          <w:szCs w:val="21"/>
          <w:lang w:val="en-US" w:eastAsia="zh-CN"/>
        </w:rPr>
        <w:t>材料</w:t>
      </w:r>
      <w:bookmarkEnd w:id="263"/>
    </w:p>
    <w:p w14:paraId="374098DA">
      <w:pPr>
        <w:ind w:firstLine="420"/>
        <w:rPr>
          <w:rFonts w:hint="eastAsia" w:ascii="宋体" w:hAnsi="宋体" w:eastAsia="宋体" w:cs="宋体"/>
        </w:rPr>
      </w:pPr>
      <w:r>
        <w:rPr>
          <w:rFonts w:hint="eastAsia" w:ascii="宋体" w:hAnsi="宋体" w:eastAsia="宋体" w:cs="宋体"/>
          <w:color w:val="000000"/>
        </w:rPr>
        <w:t>同</w:t>
      </w:r>
      <w:r>
        <w:rPr>
          <w:rFonts w:hint="eastAsia" w:ascii="宋体" w:hAnsi="宋体" w:eastAsia="宋体" w:cs="宋体"/>
          <w:color w:val="000000"/>
          <w:lang w:val="en-US" w:eastAsia="zh-CN"/>
        </w:rPr>
        <w:t>10</w:t>
      </w:r>
      <w:r>
        <w:rPr>
          <w:rFonts w:hint="eastAsia" w:ascii="宋体" w:hAnsi="宋体" w:eastAsia="宋体" w:cs="宋体"/>
          <w:color w:val="000000"/>
        </w:rPr>
        <w:t>.1.1。</w:t>
      </w:r>
    </w:p>
    <w:p w14:paraId="21073E86">
      <w:pPr>
        <w:pStyle w:val="64"/>
        <w:numPr>
          <w:ilvl w:val="2"/>
          <w:numId w:val="2"/>
        </w:numPr>
        <w:spacing w:before="156" w:after="156"/>
        <w:outlineLvl w:val="2"/>
        <w:rPr>
          <w:rFonts w:hint="eastAsia" w:ascii="宋体" w:hAnsi="宋体" w:eastAsia="宋体" w:cs="宋体"/>
          <w:szCs w:val="21"/>
        </w:rPr>
      </w:pPr>
      <w:bookmarkStart w:id="264" w:name="_Toc22602"/>
      <w:r>
        <w:rPr>
          <w:rFonts w:cs="黑体"/>
          <w:szCs w:val="21"/>
        </w:rPr>
        <w:t>保存</w:t>
      </w:r>
      <w:r>
        <w:rPr>
          <w:rFonts w:hint="eastAsia" w:cs="黑体"/>
          <w:szCs w:val="21"/>
          <w:lang w:val="en-US" w:eastAsia="zh-CN"/>
        </w:rPr>
        <w:t>容器</w:t>
      </w:r>
      <w:bookmarkEnd w:id="264"/>
    </w:p>
    <w:p w14:paraId="324BA927">
      <w:pPr>
        <w:pStyle w:val="72"/>
        <w:ind w:left="210" w:firstLine="210"/>
        <w:rPr>
          <w:rFonts w:hint="eastAsia" w:ascii="宋体" w:hAnsi="宋体" w:eastAsia="宋体" w:cs="宋体"/>
          <w:color w:val="000000"/>
        </w:rPr>
      </w:pPr>
      <w:r>
        <w:rPr>
          <w:rFonts w:hint="eastAsia" w:ascii="宋体" w:hAnsi="宋体" w:eastAsia="宋体" w:cs="宋体"/>
          <w:color w:val="000000"/>
        </w:rPr>
        <w:t>同</w:t>
      </w:r>
      <w:r>
        <w:rPr>
          <w:rFonts w:hint="eastAsia" w:cs="宋体"/>
          <w:color w:val="000000"/>
          <w:lang w:val="en-US" w:eastAsia="zh-CN"/>
        </w:rPr>
        <w:t>10</w:t>
      </w:r>
      <w:r>
        <w:rPr>
          <w:rFonts w:hint="eastAsia" w:ascii="宋体" w:hAnsi="宋体" w:eastAsia="宋体" w:cs="宋体"/>
          <w:color w:val="000000"/>
        </w:rPr>
        <w:t>.1.2。</w:t>
      </w:r>
    </w:p>
    <w:p w14:paraId="16D555D6">
      <w:pPr>
        <w:pStyle w:val="64"/>
        <w:numPr>
          <w:ilvl w:val="2"/>
          <w:numId w:val="2"/>
        </w:numPr>
        <w:spacing w:before="156" w:after="156"/>
        <w:outlineLvl w:val="2"/>
        <w:rPr>
          <w:rFonts w:hint="eastAsia" w:ascii="宋体" w:hAnsi="宋体" w:eastAsia="宋体" w:cs="宋体"/>
          <w:szCs w:val="21"/>
        </w:rPr>
      </w:pPr>
      <w:bookmarkStart w:id="265" w:name="_Toc15927"/>
      <w:r>
        <w:rPr>
          <w:rFonts w:cs="黑体"/>
          <w:szCs w:val="21"/>
        </w:rPr>
        <w:t>保存</w:t>
      </w:r>
      <w:r>
        <w:rPr>
          <w:rFonts w:hint="eastAsia" w:cs="黑体"/>
          <w:szCs w:val="21"/>
          <w:lang w:val="en-US" w:eastAsia="zh-CN"/>
        </w:rPr>
        <w:t>条件</w:t>
      </w:r>
      <w:bookmarkEnd w:id="265"/>
    </w:p>
    <w:p w14:paraId="513BD98B">
      <w:pPr>
        <w:spacing w:line="360" w:lineRule="atLeast"/>
        <w:ind w:firstLine="420"/>
        <w:rPr>
          <w:rFonts w:hint="eastAsia" w:ascii="宋体" w:hAnsi="宋体" w:eastAsia="宋体" w:cs="宋体"/>
          <w:color w:val="000000"/>
        </w:rPr>
      </w:pPr>
      <w:r>
        <w:rPr>
          <w:rFonts w:hint="eastAsia" w:ascii="宋体" w:hAnsi="宋体" w:eastAsia="宋体" w:cs="宋体"/>
          <w:color w:val="000000"/>
        </w:rPr>
        <w:t>保存温度（16±1）℃，光照强度30</w:t>
      </w:r>
      <w:r>
        <w:rPr>
          <w:rFonts w:hint="eastAsia" w:ascii="宋体" w:hAnsi="宋体" w:eastAsia="宋体" w:cs="宋体"/>
          <w:szCs w:val="21"/>
        </w:rPr>
        <w:t>0 lx～350 lx</w:t>
      </w:r>
      <w:r>
        <w:rPr>
          <w:rFonts w:hint="eastAsia" w:ascii="宋体" w:hAnsi="宋体" w:eastAsia="宋体" w:cs="宋体"/>
          <w:color w:val="000000"/>
        </w:rPr>
        <w:t>，光照时间12小时/天，培养基为：MS+蔗糖50 g/L+6-苄基腺嘌呤（6-BA）1 mg/L+吲哚乙酸（IAA）0.1 mg/L，pH 5.8。每管加培养基15 m</w:t>
      </w:r>
      <w:r>
        <w:rPr>
          <w:rFonts w:hint="eastAsia" w:ascii="宋体" w:hAnsi="宋体" w:eastAsia="宋体" w:cs="宋体"/>
          <w:color w:val="000000"/>
          <w:lang w:val="en-US" w:eastAsia="zh-CN"/>
        </w:rPr>
        <w:t>L</w:t>
      </w:r>
      <w:r>
        <w:rPr>
          <w:rFonts w:hint="eastAsia" w:ascii="宋体" w:hAnsi="宋体" w:eastAsia="宋体" w:cs="宋体"/>
          <w:color w:val="000000"/>
        </w:rPr>
        <w:t>～20 m</w:t>
      </w:r>
      <w:r>
        <w:rPr>
          <w:rFonts w:hint="eastAsia" w:ascii="宋体" w:hAnsi="宋体" w:eastAsia="宋体" w:cs="宋体"/>
          <w:color w:val="000000"/>
          <w:lang w:val="en-US" w:eastAsia="zh-CN"/>
        </w:rPr>
        <w:t>L</w:t>
      </w:r>
      <w:r>
        <w:rPr>
          <w:rFonts w:hint="eastAsia" w:ascii="宋体" w:hAnsi="宋体" w:eastAsia="宋体" w:cs="宋体"/>
          <w:color w:val="000000"/>
        </w:rPr>
        <w:t>。</w:t>
      </w:r>
    </w:p>
    <w:p w14:paraId="67AC0D2E">
      <w:pPr>
        <w:pStyle w:val="64"/>
        <w:numPr>
          <w:ilvl w:val="2"/>
          <w:numId w:val="2"/>
        </w:numPr>
        <w:spacing w:before="156" w:after="156"/>
        <w:outlineLvl w:val="2"/>
        <w:rPr>
          <w:rFonts w:hint="eastAsia" w:ascii="宋体" w:hAnsi="宋体" w:eastAsia="宋体" w:cs="宋体"/>
          <w:szCs w:val="21"/>
        </w:rPr>
      </w:pPr>
      <w:bookmarkStart w:id="266" w:name="_Toc16274"/>
      <w:r>
        <w:rPr>
          <w:rFonts w:cs="黑体"/>
          <w:szCs w:val="21"/>
        </w:rPr>
        <w:t>保存</w:t>
      </w:r>
      <w:r>
        <w:rPr>
          <w:rFonts w:hint="eastAsia" w:cs="黑体"/>
          <w:szCs w:val="21"/>
          <w:lang w:val="en-US" w:eastAsia="zh-CN"/>
        </w:rPr>
        <w:t>数量</w:t>
      </w:r>
      <w:bookmarkEnd w:id="266"/>
    </w:p>
    <w:p w14:paraId="61BDFB0F">
      <w:pPr>
        <w:pStyle w:val="41"/>
        <w:tabs>
          <w:tab w:val="left" w:pos="426"/>
        </w:tabs>
        <w:spacing w:line="360" w:lineRule="atLeast"/>
        <w:rPr>
          <w:rFonts w:hint="eastAsia" w:ascii="宋体" w:hAnsi="宋体" w:eastAsia="宋体" w:cs="宋体"/>
          <w:color w:val="000000"/>
        </w:rPr>
      </w:pPr>
      <w:r>
        <w:rPr>
          <w:rFonts w:hint="eastAsia" w:ascii="宋体" w:hAnsi="宋体" w:eastAsia="宋体" w:cs="宋体"/>
          <w:color w:val="000000"/>
        </w:rPr>
        <w:t>每份种质保存10管以上，每管1个丛芽。</w:t>
      </w:r>
    </w:p>
    <w:p w14:paraId="62E57AAB">
      <w:pPr>
        <w:pStyle w:val="64"/>
        <w:numPr>
          <w:ilvl w:val="2"/>
          <w:numId w:val="2"/>
        </w:numPr>
        <w:spacing w:before="156" w:after="156"/>
        <w:outlineLvl w:val="2"/>
        <w:rPr>
          <w:rFonts w:hint="eastAsia" w:ascii="宋体" w:hAnsi="宋体" w:eastAsia="宋体" w:cs="宋体"/>
          <w:szCs w:val="21"/>
        </w:rPr>
      </w:pPr>
      <w:bookmarkStart w:id="267" w:name="_Toc2707"/>
      <w:r>
        <w:rPr>
          <w:rFonts w:hint="eastAsia" w:cs="黑体"/>
          <w:szCs w:val="21"/>
          <w:lang w:val="en-US" w:eastAsia="zh-CN"/>
        </w:rPr>
        <w:t>继代时间</w:t>
      </w:r>
      <w:bookmarkEnd w:id="267"/>
    </w:p>
    <w:p w14:paraId="2B0612F1">
      <w:pPr>
        <w:spacing w:line="360" w:lineRule="atLeast"/>
        <w:ind w:firstLine="420"/>
        <w:rPr>
          <w:rFonts w:hint="eastAsia" w:ascii="宋体" w:hAnsi="宋体" w:eastAsia="宋体" w:cs="宋体"/>
          <w:color w:val="000000"/>
        </w:rPr>
      </w:pPr>
      <w:r>
        <w:rPr>
          <w:rFonts w:hint="eastAsia" w:ascii="宋体" w:hAnsi="宋体" w:eastAsia="宋体" w:cs="宋体"/>
          <w:color w:val="000000"/>
        </w:rPr>
        <w:t>每12～15个月继代1次。</w:t>
      </w:r>
    </w:p>
    <w:p w14:paraId="5EDF3768">
      <w:pPr>
        <w:pStyle w:val="64"/>
        <w:numPr>
          <w:ilvl w:val="1"/>
          <w:numId w:val="2"/>
        </w:numPr>
        <w:spacing w:before="156" w:after="156"/>
        <w:outlineLvl w:val="1"/>
        <w:rPr>
          <w:rFonts w:hint="eastAsia" w:ascii="宋体" w:hAnsi="宋体" w:eastAsia="宋体" w:cs="宋体"/>
          <w:szCs w:val="21"/>
        </w:rPr>
      </w:pPr>
      <w:bookmarkStart w:id="268" w:name="_Toc17161"/>
      <w:r>
        <w:rPr>
          <w:rFonts w:hint="eastAsia" w:cs="黑体"/>
          <w:szCs w:val="21"/>
          <w:lang w:val="en-US" w:eastAsia="zh-CN"/>
        </w:rPr>
        <w:t>超低温保存</w:t>
      </w:r>
      <w:bookmarkEnd w:id="268"/>
    </w:p>
    <w:p w14:paraId="64FD2401">
      <w:pPr>
        <w:pStyle w:val="64"/>
        <w:numPr>
          <w:ilvl w:val="2"/>
          <w:numId w:val="2"/>
        </w:numPr>
        <w:spacing w:before="156" w:after="156"/>
        <w:outlineLvl w:val="2"/>
        <w:rPr>
          <w:rFonts w:hint="eastAsia" w:ascii="宋体" w:hAnsi="宋体" w:eastAsia="宋体" w:cs="宋体"/>
          <w:szCs w:val="21"/>
        </w:rPr>
      </w:pPr>
      <w:bookmarkStart w:id="269" w:name="_Toc29818"/>
      <w:r>
        <w:rPr>
          <w:rFonts w:cs="黑体"/>
          <w:szCs w:val="21"/>
        </w:rPr>
        <w:t>保存</w:t>
      </w:r>
      <w:r>
        <w:rPr>
          <w:rFonts w:hint="eastAsia" w:cs="黑体"/>
          <w:szCs w:val="21"/>
          <w:lang w:val="en-US" w:eastAsia="zh-CN"/>
        </w:rPr>
        <w:t>材料</w:t>
      </w:r>
      <w:bookmarkEnd w:id="269"/>
    </w:p>
    <w:p w14:paraId="7B19B064">
      <w:pPr>
        <w:pStyle w:val="72"/>
        <w:spacing w:before="156" w:after="156"/>
        <w:ind w:firstLine="420"/>
        <w:rPr>
          <w:rFonts w:hint="eastAsia" w:ascii="宋体" w:hAnsi="宋体" w:eastAsia="宋体" w:cs="宋体"/>
          <w:color w:val="000000"/>
        </w:rPr>
      </w:pPr>
      <w:r>
        <w:rPr>
          <w:rFonts w:hint="eastAsia" w:ascii="宋体" w:hAnsi="宋体" w:eastAsia="宋体" w:cs="宋体"/>
          <w:color w:val="000000"/>
        </w:rPr>
        <w:t>选择符合MY/T 357 规定的一级标准的组培生根苗作为超低温保存的材料。</w:t>
      </w:r>
    </w:p>
    <w:p w14:paraId="5C03E0AA">
      <w:pPr>
        <w:pStyle w:val="64"/>
        <w:numPr>
          <w:ilvl w:val="2"/>
          <w:numId w:val="2"/>
        </w:numPr>
        <w:spacing w:before="156" w:after="156"/>
        <w:outlineLvl w:val="2"/>
        <w:rPr>
          <w:rFonts w:hint="eastAsia" w:ascii="宋体" w:hAnsi="宋体" w:eastAsia="宋体" w:cs="宋体"/>
          <w:szCs w:val="21"/>
        </w:rPr>
      </w:pPr>
      <w:bookmarkStart w:id="270" w:name="_Toc13550"/>
      <w:r>
        <w:rPr>
          <w:rFonts w:cs="黑体"/>
          <w:szCs w:val="21"/>
        </w:rPr>
        <w:t>保存</w:t>
      </w:r>
      <w:r>
        <w:rPr>
          <w:rFonts w:hint="eastAsia" w:cs="黑体"/>
          <w:szCs w:val="21"/>
          <w:lang w:val="en-US" w:eastAsia="zh-CN"/>
        </w:rPr>
        <w:t>数量</w:t>
      </w:r>
      <w:bookmarkEnd w:id="270"/>
    </w:p>
    <w:p w14:paraId="69B13EFD">
      <w:pPr>
        <w:pStyle w:val="72"/>
        <w:spacing w:before="156" w:after="156"/>
        <w:ind w:firstLine="420"/>
        <w:rPr>
          <w:rFonts w:hint="eastAsia" w:ascii="宋体" w:hAnsi="宋体" w:eastAsia="宋体" w:cs="宋体"/>
        </w:rPr>
      </w:pPr>
      <w:r>
        <w:rPr>
          <w:rFonts w:hint="eastAsia" w:ascii="宋体" w:hAnsi="宋体" w:eastAsia="宋体" w:cs="宋体"/>
        </w:rPr>
        <w:t>每份种质保存10管以上，每管5～7个茎尖。</w:t>
      </w:r>
    </w:p>
    <w:p w14:paraId="0BCBF4A0">
      <w:pPr>
        <w:pStyle w:val="64"/>
        <w:numPr>
          <w:ilvl w:val="2"/>
          <w:numId w:val="2"/>
        </w:numPr>
        <w:spacing w:before="156" w:after="156"/>
        <w:outlineLvl w:val="2"/>
        <w:rPr>
          <w:rFonts w:hint="eastAsia" w:ascii="宋体" w:hAnsi="宋体" w:eastAsia="宋体" w:cs="宋体"/>
          <w:szCs w:val="21"/>
        </w:rPr>
      </w:pPr>
      <w:bookmarkStart w:id="271" w:name="_Toc26000"/>
      <w:bookmarkStart w:id="272" w:name="_Toc31230"/>
      <w:r>
        <w:rPr>
          <w:rFonts w:hint="eastAsia" w:cs="黑体"/>
          <w:szCs w:val="21"/>
          <w:lang w:val="en-US" w:eastAsia="zh-CN"/>
        </w:rPr>
        <w:t>预培养</w:t>
      </w:r>
      <w:bookmarkEnd w:id="271"/>
      <w:bookmarkEnd w:id="272"/>
    </w:p>
    <w:p w14:paraId="54E64CE7">
      <w:pPr>
        <w:spacing w:line="360" w:lineRule="atLeast"/>
        <w:ind w:firstLine="420"/>
        <w:rPr>
          <w:rFonts w:hint="eastAsia" w:ascii="宋体" w:hAnsi="宋体" w:eastAsia="宋体" w:cs="宋体"/>
          <w:color w:val="000000"/>
        </w:rPr>
      </w:pPr>
      <w:r>
        <w:rPr>
          <w:rFonts w:hint="eastAsia" w:ascii="宋体" w:hAnsi="宋体" w:eastAsia="宋体" w:cs="宋体"/>
          <w:color w:val="000000"/>
        </w:rPr>
        <w:t>将9.3.1的试管苗在MS+30 g/L蔗糖的固体培养基上预培养，培养条件为温度（25±2）℃，光照时间16小时/天，光照强度60</w:t>
      </w:r>
      <w:r>
        <w:rPr>
          <w:rFonts w:hint="eastAsia" w:ascii="宋体" w:hAnsi="宋体" w:eastAsia="宋体" w:cs="宋体"/>
          <w:szCs w:val="21"/>
        </w:rPr>
        <w:t>0 lx～800 lx</w:t>
      </w:r>
      <w:r>
        <w:rPr>
          <w:rFonts w:hint="eastAsia" w:ascii="宋体" w:hAnsi="宋体" w:eastAsia="宋体" w:cs="宋体"/>
          <w:color w:val="000000"/>
        </w:rPr>
        <w:t>，时间为30天～45天。</w:t>
      </w:r>
    </w:p>
    <w:p w14:paraId="67460F17">
      <w:pPr>
        <w:pStyle w:val="64"/>
        <w:numPr>
          <w:ilvl w:val="2"/>
          <w:numId w:val="2"/>
        </w:numPr>
        <w:spacing w:before="156" w:after="156"/>
        <w:outlineLvl w:val="2"/>
        <w:rPr>
          <w:rFonts w:hint="eastAsia" w:ascii="宋体" w:hAnsi="宋体" w:eastAsia="宋体" w:cs="宋体"/>
          <w:szCs w:val="21"/>
        </w:rPr>
      </w:pPr>
      <w:bookmarkStart w:id="273" w:name="_Toc30745"/>
      <w:bookmarkStart w:id="274" w:name="_Toc32375"/>
      <w:r>
        <w:rPr>
          <w:rFonts w:hint="eastAsia" w:ascii="宋体" w:hAnsi="宋体" w:eastAsia="宋体" w:cs="宋体"/>
          <w:szCs w:val="21"/>
        </w:rPr>
        <w:t>分离无菌茎尖</w:t>
      </w:r>
      <w:bookmarkEnd w:id="273"/>
      <w:bookmarkEnd w:id="274"/>
    </w:p>
    <w:p w14:paraId="4E4365EE">
      <w:pPr>
        <w:rPr>
          <w:rFonts w:hint="eastAsia" w:ascii="宋体" w:hAnsi="宋体" w:eastAsia="宋体" w:cs="宋体"/>
        </w:rPr>
      </w:pPr>
      <w:r>
        <w:rPr>
          <w:rFonts w:hint="eastAsia" w:ascii="宋体" w:hAnsi="宋体" w:eastAsia="宋体" w:cs="宋体"/>
        </w:rPr>
        <w:t xml:space="preserve">    选取预培养后假茎粗为0.5 cm~0.8 cm的健康生根植株，在无菌条件下剥取0.8 mm</w:t>
      </w:r>
      <w:r>
        <w:rPr>
          <w:rFonts w:hint="eastAsia" w:ascii="宋体" w:hAnsi="宋体" w:eastAsia="宋体" w:cs="宋体"/>
          <w:lang w:eastAsia="zh-CN"/>
        </w:rPr>
        <w:t>～</w:t>
      </w:r>
      <w:r>
        <w:rPr>
          <w:rFonts w:hint="eastAsia" w:ascii="宋体" w:hAnsi="宋体" w:eastAsia="宋体" w:cs="宋体"/>
        </w:rPr>
        <w:t>1.0 mm茎尖。</w:t>
      </w:r>
    </w:p>
    <w:p w14:paraId="3BCA4DE9">
      <w:pPr>
        <w:pStyle w:val="64"/>
        <w:numPr>
          <w:ilvl w:val="2"/>
          <w:numId w:val="2"/>
        </w:numPr>
        <w:spacing w:before="156" w:after="156"/>
        <w:outlineLvl w:val="2"/>
        <w:rPr>
          <w:rFonts w:hint="eastAsia" w:ascii="黑体" w:hAnsi="黑体" w:eastAsia="黑体" w:cs="黑体"/>
          <w:szCs w:val="21"/>
        </w:rPr>
      </w:pPr>
      <w:bookmarkStart w:id="275" w:name="_Toc10878"/>
      <w:bookmarkStart w:id="276" w:name="_Toc320"/>
      <w:r>
        <w:rPr>
          <w:rFonts w:hint="eastAsia" w:cs="黑体"/>
          <w:szCs w:val="21"/>
          <w:lang w:val="en-US" w:eastAsia="zh-CN"/>
        </w:rPr>
        <w:t>装载</w:t>
      </w:r>
      <w:bookmarkEnd w:id="275"/>
      <w:bookmarkEnd w:id="276"/>
    </w:p>
    <w:p w14:paraId="1D71B152">
      <w:pPr>
        <w:pStyle w:val="41"/>
        <w:spacing w:line="360" w:lineRule="atLeast"/>
        <w:rPr>
          <w:rFonts w:hint="eastAsia" w:ascii="宋体" w:hAnsi="宋体" w:eastAsia="宋体" w:cs="宋体"/>
          <w:color w:val="000000"/>
        </w:rPr>
      </w:pPr>
      <w:r>
        <w:rPr>
          <w:rFonts w:hint="eastAsia" w:ascii="宋体" w:hAnsi="宋体" w:eastAsia="宋体" w:cs="宋体"/>
          <w:color w:val="000000"/>
        </w:rPr>
        <w:t>将无菌棉纸（1.5 cm～2 cm×1.5 cm～2 cm）放置在培养皿中，用装载液（见附录</w:t>
      </w:r>
      <w:r>
        <w:rPr>
          <w:rFonts w:hint="eastAsia" w:ascii="宋体" w:hAnsi="宋体" w:eastAsia="宋体" w:cs="宋体"/>
          <w:color w:val="000000"/>
          <w:lang w:val="en-US" w:eastAsia="zh-CN"/>
        </w:rPr>
        <w:t>F</w:t>
      </w:r>
      <w:r>
        <w:rPr>
          <w:rFonts w:hint="eastAsia" w:ascii="宋体" w:hAnsi="宋体" w:eastAsia="宋体" w:cs="宋体"/>
          <w:color w:val="000000"/>
        </w:rPr>
        <w:t>的1）湿润。将5</w:t>
      </w:r>
      <w:r>
        <w:rPr>
          <w:rFonts w:hint="eastAsia" w:ascii="宋体" w:hAnsi="宋体" w:eastAsia="宋体" w:cs="宋体"/>
          <w:color w:val="000000"/>
          <w:lang w:eastAsia="zh-CN"/>
        </w:rPr>
        <w:t>～</w:t>
      </w:r>
      <w:r>
        <w:rPr>
          <w:rFonts w:hint="eastAsia" w:ascii="宋体" w:hAnsi="宋体" w:eastAsia="宋体" w:cs="宋体"/>
          <w:color w:val="000000"/>
        </w:rPr>
        <w:t>7个茎尖包在棉纸中，迅速浸入装载液中，在22℃～25℃下暗处放置20分钟</w:t>
      </w:r>
      <w:r>
        <w:rPr>
          <w:rFonts w:hint="eastAsia" w:ascii="宋体" w:hAnsi="宋体" w:eastAsia="宋体" w:cs="宋体"/>
          <w:color w:val="000000"/>
          <w:lang w:eastAsia="zh-CN"/>
        </w:rPr>
        <w:t>～</w:t>
      </w:r>
      <w:r>
        <w:rPr>
          <w:rFonts w:hint="eastAsia" w:ascii="宋体" w:hAnsi="宋体" w:eastAsia="宋体" w:cs="宋体"/>
          <w:color w:val="000000"/>
        </w:rPr>
        <w:t>30分钟后取出，用无菌滤纸去除多余的装载液。</w:t>
      </w:r>
    </w:p>
    <w:p w14:paraId="6001AF61">
      <w:pPr>
        <w:pStyle w:val="64"/>
        <w:numPr>
          <w:ilvl w:val="2"/>
          <w:numId w:val="2"/>
        </w:numPr>
        <w:spacing w:before="156" w:after="156"/>
        <w:outlineLvl w:val="2"/>
        <w:rPr>
          <w:rFonts w:hint="eastAsia" w:ascii="黑体" w:hAnsi="黑体" w:eastAsia="黑体" w:cs="黑体"/>
          <w:szCs w:val="21"/>
        </w:rPr>
      </w:pPr>
      <w:bookmarkStart w:id="277" w:name="_Toc1790"/>
      <w:bookmarkStart w:id="278" w:name="_Toc26296"/>
      <w:r>
        <w:rPr>
          <w:rFonts w:hint="eastAsia" w:cs="黑体"/>
          <w:szCs w:val="21"/>
          <w:lang w:val="en-US" w:eastAsia="zh-CN"/>
        </w:rPr>
        <w:t>脱水</w:t>
      </w:r>
      <w:bookmarkEnd w:id="277"/>
      <w:bookmarkEnd w:id="278"/>
    </w:p>
    <w:p w14:paraId="5B1D2027">
      <w:pPr>
        <w:spacing w:line="360" w:lineRule="atLeast"/>
        <w:ind w:firstLine="420"/>
        <w:rPr>
          <w:rFonts w:hint="eastAsia" w:ascii="宋体" w:hAnsi="宋体" w:eastAsia="宋体" w:cs="宋体"/>
          <w:color w:val="000000"/>
        </w:rPr>
      </w:pPr>
      <w:r>
        <w:rPr>
          <w:rFonts w:hint="eastAsia" w:ascii="宋体" w:hAnsi="宋体" w:eastAsia="宋体" w:cs="宋体"/>
          <w:color w:val="000000"/>
        </w:rPr>
        <w:t>将棉纸团浸在预冷的PVS2溶液（见附录</w:t>
      </w:r>
      <w:r>
        <w:rPr>
          <w:rFonts w:hint="eastAsia" w:ascii="宋体" w:hAnsi="宋体" w:eastAsia="宋体" w:cs="宋体"/>
          <w:color w:val="000000"/>
          <w:lang w:val="en-US" w:eastAsia="zh-CN"/>
        </w:rPr>
        <w:t>F</w:t>
      </w:r>
      <w:r>
        <w:rPr>
          <w:rFonts w:hint="eastAsia" w:ascii="宋体" w:hAnsi="宋体" w:eastAsia="宋体" w:cs="宋体"/>
          <w:color w:val="000000"/>
        </w:rPr>
        <w:t>的2）中，冰浴20分钟。</w:t>
      </w:r>
    </w:p>
    <w:p w14:paraId="40314082">
      <w:pPr>
        <w:pStyle w:val="64"/>
        <w:numPr>
          <w:ilvl w:val="2"/>
          <w:numId w:val="2"/>
        </w:numPr>
        <w:spacing w:before="156" w:after="156"/>
        <w:outlineLvl w:val="2"/>
        <w:rPr>
          <w:rFonts w:hint="eastAsia" w:ascii="宋体" w:hAnsi="宋体" w:eastAsia="宋体" w:cs="宋体"/>
          <w:szCs w:val="21"/>
        </w:rPr>
      </w:pPr>
      <w:bookmarkStart w:id="279" w:name="_Toc16741"/>
      <w:bookmarkStart w:id="280" w:name="_Toc20876"/>
      <w:r>
        <w:rPr>
          <w:rFonts w:hint="eastAsia" w:cs="黑体"/>
          <w:szCs w:val="21"/>
          <w:lang w:val="en-US" w:eastAsia="zh-CN"/>
        </w:rPr>
        <w:t>快速冷冻保存</w:t>
      </w:r>
      <w:bookmarkEnd w:id="279"/>
      <w:bookmarkEnd w:id="280"/>
    </w:p>
    <w:p w14:paraId="511F7313">
      <w:pPr>
        <w:rPr>
          <w:rFonts w:hint="eastAsia" w:ascii="宋体" w:hAnsi="宋体" w:eastAsia="宋体" w:cs="宋体"/>
        </w:rPr>
      </w:pPr>
      <w:r>
        <w:rPr>
          <w:rFonts w:hint="eastAsia" w:ascii="宋体" w:hAnsi="宋体" w:eastAsia="宋体" w:cs="宋体"/>
        </w:rPr>
        <w:t xml:space="preserve">    将冰浴后的棉纸团放入装满新鲜制备的用冰预冷的PVS2溶液的小塑料冻存管中，拧紧螺旋盖后，用一层封口膜封口，迅速将冷冻管浸入液氮中保存。</w:t>
      </w:r>
    </w:p>
    <w:p w14:paraId="77688887">
      <w:pPr>
        <w:pStyle w:val="64"/>
        <w:numPr>
          <w:ilvl w:val="2"/>
          <w:numId w:val="2"/>
        </w:numPr>
        <w:spacing w:before="156" w:after="156"/>
        <w:outlineLvl w:val="2"/>
        <w:rPr>
          <w:rFonts w:hint="eastAsia" w:ascii="宋体" w:hAnsi="宋体" w:eastAsia="宋体" w:cs="宋体"/>
          <w:szCs w:val="21"/>
        </w:rPr>
      </w:pPr>
      <w:bookmarkStart w:id="281" w:name="_Toc20811"/>
      <w:bookmarkStart w:id="282" w:name="_Toc25006"/>
      <w:r>
        <w:rPr>
          <w:rFonts w:hint="eastAsia" w:cs="黑体"/>
          <w:szCs w:val="21"/>
          <w:lang w:val="en-US" w:eastAsia="zh-CN"/>
        </w:rPr>
        <w:t>化冻</w:t>
      </w:r>
      <w:bookmarkEnd w:id="281"/>
      <w:bookmarkEnd w:id="282"/>
    </w:p>
    <w:p w14:paraId="6A33F9CD">
      <w:pPr>
        <w:spacing w:line="360" w:lineRule="atLeast"/>
        <w:ind w:firstLine="420"/>
        <w:rPr>
          <w:rFonts w:hint="eastAsia" w:ascii="宋体" w:hAnsi="宋体" w:eastAsia="宋体" w:cs="宋体"/>
          <w:color w:val="000000"/>
        </w:rPr>
      </w:pPr>
      <w:r>
        <w:rPr>
          <w:rFonts w:hint="eastAsia" w:ascii="宋体" w:hAnsi="宋体" w:eastAsia="宋体" w:cs="宋体"/>
          <w:color w:val="000000"/>
        </w:rPr>
        <w:t>在无菌条件下，将冷冻保存管在1 s内从液氮中转移到40</w:t>
      </w:r>
      <w:r>
        <w:rPr>
          <w:rFonts w:hint="eastAsia" w:ascii="宋体" w:hAnsi="宋体" w:eastAsia="宋体" w:cs="宋体"/>
          <w:color w:val="000000"/>
          <w:szCs w:val="21"/>
        </w:rPr>
        <w:t>℃的水浴中，剧烈振荡90 s，然后在超净工作台上将包有茎尖的棉纸团从冷冻管中取出，在灭过菌的干燥滤纸上放置30 s。</w:t>
      </w:r>
    </w:p>
    <w:p w14:paraId="3DDC482C">
      <w:pPr>
        <w:pStyle w:val="64"/>
        <w:numPr>
          <w:ilvl w:val="2"/>
          <w:numId w:val="2"/>
        </w:numPr>
        <w:spacing w:before="156" w:after="156"/>
        <w:outlineLvl w:val="2"/>
        <w:rPr>
          <w:rFonts w:hint="eastAsia" w:ascii="宋体" w:hAnsi="宋体" w:eastAsia="宋体" w:cs="宋体"/>
          <w:szCs w:val="21"/>
        </w:rPr>
      </w:pPr>
      <w:bookmarkStart w:id="283" w:name="_Toc5319"/>
      <w:bookmarkStart w:id="284" w:name="_Toc7047"/>
      <w:r>
        <w:rPr>
          <w:rFonts w:hint="eastAsia" w:cs="黑体"/>
          <w:szCs w:val="21"/>
          <w:lang w:val="en-US" w:eastAsia="zh-CN"/>
        </w:rPr>
        <w:t>卸载</w:t>
      </w:r>
      <w:bookmarkEnd w:id="283"/>
      <w:bookmarkEnd w:id="284"/>
    </w:p>
    <w:p w14:paraId="27495066">
      <w:pPr>
        <w:spacing w:line="360" w:lineRule="atLeast"/>
        <w:ind w:firstLine="420"/>
        <w:rPr>
          <w:rFonts w:hint="eastAsia" w:ascii="宋体" w:hAnsi="宋体" w:eastAsia="宋体" w:cs="宋体"/>
          <w:color w:val="000000"/>
          <w:szCs w:val="21"/>
        </w:rPr>
      </w:pPr>
      <w:r>
        <w:rPr>
          <w:rFonts w:hint="eastAsia" w:ascii="宋体" w:hAnsi="宋体" w:eastAsia="宋体" w:cs="宋体"/>
          <w:color w:val="000000"/>
          <w:szCs w:val="21"/>
        </w:rPr>
        <w:t xml:space="preserve">将棉纸团转移到卸载液（见附录 </w:t>
      </w:r>
      <w:r>
        <w:rPr>
          <w:rFonts w:hint="eastAsia" w:ascii="宋体" w:hAnsi="宋体" w:eastAsia="宋体" w:cs="宋体"/>
          <w:color w:val="000000"/>
          <w:szCs w:val="21"/>
          <w:lang w:val="en-US" w:eastAsia="zh-CN"/>
        </w:rPr>
        <w:t>F</w:t>
      </w:r>
      <w:r>
        <w:rPr>
          <w:rFonts w:hint="eastAsia" w:ascii="宋体" w:hAnsi="宋体" w:eastAsia="宋体" w:cs="宋体"/>
          <w:color w:val="000000"/>
          <w:szCs w:val="21"/>
        </w:rPr>
        <w:t>的3）中，在</w:t>
      </w:r>
      <w:r>
        <w:rPr>
          <w:rFonts w:hint="eastAsia" w:ascii="宋体" w:hAnsi="宋体" w:eastAsia="宋体" w:cs="宋体"/>
          <w:color w:val="000000"/>
        </w:rPr>
        <w:t>22℃～25℃下放置10分钟，每隔5分钟换一次卸载液。然后将棉纸团展开，茎尖在卸载液中再悬浮5分钟。</w:t>
      </w:r>
    </w:p>
    <w:p w14:paraId="4E85E62F">
      <w:pPr>
        <w:pStyle w:val="64"/>
        <w:numPr>
          <w:ilvl w:val="2"/>
          <w:numId w:val="2"/>
        </w:numPr>
        <w:spacing w:before="156" w:after="156"/>
        <w:outlineLvl w:val="2"/>
        <w:rPr>
          <w:rFonts w:hint="eastAsia" w:ascii="宋体" w:hAnsi="宋体" w:eastAsia="宋体" w:cs="宋体"/>
          <w:szCs w:val="21"/>
        </w:rPr>
      </w:pPr>
      <w:bookmarkStart w:id="285" w:name="_Toc30793"/>
      <w:bookmarkStart w:id="286" w:name="_Toc472"/>
      <w:r>
        <w:rPr>
          <w:rFonts w:hint="eastAsia" w:cs="黑体"/>
          <w:szCs w:val="21"/>
          <w:lang w:val="en-US" w:eastAsia="zh-CN"/>
        </w:rPr>
        <w:t>再生</w:t>
      </w:r>
      <w:bookmarkEnd w:id="285"/>
      <w:bookmarkEnd w:id="286"/>
    </w:p>
    <w:p w14:paraId="377D58BA">
      <w:pPr>
        <w:spacing w:line="360" w:lineRule="atLeast"/>
        <w:ind w:firstLine="420"/>
        <w:rPr>
          <w:rFonts w:hint="eastAsia" w:ascii="宋体" w:hAnsi="宋体" w:eastAsia="宋体" w:cs="宋体"/>
          <w:szCs w:val="21"/>
        </w:rPr>
      </w:pPr>
      <w:r>
        <w:rPr>
          <w:rFonts w:hint="eastAsia" w:ascii="宋体" w:hAnsi="宋体" w:eastAsia="宋体" w:cs="宋体"/>
          <w:szCs w:val="21"/>
        </w:rPr>
        <w:t>取</w:t>
      </w:r>
      <w:r>
        <w:rPr>
          <w:rFonts w:hint="eastAsia" w:ascii="宋体" w:hAnsi="宋体" w:eastAsia="宋体" w:cs="宋体"/>
          <w:color w:val="000000"/>
          <w:szCs w:val="21"/>
        </w:rPr>
        <w:t>两张灭过菌的滤纸，平铺于培养皿内的半固体MS+100</w:t>
      </w:r>
      <w:r>
        <w:rPr>
          <w:rFonts w:hint="eastAsia" w:ascii="宋体" w:hAnsi="宋体" w:eastAsia="宋体" w:cs="宋体"/>
          <w:color w:val="000000"/>
        </w:rPr>
        <w:t xml:space="preserve"> g/L蔗糖的培养基上</w:t>
      </w:r>
      <w:r>
        <w:rPr>
          <w:rFonts w:hint="eastAsia" w:ascii="宋体" w:hAnsi="宋体" w:eastAsia="宋体" w:cs="宋体"/>
          <w:color w:val="000000"/>
          <w:szCs w:val="21"/>
        </w:rPr>
        <w:t>；将茎尖从卸载液中捡出，放于滤纸上，在</w:t>
      </w:r>
      <w:r>
        <w:rPr>
          <w:rFonts w:hint="eastAsia" w:ascii="宋体" w:hAnsi="宋体" w:eastAsia="宋体" w:cs="宋体"/>
          <w:color w:val="000000"/>
        </w:rPr>
        <w:t>22℃～25℃下，放置</w:t>
      </w:r>
      <w:r>
        <w:rPr>
          <w:rFonts w:hint="eastAsia" w:ascii="宋体" w:hAnsi="宋体" w:eastAsia="宋体" w:cs="宋体"/>
          <w:color w:val="000000"/>
          <w:szCs w:val="21"/>
        </w:rPr>
        <w:t>12小时～18小时后，再将茎尖转移到半固体MS+30</w:t>
      </w:r>
      <w:r>
        <w:rPr>
          <w:rFonts w:hint="eastAsia" w:ascii="宋体" w:hAnsi="宋体" w:eastAsia="宋体" w:cs="宋体"/>
          <w:color w:val="000000"/>
        </w:rPr>
        <w:t xml:space="preserve"> g/L蔗糖+</w:t>
      </w:r>
      <w:r>
        <w:rPr>
          <w:rFonts w:hint="eastAsia" w:ascii="宋体" w:hAnsi="宋体" w:eastAsia="宋体" w:cs="宋体"/>
          <w:color w:val="000000"/>
          <w:szCs w:val="21"/>
        </w:rPr>
        <w:t>0.5 mg/</w:t>
      </w:r>
      <w:r>
        <w:rPr>
          <w:rFonts w:hint="eastAsia" w:ascii="宋体" w:hAnsi="宋体" w:eastAsia="宋体" w:cs="宋体"/>
          <w:color w:val="000000"/>
        </w:rPr>
        <w:t>L</w:t>
      </w:r>
      <w:r>
        <w:rPr>
          <w:rFonts w:hint="eastAsia" w:ascii="宋体" w:hAnsi="宋体" w:eastAsia="宋体" w:cs="宋体"/>
          <w:color w:val="000000"/>
          <w:szCs w:val="21"/>
        </w:rPr>
        <w:t>6-BA 的培养基上，暗培养10天～15天；然后在（25±2）℃，光照强度</w:t>
      </w:r>
      <w:r>
        <w:rPr>
          <w:rFonts w:hint="eastAsia" w:ascii="宋体" w:hAnsi="宋体" w:eastAsia="宋体" w:cs="宋体"/>
          <w:szCs w:val="21"/>
        </w:rPr>
        <w:t>1，000lx～1，300 lx</w:t>
      </w:r>
      <w:r>
        <w:rPr>
          <w:rFonts w:hint="eastAsia" w:ascii="宋体" w:hAnsi="宋体" w:eastAsia="宋体" w:cs="宋体"/>
          <w:color w:val="000000"/>
        </w:rPr>
        <w:t>，</w:t>
      </w:r>
      <w:r>
        <w:rPr>
          <w:rFonts w:hint="eastAsia" w:ascii="宋体" w:hAnsi="宋体" w:eastAsia="宋体" w:cs="宋体"/>
          <w:color w:val="000000"/>
          <w:szCs w:val="21"/>
        </w:rPr>
        <w:t>光照时间16</w:t>
      </w:r>
      <w:r>
        <w:rPr>
          <w:rFonts w:hint="eastAsia" w:ascii="宋体" w:hAnsi="宋体" w:eastAsia="宋体" w:cs="宋体"/>
          <w:color w:val="000000"/>
        </w:rPr>
        <w:t>小时/天</w:t>
      </w:r>
      <w:r>
        <w:rPr>
          <w:rFonts w:hint="eastAsia" w:ascii="宋体" w:hAnsi="宋体" w:eastAsia="宋体" w:cs="宋体"/>
          <w:color w:val="000000"/>
          <w:szCs w:val="21"/>
        </w:rPr>
        <w:t>条件下培养40天～60天后，冷冻的茎尖就会发育成幼苗。</w:t>
      </w:r>
    </w:p>
    <w:p w14:paraId="2126E397">
      <w:pPr>
        <w:pStyle w:val="62"/>
        <w:numPr>
          <w:ilvl w:val="0"/>
          <w:numId w:val="2"/>
        </w:numPr>
        <w:spacing w:before="312" w:after="312"/>
        <w:outlineLvl w:val="0"/>
        <w:rPr>
          <w:rFonts w:hint="eastAsia" w:ascii="宋体" w:hAnsi="宋体" w:eastAsia="宋体" w:cs="宋体"/>
        </w:rPr>
      </w:pPr>
      <w:bookmarkStart w:id="287" w:name="_Toc11613"/>
      <w:bookmarkStart w:id="288" w:name="_Toc27981"/>
      <w:bookmarkStart w:id="289" w:name="_Toc23434"/>
      <w:r>
        <w:rPr>
          <w:rFonts w:hint="eastAsia" w:cs="黑体"/>
          <w:szCs w:val="21"/>
          <w:lang w:val="en-US" w:eastAsia="zh-CN"/>
        </w:rPr>
        <w:t>技术指标</w:t>
      </w:r>
      <w:bookmarkEnd w:id="287"/>
      <w:bookmarkEnd w:id="288"/>
      <w:bookmarkEnd w:id="289"/>
    </w:p>
    <w:p w14:paraId="2710D4EA">
      <w:pPr>
        <w:pStyle w:val="64"/>
        <w:numPr>
          <w:ilvl w:val="1"/>
          <w:numId w:val="2"/>
        </w:numPr>
        <w:spacing w:before="156" w:after="156"/>
        <w:outlineLvl w:val="1"/>
        <w:rPr>
          <w:rFonts w:hint="eastAsia" w:ascii="宋体" w:hAnsi="宋体" w:eastAsia="宋体" w:cs="宋体"/>
        </w:rPr>
      </w:pPr>
      <w:bookmarkStart w:id="290" w:name="_Toc29045"/>
      <w:bookmarkStart w:id="291" w:name="_Toc21874"/>
      <w:bookmarkStart w:id="292" w:name="_Toc11732"/>
      <w:r>
        <w:rPr>
          <w:rFonts w:hint="eastAsia" w:cs="黑体"/>
          <w:szCs w:val="21"/>
          <w:lang w:val="en-US" w:eastAsia="zh-CN"/>
        </w:rPr>
        <w:t>常温保存</w:t>
      </w:r>
      <w:bookmarkEnd w:id="290"/>
      <w:bookmarkEnd w:id="291"/>
      <w:bookmarkEnd w:id="292"/>
    </w:p>
    <w:p w14:paraId="65209D3E">
      <w:pPr>
        <w:ind w:firstLine="420"/>
        <w:rPr>
          <w:rFonts w:hint="eastAsia" w:ascii="宋体" w:hAnsi="宋体" w:eastAsia="宋体" w:cs="宋体"/>
        </w:rPr>
      </w:pPr>
      <w:r>
        <w:rPr>
          <w:rFonts w:hint="eastAsia" w:ascii="宋体" w:hAnsi="宋体" w:eastAsia="宋体" w:cs="宋体"/>
        </w:rPr>
        <w:t>变异率≤2%，无香蕉花叶心腐病和束顶病。</w:t>
      </w:r>
    </w:p>
    <w:p w14:paraId="66882A14">
      <w:pPr>
        <w:pStyle w:val="64"/>
        <w:numPr>
          <w:ilvl w:val="1"/>
          <w:numId w:val="2"/>
        </w:numPr>
        <w:spacing w:before="156" w:after="156"/>
        <w:outlineLvl w:val="1"/>
        <w:rPr>
          <w:rFonts w:hint="eastAsia" w:ascii="宋体" w:hAnsi="宋体" w:eastAsia="宋体" w:cs="宋体"/>
        </w:rPr>
      </w:pPr>
      <w:bookmarkStart w:id="293" w:name="_Toc10839"/>
      <w:bookmarkStart w:id="294" w:name="_Toc3061"/>
      <w:bookmarkStart w:id="295" w:name="_Toc21241"/>
      <w:r>
        <w:rPr>
          <w:rFonts w:hint="eastAsia" w:cs="黑体"/>
          <w:szCs w:val="21"/>
          <w:lang w:val="en-US" w:eastAsia="zh-CN"/>
        </w:rPr>
        <w:t>低温保存</w:t>
      </w:r>
      <w:bookmarkEnd w:id="293"/>
      <w:bookmarkEnd w:id="294"/>
      <w:bookmarkEnd w:id="295"/>
    </w:p>
    <w:p w14:paraId="54230FD0">
      <w:pPr>
        <w:pStyle w:val="41"/>
        <w:rPr>
          <w:rFonts w:hint="eastAsia" w:ascii="宋体" w:hAnsi="宋体" w:eastAsia="宋体" w:cs="宋体"/>
        </w:rPr>
      </w:pPr>
      <w:r>
        <w:rPr>
          <w:rFonts w:hint="eastAsia" w:ascii="宋体" w:hAnsi="宋体" w:eastAsia="宋体" w:cs="宋体"/>
        </w:rPr>
        <w:t>变异率≤2%，无香蕉花叶心腐病和束顶病。</w:t>
      </w:r>
    </w:p>
    <w:p w14:paraId="18FB48F4">
      <w:pPr>
        <w:pStyle w:val="64"/>
        <w:numPr>
          <w:ilvl w:val="1"/>
          <w:numId w:val="2"/>
        </w:numPr>
        <w:spacing w:before="156" w:after="156"/>
        <w:outlineLvl w:val="1"/>
        <w:rPr>
          <w:rFonts w:hint="eastAsia" w:ascii="宋体" w:hAnsi="宋体" w:eastAsia="宋体" w:cs="宋体"/>
        </w:rPr>
      </w:pPr>
      <w:bookmarkStart w:id="296" w:name="_Toc7951"/>
      <w:bookmarkStart w:id="297" w:name="_Toc26917"/>
      <w:bookmarkStart w:id="298" w:name="_Toc4140"/>
      <w:r>
        <w:rPr>
          <w:rFonts w:hint="eastAsia" w:cs="黑体"/>
          <w:szCs w:val="21"/>
          <w:lang w:val="en-US" w:eastAsia="zh-CN"/>
        </w:rPr>
        <w:t>超低温保存</w:t>
      </w:r>
      <w:bookmarkEnd w:id="296"/>
      <w:bookmarkEnd w:id="297"/>
      <w:bookmarkEnd w:id="298"/>
    </w:p>
    <w:p w14:paraId="2A68C7FE">
      <w:pPr>
        <w:ind w:firstLine="420"/>
        <w:rPr>
          <w:rFonts w:hint="eastAsia" w:ascii="宋体" w:hAnsi="宋体" w:eastAsia="宋体" w:cs="宋体"/>
        </w:rPr>
      </w:pPr>
      <w:r>
        <w:rPr>
          <w:rFonts w:hint="eastAsia" w:ascii="宋体" w:hAnsi="宋体" w:eastAsia="宋体" w:cs="宋体"/>
        </w:rPr>
        <w:t>冻后现生率≥20%，变异率≤0.5%，无香蕉花叶心腐病和束顶病。</w:t>
      </w:r>
    </w:p>
    <w:p w14:paraId="47A5383D">
      <w:pPr>
        <w:pStyle w:val="64"/>
        <w:numPr>
          <w:ilvl w:val="1"/>
          <w:numId w:val="2"/>
        </w:numPr>
        <w:spacing w:before="156" w:after="156"/>
        <w:outlineLvl w:val="1"/>
        <w:rPr>
          <w:rFonts w:hint="eastAsia" w:ascii="宋体" w:hAnsi="宋体" w:eastAsia="宋体" w:cs="宋体"/>
        </w:rPr>
      </w:pPr>
      <w:bookmarkStart w:id="299" w:name="_Toc3828"/>
      <w:bookmarkStart w:id="300" w:name="_Toc17808"/>
      <w:bookmarkStart w:id="301" w:name="_Toc31015"/>
      <w:r>
        <w:rPr>
          <w:rFonts w:hint="eastAsia" w:cs="黑体"/>
          <w:szCs w:val="21"/>
          <w:lang w:val="en-US" w:eastAsia="zh-CN"/>
        </w:rPr>
        <w:t>无害代</w:t>
      </w:r>
      <w:bookmarkEnd w:id="299"/>
      <w:bookmarkEnd w:id="300"/>
      <w:bookmarkEnd w:id="301"/>
    </w:p>
    <w:p w14:paraId="33DC2A23">
      <w:pPr>
        <w:pStyle w:val="60"/>
        <w:jc w:val="both"/>
        <w:rPr>
          <w:rFonts w:hint="eastAsia" w:ascii="宋体" w:hAnsi="宋体" w:eastAsia="宋体" w:cs="宋体"/>
        </w:rPr>
      </w:pPr>
      <w:r>
        <w:rPr>
          <w:rFonts w:hint="eastAsia" w:ascii="宋体" w:hAnsi="宋体" w:eastAsia="宋体" w:cs="宋体"/>
          <w:szCs w:val="21"/>
        </w:rPr>
        <w:t>无真菌，无细菌，无虫，无香蕉花叶心腐病和束顶病。</w:t>
      </w:r>
    </w:p>
    <w:p w14:paraId="5252822F">
      <w:pPr>
        <w:pStyle w:val="64"/>
        <w:numPr>
          <w:ilvl w:val="1"/>
          <w:numId w:val="2"/>
        </w:numPr>
        <w:spacing w:before="156" w:after="156"/>
        <w:outlineLvl w:val="1"/>
        <w:rPr>
          <w:rFonts w:hint="eastAsia" w:ascii="宋体" w:hAnsi="宋体" w:eastAsia="宋体" w:cs="宋体"/>
        </w:rPr>
      </w:pPr>
      <w:bookmarkStart w:id="302" w:name="_Toc10309"/>
      <w:bookmarkStart w:id="303" w:name="_Toc9791"/>
      <w:bookmarkStart w:id="304" w:name="_Toc7426"/>
      <w:r>
        <w:rPr>
          <w:rFonts w:hint="eastAsia" w:cs="黑体"/>
          <w:szCs w:val="21"/>
          <w:lang w:val="en-US" w:eastAsia="zh-CN"/>
        </w:rPr>
        <w:t>挽救</w:t>
      </w:r>
      <w:bookmarkEnd w:id="302"/>
      <w:bookmarkEnd w:id="303"/>
      <w:bookmarkEnd w:id="304"/>
    </w:p>
    <w:p w14:paraId="791EEBB0">
      <w:pPr>
        <w:pStyle w:val="60"/>
        <w:jc w:val="both"/>
        <w:rPr>
          <w:rFonts w:hint="eastAsia" w:ascii="宋体" w:hAnsi="宋体" w:eastAsia="宋体" w:cs="宋体"/>
        </w:rPr>
      </w:pPr>
      <w:r>
        <w:rPr>
          <w:rFonts w:hint="eastAsia" w:ascii="宋体" w:hAnsi="宋体" w:eastAsia="宋体" w:cs="宋体"/>
          <w:szCs w:val="21"/>
        </w:rPr>
        <w:t>存活率≥90%。无真菌，无细菌，无</w:t>
      </w:r>
      <w:r>
        <w:rPr>
          <w:rFonts w:hint="eastAsia" w:cs="宋体"/>
          <w:szCs w:val="21"/>
          <w:lang w:val="en-US" w:eastAsia="zh-CN"/>
        </w:rPr>
        <w:t>线</w:t>
      </w:r>
      <w:r>
        <w:rPr>
          <w:rFonts w:hint="eastAsia" w:ascii="宋体" w:hAnsi="宋体" w:eastAsia="宋体" w:cs="宋体"/>
          <w:szCs w:val="21"/>
        </w:rPr>
        <w:t>虫，无香蕉花叶病和束顶病。</w:t>
      </w:r>
    </w:p>
    <w:p w14:paraId="213F56CB">
      <w:pPr>
        <w:pStyle w:val="62"/>
        <w:numPr>
          <w:ilvl w:val="0"/>
          <w:numId w:val="2"/>
        </w:numPr>
        <w:spacing w:before="312" w:after="312"/>
        <w:outlineLvl w:val="0"/>
        <w:rPr>
          <w:rFonts w:hint="default" w:ascii="宋体" w:hAnsi="宋体" w:eastAsia="宋体" w:cs="宋体"/>
          <w:color w:val="auto"/>
          <w:szCs w:val="21"/>
          <w:lang w:val="en-US" w:eastAsia="zh-CN"/>
        </w:rPr>
      </w:pPr>
      <w:bookmarkStart w:id="305" w:name="_Toc4983"/>
      <w:bookmarkStart w:id="306" w:name="_Toc8466"/>
      <w:bookmarkStart w:id="307" w:name="_Toc13193"/>
      <w:r>
        <w:rPr>
          <w:rFonts w:hint="eastAsia" w:cs="黑体"/>
          <w:szCs w:val="21"/>
          <w:lang w:val="en-US" w:eastAsia="zh-CN"/>
        </w:rPr>
        <w:t>种质资源信息管理</w:t>
      </w:r>
      <w:bookmarkEnd w:id="305"/>
      <w:bookmarkEnd w:id="306"/>
      <w:bookmarkEnd w:id="307"/>
    </w:p>
    <w:p w14:paraId="144AA8AF">
      <w:pPr>
        <w:pStyle w:val="64"/>
        <w:numPr>
          <w:ilvl w:val="1"/>
          <w:numId w:val="2"/>
        </w:numPr>
        <w:spacing w:before="156" w:after="156"/>
        <w:outlineLvl w:val="1"/>
        <w:rPr>
          <w:rFonts w:hint="eastAsia" w:ascii="宋体" w:hAnsi="宋体" w:eastAsia="宋体" w:cs="宋体"/>
          <w:color w:val="auto"/>
          <w:kern w:val="0"/>
          <w:sz w:val="21"/>
          <w:szCs w:val="21"/>
          <w:lang w:val="en-US" w:eastAsia="zh-CN" w:bidi="ar-SA"/>
        </w:rPr>
      </w:pPr>
      <w:bookmarkStart w:id="308" w:name="_Toc902"/>
      <w:r>
        <w:rPr>
          <w:rFonts w:hint="eastAsia" w:cs="黑体"/>
          <w:szCs w:val="21"/>
          <w:lang w:val="en-US" w:eastAsia="zh-CN"/>
        </w:rPr>
        <w:t>种质资源信息</w:t>
      </w:r>
      <w:bookmarkEnd w:id="308"/>
    </w:p>
    <w:p w14:paraId="6B7B9D72">
      <w:p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种质资源信息包括但不限于种质名、品系名、地方名、原产地、来源地、引种人、引种时间、引种号、保存方法、保存数量和继代信息等（见附录A），并以此信息为基础建立数据与纸质档案。</w:t>
      </w:r>
    </w:p>
    <w:p w14:paraId="4677064A">
      <w:pPr>
        <w:pStyle w:val="64"/>
        <w:numPr>
          <w:ilvl w:val="1"/>
          <w:numId w:val="2"/>
        </w:numPr>
        <w:spacing w:before="156" w:after="156"/>
        <w:outlineLvl w:val="1"/>
        <w:rPr>
          <w:rFonts w:hint="eastAsia" w:ascii="宋体" w:hAnsi="宋体" w:eastAsia="宋体" w:cs="宋体"/>
          <w:color w:val="auto"/>
          <w:kern w:val="0"/>
          <w:sz w:val="21"/>
          <w:szCs w:val="21"/>
          <w:lang w:val="en-US" w:eastAsia="zh-CN" w:bidi="ar-SA"/>
        </w:rPr>
      </w:pPr>
      <w:bookmarkStart w:id="309" w:name="_Toc8972"/>
      <w:bookmarkStart w:id="310" w:name="_Toc21419"/>
      <w:bookmarkStart w:id="311" w:name="_Toc6112"/>
      <w:r>
        <w:rPr>
          <w:rFonts w:hint="eastAsia" w:cs="黑体"/>
          <w:szCs w:val="21"/>
          <w:lang w:val="en-US" w:eastAsia="zh-CN"/>
        </w:rPr>
        <w:t>数据信息管理</w:t>
      </w:r>
      <w:bookmarkEnd w:id="309"/>
      <w:bookmarkEnd w:id="310"/>
      <w:bookmarkEnd w:id="311"/>
    </w:p>
    <w:p w14:paraId="1CB2A047">
      <w:p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立香蕉种质资源离体保存信息管理系统，主要的种质资源信息录入计算机，建立种质资源数据库，具备资源查询、资源信息增删、相关继代记录、保存事件记录、数据统计、导入/导出数据等功能，信息系统具有信息安全相关组件或功能。</w:t>
      </w:r>
    </w:p>
    <w:p w14:paraId="04915614">
      <w:pPr>
        <w:pStyle w:val="64"/>
        <w:numPr>
          <w:ilvl w:val="1"/>
          <w:numId w:val="2"/>
        </w:numPr>
        <w:spacing w:before="156" w:after="156"/>
        <w:outlineLvl w:val="1"/>
        <w:rPr>
          <w:rFonts w:hint="eastAsia" w:ascii="宋体" w:hAnsi="宋体" w:eastAsia="宋体" w:cs="宋体"/>
          <w:color w:val="auto"/>
          <w:kern w:val="0"/>
          <w:sz w:val="21"/>
          <w:szCs w:val="21"/>
          <w:lang w:val="en-US" w:eastAsia="zh-CN" w:bidi="ar-SA"/>
        </w:rPr>
      </w:pPr>
      <w:bookmarkStart w:id="312" w:name="_Toc27133"/>
      <w:bookmarkStart w:id="313" w:name="_Toc4360"/>
      <w:bookmarkStart w:id="314" w:name="_Toc209"/>
      <w:r>
        <w:rPr>
          <w:rFonts w:hint="eastAsia" w:cs="黑体"/>
          <w:color w:val="auto"/>
          <w:kern w:val="0"/>
          <w:sz w:val="21"/>
          <w:szCs w:val="21"/>
          <w:lang w:val="en-US" w:eastAsia="zh-CN" w:bidi="ar-SA"/>
        </w:rPr>
        <w:t>纸质档案建立</w:t>
      </w:r>
      <w:bookmarkEnd w:id="312"/>
      <w:bookmarkEnd w:id="313"/>
      <w:bookmarkEnd w:id="314"/>
    </w:p>
    <w:p w14:paraId="79DC5C2C">
      <w:p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种质资源入库保存过程中的相关原始纸质记载表,按库编号或种质入库时间顺序装订成册,建立原始记录纸质档案.</w:t>
      </w:r>
    </w:p>
    <w:p w14:paraId="56503FF4"/>
    <w:p w14:paraId="22C0D519"/>
    <w:p w14:paraId="763D98E8"/>
    <w:p w14:paraId="7B1BD9A1"/>
    <w:p w14:paraId="0C4FF7D1"/>
    <w:p w14:paraId="6A9083DC">
      <w:pPr>
        <w:jc w:val="center"/>
      </w:pPr>
    </w:p>
    <w:p w14:paraId="1BBC7317"/>
    <w:p w14:paraId="0D3E3811"/>
    <w:p w14:paraId="04B0BDC4"/>
    <w:p w14:paraId="5316C931"/>
    <w:p w14:paraId="30265708"/>
    <w:p w14:paraId="2D380F4D">
      <w:pPr>
        <w:pStyle w:val="2"/>
        <w:spacing w:before="20" w:after="20" w:line="240" w:lineRule="auto"/>
        <w:jc w:val="center"/>
        <w:rPr>
          <w:rFonts w:ascii="宋体" w:hAnsi="宋体" w:eastAsia="宋体"/>
          <w:sz w:val="21"/>
          <w:szCs w:val="21"/>
        </w:rPr>
      </w:pPr>
      <w:bookmarkStart w:id="315" w:name="_Toc21157"/>
      <w:bookmarkStart w:id="316" w:name="_Toc31535"/>
      <w:bookmarkStart w:id="317" w:name="_Toc1739"/>
      <w:r>
        <w:rPr>
          <w:rFonts w:ascii="宋体" w:hAnsi="宋体" w:eastAsia="宋体"/>
          <w:sz w:val="21"/>
          <w:szCs w:val="21"/>
        </w:rPr>
        <w:t>附 录 A</w:t>
      </w:r>
      <w:bookmarkEnd w:id="315"/>
      <w:bookmarkEnd w:id="316"/>
      <w:bookmarkEnd w:id="317"/>
    </w:p>
    <w:p w14:paraId="575FEFDC">
      <w:pPr>
        <w:jc w:val="center"/>
        <w:rPr>
          <w:rFonts w:ascii="宋体" w:hAnsi="宋体" w:eastAsia="宋体"/>
        </w:rPr>
      </w:pPr>
      <w:r>
        <w:rPr>
          <w:rFonts w:ascii="宋体" w:hAnsi="宋体" w:eastAsia="宋体"/>
          <w:szCs w:val="21"/>
        </w:rPr>
        <w:t>（资料性）</w:t>
      </w:r>
    </w:p>
    <w:p w14:paraId="6DB05B5A">
      <w:pPr>
        <w:jc w:val="center"/>
      </w:pPr>
      <w:r>
        <w:rPr>
          <w:rFonts w:eastAsia="等线"/>
        </w:rPr>
        <w:t>表</w:t>
      </w:r>
      <w:r>
        <w:rPr>
          <w:rFonts w:ascii="等线" w:hAnsi="等线"/>
        </w:rPr>
        <w:t xml:space="preserve">A.1 </w:t>
      </w:r>
      <w:r>
        <w:rPr>
          <w:rFonts w:eastAsia="等线"/>
        </w:rPr>
        <w:t>香蕉种质资源离休保存登记表</w:t>
      </w:r>
    </w:p>
    <w:tbl>
      <w:tblPr>
        <w:tblStyle w:val="19"/>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
      <w:tblGrid>
        <w:gridCol w:w="1809"/>
        <w:gridCol w:w="688"/>
        <w:gridCol w:w="688"/>
        <w:gridCol w:w="688"/>
        <w:gridCol w:w="688"/>
        <w:gridCol w:w="689"/>
        <w:gridCol w:w="689"/>
        <w:gridCol w:w="689"/>
        <w:gridCol w:w="689"/>
        <w:gridCol w:w="689"/>
        <w:gridCol w:w="689"/>
        <w:gridCol w:w="689"/>
      </w:tblGrid>
      <w:tr w14:paraId="2333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48F7A2C6">
            <w:pPr>
              <w:widowControl w:val="0"/>
              <w:spacing w:before="0" w:after="0"/>
              <w:jc w:val="center"/>
            </w:pPr>
            <w:r>
              <w:rPr>
                <w:rFonts w:eastAsia="等线"/>
              </w:rPr>
              <w:t>种质名</w:t>
            </w:r>
          </w:p>
        </w:tc>
        <w:tc>
          <w:tcPr>
            <w:tcW w:w="2752" w:type="dxa"/>
            <w:gridSpan w:val="4"/>
            <w:vAlign w:val="center"/>
          </w:tcPr>
          <w:p w14:paraId="622FFC7B">
            <w:pPr>
              <w:widowControl w:val="0"/>
              <w:spacing w:before="0" w:after="0"/>
              <w:jc w:val="center"/>
            </w:pPr>
          </w:p>
        </w:tc>
        <w:tc>
          <w:tcPr>
            <w:tcW w:w="2067" w:type="dxa"/>
            <w:gridSpan w:val="3"/>
            <w:vAlign w:val="center"/>
          </w:tcPr>
          <w:p w14:paraId="631BBD2F">
            <w:pPr>
              <w:widowControl w:val="0"/>
              <w:spacing w:before="0" w:after="0"/>
              <w:jc w:val="center"/>
            </w:pPr>
            <w:r>
              <w:rPr>
                <w:rFonts w:eastAsia="等线"/>
              </w:rPr>
              <w:t>品系名</w:t>
            </w:r>
          </w:p>
        </w:tc>
        <w:tc>
          <w:tcPr>
            <w:tcW w:w="2756" w:type="dxa"/>
            <w:gridSpan w:val="4"/>
            <w:vAlign w:val="center"/>
          </w:tcPr>
          <w:p w14:paraId="088EB3A5">
            <w:pPr>
              <w:widowControl w:val="0"/>
              <w:spacing w:before="0" w:after="0"/>
              <w:jc w:val="center"/>
              <w:rPr>
                <w:rFonts w:eastAsia="等线"/>
              </w:rPr>
            </w:pPr>
          </w:p>
        </w:tc>
      </w:tr>
      <w:tr w14:paraId="0C89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27E8F066">
            <w:pPr>
              <w:widowControl w:val="0"/>
              <w:spacing w:before="0" w:after="0"/>
              <w:jc w:val="center"/>
            </w:pPr>
            <w:r>
              <w:rPr>
                <w:rFonts w:eastAsia="等线"/>
              </w:rPr>
              <w:t>地方名</w:t>
            </w:r>
          </w:p>
        </w:tc>
        <w:tc>
          <w:tcPr>
            <w:tcW w:w="2752" w:type="dxa"/>
            <w:gridSpan w:val="4"/>
            <w:vAlign w:val="center"/>
          </w:tcPr>
          <w:p w14:paraId="39BC7FFC">
            <w:pPr>
              <w:widowControl w:val="0"/>
              <w:spacing w:before="0" w:after="0"/>
              <w:jc w:val="center"/>
            </w:pPr>
          </w:p>
        </w:tc>
        <w:tc>
          <w:tcPr>
            <w:tcW w:w="2067" w:type="dxa"/>
            <w:gridSpan w:val="3"/>
            <w:vAlign w:val="center"/>
          </w:tcPr>
          <w:p w14:paraId="0DCA760D">
            <w:pPr>
              <w:widowControl w:val="0"/>
              <w:spacing w:before="0" w:after="0"/>
              <w:jc w:val="center"/>
            </w:pPr>
            <w:r>
              <w:rPr>
                <w:rFonts w:eastAsia="等线"/>
              </w:rPr>
              <w:t>原产地</w:t>
            </w:r>
          </w:p>
        </w:tc>
        <w:tc>
          <w:tcPr>
            <w:tcW w:w="2756" w:type="dxa"/>
            <w:gridSpan w:val="4"/>
            <w:vAlign w:val="center"/>
          </w:tcPr>
          <w:p w14:paraId="7FFC2772">
            <w:pPr>
              <w:widowControl w:val="0"/>
              <w:spacing w:before="0" w:after="0"/>
              <w:jc w:val="center"/>
              <w:rPr>
                <w:rFonts w:eastAsia="等线"/>
              </w:rPr>
            </w:pPr>
          </w:p>
        </w:tc>
      </w:tr>
      <w:tr w14:paraId="1498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5D56D613">
            <w:pPr>
              <w:widowControl w:val="0"/>
              <w:spacing w:before="0" w:after="0"/>
              <w:jc w:val="center"/>
            </w:pPr>
            <w:r>
              <w:rPr>
                <w:rFonts w:eastAsia="等线"/>
              </w:rPr>
              <w:t>来源地</w:t>
            </w:r>
          </w:p>
        </w:tc>
        <w:tc>
          <w:tcPr>
            <w:tcW w:w="2752" w:type="dxa"/>
            <w:gridSpan w:val="4"/>
            <w:vAlign w:val="center"/>
          </w:tcPr>
          <w:p w14:paraId="2719522D">
            <w:pPr>
              <w:widowControl w:val="0"/>
              <w:spacing w:before="0" w:after="0"/>
              <w:jc w:val="center"/>
            </w:pPr>
          </w:p>
        </w:tc>
        <w:tc>
          <w:tcPr>
            <w:tcW w:w="2067" w:type="dxa"/>
            <w:gridSpan w:val="3"/>
            <w:vAlign w:val="center"/>
          </w:tcPr>
          <w:p w14:paraId="7990FAA3">
            <w:pPr>
              <w:widowControl w:val="0"/>
              <w:spacing w:before="0" w:after="0"/>
              <w:jc w:val="center"/>
            </w:pPr>
            <w:r>
              <w:rPr>
                <w:rFonts w:eastAsia="等线"/>
              </w:rPr>
              <w:t>原保存单位</w:t>
            </w:r>
          </w:p>
        </w:tc>
        <w:tc>
          <w:tcPr>
            <w:tcW w:w="2756" w:type="dxa"/>
            <w:gridSpan w:val="4"/>
            <w:vAlign w:val="center"/>
          </w:tcPr>
          <w:p w14:paraId="578FCD5F">
            <w:pPr>
              <w:widowControl w:val="0"/>
              <w:spacing w:before="0" w:after="0"/>
              <w:jc w:val="center"/>
              <w:rPr>
                <w:rFonts w:eastAsia="等线"/>
              </w:rPr>
            </w:pPr>
          </w:p>
        </w:tc>
      </w:tr>
      <w:tr w14:paraId="1014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51974A82">
            <w:pPr>
              <w:widowControl w:val="0"/>
              <w:spacing w:before="0" w:after="0"/>
              <w:jc w:val="center"/>
            </w:pPr>
            <w:r>
              <w:rPr>
                <w:rFonts w:eastAsia="等线"/>
              </w:rPr>
              <w:t>原保存单位编号</w:t>
            </w:r>
          </w:p>
        </w:tc>
        <w:tc>
          <w:tcPr>
            <w:tcW w:w="2752" w:type="dxa"/>
            <w:gridSpan w:val="4"/>
            <w:vAlign w:val="center"/>
          </w:tcPr>
          <w:p w14:paraId="42AFA2F5">
            <w:pPr>
              <w:widowControl w:val="0"/>
              <w:spacing w:before="0" w:after="0"/>
              <w:jc w:val="center"/>
            </w:pPr>
          </w:p>
        </w:tc>
        <w:tc>
          <w:tcPr>
            <w:tcW w:w="2067" w:type="dxa"/>
            <w:gridSpan w:val="3"/>
            <w:vAlign w:val="center"/>
          </w:tcPr>
          <w:p w14:paraId="7C9AB66F">
            <w:pPr>
              <w:widowControl w:val="0"/>
              <w:spacing w:before="0" w:after="0"/>
              <w:jc w:val="center"/>
            </w:pPr>
            <w:r>
              <w:rPr>
                <w:rFonts w:eastAsia="等线"/>
              </w:rPr>
              <w:t>引种人</w:t>
            </w:r>
          </w:p>
        </w:tc>
        <w:tc>
          <w:tcPr>
            <w:tcW w:w="2756" w:type="dxa"/>
            <w:gridSpan w:val="4"/>
            <w:vAlign w:val="center"/>
          </w:tcPr>
          <w:p w14:paraId="757353A7">
            <w:pPr>
              <w:widowControl w:val="0"/>
              <w:spacing w:before="0" w:after="0"/>
              <w:jc w:val="center"/>
              <w:rPr>
                <w:rFonts w:eastAsia="等线"/>
              </w:rPr>
            </w:pPr>
          </w:p>
        </w:tc>
      </w:tr>
      <w:tr w14:paraId="3A54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7DDBEEB1">
            <w:pPr>
              <w:widowControl w:val="0"/>
              <w:spacing w:before="0" w:after="0"/>
              <w:jc w:val="center"/>
            </w:pPr>
            <w:r>
              <w:rPr>
                <w:rFonts w:eastAsia="等线"/>
              </w:rPr>
              <w:t>引种时间</w:t>
            </w:r>
          </w:p>
        </w:tc>
        <w:tc>
          <w:tcPr>
            <w:tcW w:w="2752" w:type="dxa"/>
            <w:gridSpan w:val="4"/>
            <w:vAlign w:val="center"/>
          </w:tcPr>
          <w:p w14:paraId="567CA7C8">
            <w:pPr>
              <w:widowControl w:val="0"/>
              <w:spacing w:before="0" w:after="0"/>
              <w:jc w:val="center"/>
            </w:pPr>
          </w:p>
        </w:tc>
        <w:tc>
          <w:tcPr>
            <w:tcW w:w="2067" w:type="dxa"/>
            <w:gridSpan w:val="3"/>
            <w:vAlign w:val="center"/>
          </w:tcPr>
          <w:p w14:paraId="16E09613">
            <w:pPr>
              <w:widowControl w:val="0"/>
              <w:spacing w:before="0" w:after="0"/>
              <w:jc w:val="center"/>
            </w:pPr>
            <w:r>
              <w:rPr>
                <w:rFonts w:eastAsia="等线"/>
              </w:rPr>
              <w:t>引种号</w:t>
            </w:r>
          </w:p>
        </w:tc>
        <w:tc>
          <w:tcPr>
            <w:tcW w:w="2756" w:type="dxa"/>
            <w:gridSpan w:val="4"/>
            <w:vAlign w:val="center"/>
          </w:tcPr>
          <w:p w14:paraId="4E022C00">
            <w:pPr>
              <w:widowControl w:val="0"/>
              <w:spacing w:before="0" w:after="0"/>
              <w:jc w:val="center"/>
              <w:rPr>
                <w:rFonts w:eastAsia="等线"/>
              </w:rPr>
            </w:pPr>
          </w:p>
        </w:tc>
      </w:tr>
      <w:tr w14:paraId="743A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70DB5C0B">
            <w:pPr>
              <w:widowControl w:val="0"/>
              <w:spacing w:before="0" w:after="0"/>
              <w:jc w:val="center"/>
            </w:pPr>
            <w:r>
              <w:rPr>
                <w:rFonts w:eastAsia="等线"/>
              </w:rPr>
              <w:t>国家统一编号</w:t>
            </w:r>
          </w:p>
        </w:tc>
        <w:tc>
          <w:tcPr>
            <w:tcW w:w="2752" w:type="dxa"/>
            <w:gridSpan w:val="4"/>
            <w:vAlign w:val="center"/>
          </w:tcPr>
          <w:p w14:paraId="131EE615">
            <w:pPr>
              <w:widowControl w:val="0"/>
              <w:spacing w:before="0" w:after="0"/>
              <w:jc w:val="center"/>
            </w:pPr>
          </w:p>
        </w:tc>
        <w:tc>
          <w:tcPr>
            <w:tcW w:w="2067" w:type="dxa"/>
            <w:gridSpan w:val="3"/>
            <w:vAlign w:val="center"/>
          </w:tcPr>
          <w:p w14:paraId="5A696A35">
            <w:pPr>
              <w:widowControl w:val="0"/>
              <w:spacing w:before="0" w:after="0"/>
              <w:jc w:val="center"/>
            </w:pPr>
            <w:r>
              <w:rPr>
                <w:rFonts w:eastAsia="等线"/>
              </w:rPr>
              <w:t>采集号</w:t>
            </w:r>
          </w:p>
        </w:tc>
        <w:tc>
          <w:tcPr>
            <w:tcW w:w="2756" w:type="dxa"/>
            <w:gridSpan w:val="4"/>
            <w:vAlign w:val="center"/>
          </w:tcPr>
          <w:p w14:paraId="419B5DCB">
            <w:pPr>
              <w:widowControl w:val="0"/>
              <w:spacing w:before="0" w:after="0"/>
              <w:jc w:val="center"/>
              <w:rPr>
                <w:rFonts w:eastAsia="等线"/>
              </w:rPr>
            </w:pPr>
          </w:p>
        </w:tc>
      </w:tr>
      <w:tr w14:paraId="2BB0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406D0756">
            <w:pPr>
              <w:widowControl w:val="0"/>
              <w:spacing w:before="0" w:after="0"/>
              <w:jc w:val="center"/>
            </w:pPr>
            <w:r>
              <w:rPr>
                <w:rFonts w:eastAsia="等线"/>
              </w:rPr>
              <w:t>保存号</w:t>
            </w:r>
          </w:p>
        </w:tc>
        <w:tc>
          <w:tcPr>
            <w:tcW w:w="2752" w:type="dxa"/>
            <w:gridSpan w:val="4"/>
            <w:vAlign w:val="center"/>
          </w:tcPr>
          <w:p w14:paraId="1D000EF4">
            <w:pPr>
              <w:widowControl w:val="0"/>
              <w:spacing w:before="0" w:after="0"/>
              <w:jc w:val="center"/>
            </w:pPr>
          </w:p>
        </w:tc>
        <w:tc>
          <w:tcPr>
            <w:tcW w:w="2067" w:type="dxa"/>
            <w:gridSpan w:val="3"/>
            <w:vAlign w:val="center"/>
          </w:tcPr>
          <w:p w14:paraId="4DC4544C">
            <w:pPr>
              <w:widowControl w:val="0"/>
              <w:spacing w:before="0" w:after="0"/>
              <w:jc w:val="center"/>
            </w:pPr>
            <w:r>
              <w:rPr>
                <w:rFonts w:eastAsia="等线"/>
              </w:rPr>
              <w:t>保存方法</w:t>
            </w:r>
          </w:p>
        </w:tc>
        <w:tc>
          <w:tcPr>
            <w:tcW w:w="2756" w:type="dxa"/>
            <w:gridSpan w:val="4"/>
            <w:vAlign w:val="center"/>
          </w:tcPr>
          <w:p w14:paraId="03669039">
            <w:pPr>
              <w:widowControl w:val="0"/>
              <w:spacing w:before="0" w:after="0"/>
              <w:jc w:val="center"/>
              <w:rPr>
                <w:rFonts w:eastAsia="等线"/>
              </w:rPr>
            </w:pPr>
          </w:p>
        </w:tc>
      </w:tr>
      <w:tr w14:paraId="0EF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57B016FD">
            <w:pPr>
              <w:widowControl w:val="0"/>
              <w:spacing w:before="0" w:after="0"/>
              <w:jc w:val="center"/>
            </w:pPr>
            <w:r>
              <w:rPr>
                <w:rFonts w:eastAsia="等线"/>
              </w:rPr>
              <w:t>保存材料</w:t>
            </w:r>
          </w:p>
        </w:tc>
        <w:tc>
          <w:tcPr>
            <w:tcW w:w="2752" w:type="dxa"/>
            <w:gridSpan w:val="4"/>
            <w:vAlign w:val="center"/>
          </w:tcPr>
          <w:p w14:paraId="02C96C2E">
            <w:pPr>
              <w:widowControl w:val="0"/>
              <w:spacing w:before="0" w:after="0"/>
              <w:jc w:val="center"/>
            </w:pPr>
          </w:p>
        </w:tc>
        <w:tc>
          <w:tcPr>
            <w:tcW w:w="2067" w:type="dxa"/>
            <w:gridSpan w:val="3"/>
            <w:vAlign w:val="center"/>
          </w:tcPr>
          <w:p w14:paraId="6243F70A">
            <w:pPr>
              <w:widowControl w:val="0"/>
              <w:spacing w:before="0" w:after="0"/>
              <w:jc w:val="center"/>
            </w:pPr>
            <w:r>
              <w:rPr>
                <w:rFonts w:eastAsia="等线"/>
              </w:rPr>
              <w:t>保存者</w:t>
            </w:r>
          </w:p>
        </w:tc>
        <w:tc>
          <w:tcPr>
            <w:tcW w:w="2756" w:type="dxa"/>
            <w:gridSpan w:val="4"/>
            <w:vAlign w:val="center"/>
          </w:tcPr>
          <w:p w14:paraId="6234D3DB">
            <w:pPr>
              <w:widowControl w:val="0"/>
              <w:spacing w:before="0" w:after="0"/>
              <w:jc w:val="center"/>
              <w:rPr>
                <w:rFonts w:eastAsia="等线"/>
              </w:rPr>
            </w:pPr>
          </w:p>
        </w:tc>
      </w:tr>
      <w:tr w14:paraId="0AB3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125A1806">
            <w:pPr>
              <w:widowControl w:val="0"/>
              <w:spacing w:before="0" w:after="0"/>
              <w:jc w:val="center"/>
            </w:pPr>
            <w:r>
              <w:rPr>
                <w:rFonts w:eastAsia="等线"/>
              </w:rPr>
              <w:t>继代次数</w:t>
            </w:r>
          </w:p>
        </w:tc>
        <w:tc>
          <w:tcPr>
            <w:tcW w:w="688" w:type="dxa"/>
            <w:vAlign w:val="center"/>
          </w:tcPr>
          <w:p w14:paraId="46FAA332">
            <w:pPr>
              <w:widowControl w:val="0"/>
              <w:spacing w:before="0" w:after="0"/>
              <w:jc w:val="center"/>
            </w:pPr>
          </w:p>
        </w:tc>
        <w:tc>
          <w:tcPr>
            <w:tcW w:w="688" w:type="dxa"/>
            <w:vAlign w:val="center"/>
          </w:tcPr>
          <w:p w14:paraId="0C71B9B6">
            <w:pPr>
              <w:widowControl w:val="0"/>
              <w:spacing w:before="0" w:after="0"/>
              <w:jc w:val="center"/>
            </w:pPr>
          </w:p>
        </w:tc>
        <w:tc>
          <w:tcPr>
            <w:tcW w:w="688" w:type="dxa"/>
            <w:vAlign w:val="center"/>
          </w:tcPr>
          <w:p w14:paraId="5688AB0C">
            <w:pPr>
              <w:widowControl w:val="0"/>
              <w:spacing w:before="0" w:after="0"/>
              <w:jc w:val="center"/>
            </w:pPr>
          </w:p>
        </w:tc>
        <w:tc>
          <w:tcPr>
            <w:tcW w:w="688" w:type="dxa"/>
            <w:vAlign w:val="center"/>
          </w:tcPr>
          <w:p w14:paraId="5D0F4827">
            <w:pPr>
              <w:widowControl w:val="0"/>
              <w:spacing w:before="0" w:after="0"/>
              <w:jc w:val="center"/>
            </w:pPr>
          </w:p>
        </w:tc>
        <w:tc>
          <w:tcPr>
            <w:tcW w:w="689" w:type="dxa"/>
            <w:vAlign w:val="center"/>
          </w:tcPr>
          <w:p w14:paraId="7A702D37">
            <w:pPr>
              <w:widowControl w:val="0"/>
              <w:spacing w:before="0" w:after="0"/>
              <w:jc w:val="center"/>
            </w:pPr>
          </w:p>
        </w:tc>
        <w:tc>
          <w:tcPr>
            <w:tcW w:w="689" w:type="dxa"/>
            <w:vAlign w:val="center"/>
          </w:tcPr>
          <w:p w14:paraId="3091FDFC">
            <w:pPr>
              <w:widowControl w:val="0"/>
              <w:spacing w:before="0" w:after="0"/>
              <w:jc w:val="center"/>
            </w:pPr>
          </w:p>
        </w:tc>
        <w:tc>
          <w:tcPr>
            <w:tcW w:w="689" w:type="dxa"/>
            <w:vAlign w:val="center"/>
          </w:tcPr>
          <w:p w14:paraId="6105CF01">
            <w:pPr>
              <w:widowControl w:val="0"/>
              <w:spacing w:before="0" w:after="0"/>
              <w:jc w:val="center"/>
            </w:pPr>
          </w:p>
        </w:tc>
        <w:tc>
          <w:tcPr>
            <w:tcW w:w="689" w:type="dxa"/>
            <w:vAlign w:val="center"/>
          </w:tcPr>
          <w:p w14:paraId="20050E4E">
            <w:pPr>
              <w:widowControl w:val="0"/>
              <w:spacing w:before="0" w:after="0"/>
              <w:jc w:val="center"/>
            </w:pPr>
          </w:p>
        </w:tc>
        <w:tc>
          <w:tcPr>
            <w:tcW w:w="689" w:type="dxa"/>
            <w:vAlign w:val="center"/>
          </w:tcPr>
          <w:p w14:paraId="36E596B9">
            <w:pPr>
              <w:widowControl w:val="0"/>
              <w:spacing w:before="0" w:after="0"/>
              <w:jc w:val="center"/>
            </w:pPr>
          </w:p>
        </w:tc>
        <w:tc>
          <w:tcPr>
            <w:tcW w:w="689" w:type="dxa"/>
            <w:vAlign w:val="center"/>
          </w:tcPr>
          <w:p w14:paraId="6C05FA5D">
            <w:pPr>
              <w:widowControl w:val="0"/>
              <w:spacing w:before="0" w:after="0"/>
              <w:jc w:val="center"/>
            </w:pPr>
          </w:p>
        </w:tc>
        <w:tc>
          <w:tcPr>
            <w:tcW w:w="689" w:type="dxa"/>
            <w:vAlign w:val="center"/>
          </w:tcPr>
          <w:p w14:paraId="076FB43E">
            <w:pPr>
              <w:widowControl w:val="0"/>
              <w:spacing w:before="0" w:after="0"/>
              <w:jc w:val="center"/>
            </w:pPr>
          </w:p>
        </w:tc>
      </w:tr>
      <w:tr w14:paraId="523C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31323120">
            <w:pPr>
              <w:widowControl w:val="0"/>
              <w:spacing w:before="0" w:after="0"/>
              <w:jc w:val="center"/>
            </w:pPr>
            <w:r>
              <w:rPr>
                <w:rFonts w:eastAsia="等线"/>
              </w:rPr>
              <w:t>继代时间</w:t>
            </w:r>
          </w:p>
        </w:tc>
        <w:tc>
          <w:tcPr>
            <w:tcW w:w="688" w:type="dxa"/>
            <w:vAlign w:val="center"/>
          </w:tcPr>
          <w:p w14:paraId="21D31385">
            <w:pPr>
              <w:widowControl w:val="0"/>
              <w:spacing w:before="0" w:after="0"/>
              <w:jc w:val="center"/>
            </w:pPr>
          </w:p>
        </w:tc>
        <w:tc>
          <w:tcPr>
            <w:tcW w:w="688" w:type="dxa"/>
            <w:vAlign w:val="center"/>
          </w:tcPr>
          <w:p w14:paraId="47C7AE29">
            <w:pPr>
              <w:widowControl w:val="0"/>
              <w:spacing w:before="0" w:after="0"/>
              <w:jc w:val="center"/>
            </w:pPr>
          </w:p>
        </w:tc>
        <w:tc>
          <w:tcPr>
            <w:tcW w:w="688" w:type="dxa"/>
            <w:vAlign w:val="center"/>
          </w:tcPr>
          <w:p w14:paraId="349CF588">
            <w:pPr>
              <w:widowControl w:val="0"/>
              <w:spacing w:before="0" w:after="0"/>
              <w:jc w:val="center"/>
            </w:pPr>
          </w:p>
        </w:tc>
        <w:tc>
          <w:tcPr>
            <w:tcW w:w="688" w:type="dxa"/>
            <w:vAlign w:val="center"/>
          </w:tcPr>
          <w:p w14:paraId="5E637784">
            <w:pPr>
              <w:widowControl w:val="0"/>
              <w:spacing w:before="0" w:after="0"/>
              <w:jc w:val="center"/>
            </w:pPr>
          </w:p>
        </w:tc>
        <w:tc>
          <w:tcPr>
            <w:tcW w:w="689" w:type="dxa"/>
            <w:vAlign w:val="center"/>
          </w:tcPr>
          <w:p w14:paraId="00D1C875">
            <w:pPr>
              <w:widowControl w:val="0"/>
              <w:spacing w:before="0" w:after="0"/>
              <w:jc w:val="center"/>
            </w:pPr>
          </w:p>
        </w:tc>
        <w:tc>
          <w:tcPr>
            <w:tcW w:w="689" w:type="dxa"/>
            <w:vAlign w:val="center"/>
          </w:tcPr>
          <w:p w14:paraId="4EE69FAE">
            <w:pPr>
              <w:widowControl w:val="0"/>
              <w:spacing w:before="0" w:after="0"/>
              <w:jc w:val="center"/>
            </w:pPr>
          </w:p>
        </w:tc>
        <w:tc>
          <w:tcPr>
            <w:tcW w:w="689" w:type="dxa"/>
            <w:vAlign w:val="center"/>
          </w:tcPr>
          <w:p w14:paraId="3C5C12B7">
            <w:pPr>
              <w:widowControl w:val="0"/>
              <w:spacing w:before="0" w:after="0"/>
              <w:jc w:val="center"/>
            </w:pPr>
          </w:p>
        </w:tc>
        <w:tc>
          <w:tcPr>
            <w:tcW w:w="689" w:type="dxa"/>
            <w:vAlign w:val="center"/>
          </w:tcPr>
          <w:p w14:paraId="121635CE">
            <w:pPr>
              <w:widowControl w:val="0"/>
              <w:spacing w:before="0" w:after="0"/>
              <w:jc w:val="center"/>
            </w:pPr>
          </w:p>
        </w:tc>
        <w:tc>
          <w:tcPr>
            <w:tcW w:w="689" w:type="dxa"/>
            <w:vAlign w:val="center"/>
          </w:tcPr>
          <w:p w14:paraId="3C2F5832">
            <w:pPr>
              <w:widowControl w:val="0"/>
              <w:spacing w:before="0" w:after="0"/>
              <w:jc w:val="center"/>
            </w:pPr>
          </w:p>
        </w:tc>
        <w:tc>
          <w:tcPr>
            <w:tcW w:w="689" w:type="dxa"/>
            <w:vAlign w:val="center"/>
          </w:tcPr>
          <w:p w14:paraId="1E6E6343">
            <w:pPr>
              <w:widowControl w:val="0"/>
              <w:spacing w:before="0" w:after="0"/>
              <w:jc w:val="center"/>
            </w:pPr>
          </w:p>
        </w:tc>
        <w:tc>
          <w:tcPr>
            <w:tcW w:w="689" w:type="dxa"/>
            <w:vAlign w:val="center"/>
          </w:tcPr>
          <w:p w14:paraId="49C37F74">
            <w:pPr>
              <w:widowControl w:val="0"/>
              <w:spacing w:before="0" w:after="0"/>
              <w:jc w:val="center"/>
            </w:pPr>
          </w:p>
        </w:tc>
      </w:tr>
      <w:tr w14:paraId="5C23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0676F7A4">
            <w:pPr>
              <w:widowControl w:val="0"/>
              <w:spacing w:before="0" w:after="0"/>
              <w:jc w:val="center"/>
            </w:pPr>
            <w:r>
              <w:rPr>
                <w:rFonts w:eastAsia="等线"/>
              </w:rPr>
              <w:t>保存数量</w:t>
            </w:r>
          </w:p>
        </w:tc>
        <w:tc>
          <w:tcPr>
            <w:tcW w:w="688" w:type="dxa"/>
            <w:vAlign w:val="center"/>
          </w:tcPr>
          <w:p w14:paraId="7CE30D39">
            <w:pPr>
              <w:widowControl w:val="0"/>
              <w:spacing w:before="0" w:after="0"/>
              <w:jc w:val="center"/>
            </w:pPr>
          </w:p>
        </w:tc>
        <w:tc>
          <w:tcPr>
            <w:tcW w:w="688" w:type="dxa"/>
            <w:vAlign w:val="center"/>
          </w:tcPr>
          <w:p w14:paraId="6D7BA472">
            <w:pPr>
              <w:widowControl w:val="0"/>
              <w:spacing w:before="0" w:after="0"/>
              <w:jc w:val="center"/>
            </w:pPr>
          </w:p>
        </w:tc>
        <w:tc>
          <w:tcPr>
            <w:tcW w:w="688" w:type="dxa"/>
            <w:vAlign w:val="center"/>
          </w:tcPr>
          <w:p w14:paraId="4971E171">
            <w:pPr>
              <w:widowControl w:val="0"/>
              <w:spacing w:before="0" w:after="0"/>
              <w:jc w:val="center"/>
            </w:pPr>
          </w:p>
        </w:tc>
        <w:tc>
          <w:tcPr>
            <w:tcW w:w="688" w:type="dxa"/>
            <w:vAlign w:val="center"/>
          </w:tcPr>
          <w:p w14:paraId="2A477E58">
            <w:pPr>
              <w:widowControl w:val="0"/>
              <w:spacing w:before="0" w:after="0"/>
              <w:jc w:val="center"/>
            </w:pPr>
          </w:p>
        </w:tc>
        <w:tc>
          <w:tcPr>
            <w:tcW w:w="689" w:type="dxa"/>
            <w:vAlign w:val="center"/>
          </w:tcPr>
          <w:p w14:paraId="48AAD102">
            <w:pPr>
              <w:widowControl w:val="0"/>
              <w:spacing w:before="0" w:after="0"/>
              <w:jc w:val="center"/>
            </w:pPr>
          </w:p>
        </w:tc>
        <w:tc>
          <w:tcPr>
            <w:tcW w:w="689" w:type="dxa"/>
            <w:vAlign w:val="center"/>
          </w:tcPr>
          <w:p w14:paraId="1F64B8AF">
            <w:pPr>
              <w:widowControl w:val="0"/>
              <w:spacing w:before="0" w:after="0"/>
              <w:jc w:val="center"/>
            </w:pPr>
          </w:p>
        </w:tc>
        <w:tc>
          <w:tcPr>
            <w:tcW w:w="689" w:type="dxa"/>
            <w:vAlign w:val="center"/>
          </w:tcPr>
          <w:p w14:paraId="0138453B">
            <w:pPr>
              <w:widowControl w:val="0"/>
              <w:spacing w:before="0" w:after="0"/>
              <w:jc w:val="center"/>
            </w:pPr>
          </w:p>
        </w:tc>
        <w:tc>
          <w:tcPr>
            <w:tcW w:w="689" w:type="dxa"/>
            <w:vAlign w:val="center"/>
          </w:tcPr>
          <w:p w14:paraId="74A08B63">
            <w:pPr>
              <w:widowControl w:val="0"/>
              <w:spacing w:before="0" w:after="0"/>
              <w:jc w:val="center"/>
            </w:pPr>
          </w:p>
        </w:tc>
        <w:tc>
          <w:tcPr>
            <w:tcW w:w="689" w:type="dxa"/>
            <w:vAlign w:val="center"/>
          </w:tcPr>
          <w:p w14:paraId="722AC9FC">
            <w:pPr>
              <w:widowControl w:val="0"/>
              <w:spacing w:before="0" w:after="0"/>
              <w:jc w:val="center"/>
            </w:pPr>
          </w:p>
        </w:tc>
        <w:tc>
          <w:tcPr>
            <w:tcW w:w="689" w:type="dxa"/>
            <w:vAlign w:val="center"/>
          </w:tcPr>
          <w:p w14:paraId="62D0AA17">
            <w:pPr>
              <w:widowControl w:val="0"/>
              <w:spacing w:before="0" w:after="0"/>
              <w:jc w:val="center"/>
            </w:pPr>
          </w:p>
        </w:tc>
        <w:tc>
          <w:tcPr>
            <w:tcW w:w="689" w:type="dxa"/>
            <w:vAlign w:val="center"/>
          </w:tcPr>
          <w:p w14:paraId="5A84CA08">
            <w:pPr>
              <w:widowControl w:val="0"/>
              <w:spacing w:before="0" w:after="0"/>
              <w:jc w:val="center"/>
            </w:pPr>
          </w:p>
        </w:tc>
      </w:tr>
      <w:tr w14:paraId="49B7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Ex>
        <w:trPr>
          <w:trHeight w:val="397" w:hRule="atLeast"/>
        </w:trPr>
        <w:tc>
          <w:tcPr>
            <w:tcW w:w="1809" w:type="dxa"/>
            <w:vAlign w:val="center"/>
          </w:tcPr>
          <w:p w14:paraId="1DDCBAAB">
            <w:pPr>
              <w:widowControl w:val="0"/>
              <w:spacing w:before="0" w:after="0"/>
              <w:jc w:val="center"/>
            </w:pPr>
            <w:r>
              <w:rPr>
                <w:rFonts w:eastAsia="等线"/>
              </w:rPr>
              <w:t>操作人</w:t>
            </w:r>
          </w:p>
        </w:tc>
        <w:tc>
          <w:tcPr>
            <w:tcW w:w="688" w:type="dxa"/>
            <w:vAlign w:val="center"/>
          </w:tcPr>
          <w:p w14:paraId="04AB2D3D">
            <w:pPr>
              <w:widowControl w:val="0"/>
              <w:spacing w:before="0" w:after="0"/>
              <w:jc w:val="center"/>
            </w:pPr>
          </w:p>
        </w:tc>
        <w:tc>
          <w:tcPr>
            <w:tcW w:w="688" w:type="dxa"/>
            <w:vAlign w:val="center"/>
          </w:tcPr>
          <w:p w14:paraId="138D92E3">
            <w:pPr>
              <w:widowControl w:val="0"/>
              <w:spacing w:before="0" w:after="0"/>
              <w:jc w:val="center"/>
            </w:pPr>
          </w:p>
        </w:tc>
        <w:tc>
          <w:tcPr>
            <w:tcW w:w="688" w:type="dxa"/>
            <w:vAlign w:val="center"/>
          </w:tcPr>
          <w:p w14:paraId="12B67646">
            <w:pPr>
              <w:widowControl w:val="0"/>
              <w:spacing w:before="0" w:after="0"/>
              <w:jc w:val="center"/>
            </w:pPr>
          </w:p>
        </w:tc>
        <w:tc>
          <w:tcPr>
            <w:tcW w:w="688" w:type="dxa"/>
            <w:vAlign w:val="center"/>
          </w:tcPr>
          <w:p w14:paraId="538621FA">
            <w:pPr>
              <w:widowControl w:val="0"/>
              <w:spacing w:before="0" w:after="0"/>
              <w:jc w:val="center"/>
            </w:pPr>
          </w:p>
        </w:tc>
        <w:tc>
          <w:tcPr>
            <w:tcW w:w="689" w:type="dxa"/>
            <w:vAlign w:val="center"/>
          </w:tcPr>
          <w:p w14:paraId="01FB952D">
            <w:pPr>
              <w:widowControl w:val="0"/>
              <w:spacing w:before="0" w:after="0"/>
              <w:jc w:val="center"/>
            </w:pPr>
          </w:p>
        </w:tc>
        <w:tc>
          <w:tcPr>
            <w:tcW w:w="689" w:type="dxa"/>
            <w:vAlign w:val="center"/>
          </w:tcPr>
          <w:p w14:paraId="2D9DA3A5">
            <w:pPr>
              <w:widowControl w:val="0"/>
              <w:spacing w:before="0" w:after="0"/>
              <w:jc w:val="center"/>
            </w:pPr>
          </w:p>
        </w:tc>
        <w:tc>
          <w:tcPr>
            <w:tcW w:w="689" w:type="dxa"/>
            <w:vAlign w:val="center"/>
          </w:tcPr>
          <w:p w14:paraId="688014AB">
            <w:pPr>
              <w:widowControl w:val="0"/>
              <w:spacing w:before="0" w:after="0"/>
              <w:jc w:val="center"/>
            </w:pPr>
          </w:p>
        </w:tc>
        <w:tc>
          <w:tcPr>
            <w:tcW w:w="689" w:type="dxa"/>
            <w:vAlign w:val="center"/>
          </w:tcPr>
          <w:p w14:paraId="48A99579">
            <w:pPr>
              <w:widowControl w:val="0"/>
              <w:spacing w:before="0" w:after="0"/>
              <w:jc w:val="center"/>
            </w:pPr>
          </w:p>
        </w:tc>
        <w:tc>
          <w:tcPr>
            <w:tcW w:w="689" w:type="dxa"/>
            <w:vAlign w:val="center"/>
          </w:tcPr>
          <w:p w14:paraId="2C78BA8E">
            <w:pPr>
              <w:widowControl w:val="0"/>
              <w:spacing w:before="0" w:after="0"/>
              <w:jc w:val="center"/>
            </w:pPr>
          </w:p>
        </w:tc>
        <w:tc>
          <w:tcPr>
            <w:tcW w:w="689" w:type="dxa"/>
            <w:vAlign w:val="center"/>
          </w:tcPr>
          <w:p w14:paraId="659EF60D">
            <w:pPr>
              <w:widowControl w:val="0"/>
              <w:spacing w:before="0" w:after="0"/>
              <w:jc w:val="center"/>
            </w:pPr>
          </w:p>
        </w:tc>
        <w:tc>
          <w:tcPr>
            <w:tcW w:w="689" w:type="dxa"/>
            <w:vAlign w:val="center"/>
          </w:tcPr>
          <w:p w14:paraId="01A7BB84">
            <w:pPr>
              <w:widowControl w:val="0"/>
              <w:spacing w:before="0" w:after="0"/>
              <w:jc w:val="center"/>
            </w:pPr>
          </w:p>
        </w:tc>
      </w:tr>
    </w:tbl>
    <w:p w14:paraId="02E59687"/>
    <w:p w14:paraId="2A2FF77C"/>
    <w:p w14:paraId="3A2464B1"/>
    <w:p w14:paraId="6D7CD5FB"/>
    <w:p w14:paraId="4669892A"/>
    <w:p w14:paraId="711BC6AF"/>
    <w:p w14:paraId="5A7A7236"/>
    <w:p w14:paraId="7ECD6128"/>
    <w:p w14:paraId="4D493050"/>
    <w:p w14:paraId="69648F15"/>
    <w:p w14:paraId="70C3EB92"/>
    <w:p w14:paraId="39260BD5"/>
    <w:p w14:paraId="72D85F90"/>
    <w:p w14:paraId="0DC94057"/>
    <w:p w14:paraId="430C0C2F"/>
    <w:p w14:paraId="4946FB33"/>
    <w:p w14:paraId="739D12F2"/>
    <w:p w14:paraId="3B296D60"/>
    <w:p w14:paraId="2D754BD1"/>
    <w:p w14:paraId="0B7CA02F"/>
    <w:p w14:paraId="371FB8ED"/>
    <w:p w14:paraId="205F34C8"/>
    <w:p w14:paraId="3DC5C36F"/>
    <w:p w14:paraId="23B0904E"/>
    <w:p w14:paraId="3A93C1BD"/>
    <w:p w14:paraId="77A67C6D"/>
    <w:p w14:paraId="0EE30C37"/>
    <w:p w14:paraId="20981891">
      <w:pPr>
        <w:pStyle w:val="2"/>
        <w:spacing w:before="20" w:after="20" w:line="240" w:lineRule="auto"/>
        <w:jc w:val="center"/>
        <w:rPr>
          <w:rFonts w:ascii="黑体" w:hAnsi="黑体" w:eastAsia="黑体"/>
          <w:sz w:val="21"/>
          <w:szCs w:val="21"/>
        </w:rPr>
      </w:pPr>
      <w:bookmarkStart w:id="318" w:name="_Toc8100"/>
      <w:bookmarkStart w:id="319" w:name="_Toc14068"/>
      <w:bookmarkStart w:id="320" w:name="_Toc18739"/>
      <w:r>
        <w:rPr>
          <w:rFonts w:ascii="宋体" w:hAnsi="宋体" w:eastAsia="宋体"/>
          <w:sz w:val="21"/>
          <w:szCs w:val="21"/>
        </w:rPr>
        <w:t>附 录 B</w:t>
      </w:r>
      <w:bookmarkEnd w:id="318"/>
      <w:bookmarkEnd w:id="319"/>
      <w:bookmarkEnd w:id="320"/>
    </w:p>
    <w:p w14:paraId="2AC1170C">
      <w:pPr>
        <w:jc w:val="center"/>
      </w:pPr>
      <w:r>
        <w:rPr>
          <w:rFonts w:eastAsia="等线"/>
        </w:rPr>
        <w:t>（资料性）</w:t>
      </w:r>
    </w:p>
    <w:p w14:paraId="44D377BB">
      <w:pPr>
        <w:jc w:val="center"/>
      </w:pPr>
      <w:r>
        <w:rPr>
          <w:rFonts w:eastAsia="等线"/>
        </w:rPr>
        <w:t>吸芽采集参考对照</w:t>
      </w:r>
    </w:p>
    <w:p w14:paraId="7BACF376">
      <w:pPr>
        <w:snapToGrid w:val="0"/>
        <w:jc w:val="center"/>
      </w:pPr>
      <w:r>
        <w:rPr>
          <w:rFonts w:eastAsia="等线"/>
        </w:rPr>
        <w:drawing>
          <wp:inline distT="0" distB="0" distL="0" distR="0">
            <wp:extent cx="2335530" cy="2232660"/>
            <wp:effectExtent l="0" t="0" r="7620" b="15240"/>
            <wp:docPr id="22" name="1731638325827-0.png" descr="1731638325827-0.png"/>
            <wp:cNvGraphicFramePr/>
            <a:graphic xmlns:a="http://schemas.openxmlformats.org/drawingml/2006/main">
              <a:graphicData uri="http://schemas.openxmlformats.org/drawingml/2006/picture">
                <pic:pic xmlns:pic="http://schemas.openxmlformats.org/drawingml/2006/picture">
                  <pic:nvPicPr>
                    <pic:cNvPr id="22" name="1731638325827-0.png" descr="1731638325827-0.png"/>
                    <pic:cNvPicPr/>
                  </pic:nvPicPr>
                  <pic:blipFill>
                    <a:blip r:embed="rId12"/>
                    <a:stretch>
                      <a:fillRect/>
                    </a:stretch>
                  </pic:blipFill>
                  <pic:spPr>
                    <a:xfrm>
                      <a:off x="0" y="0"/>
                      <a:ext cx="2335680" cy="2232720"/>
                    </a:xfrm>
                    <a:prstGeom prst="rect">
                      <a:avLst/>
                    </a:prstGeom>
                    <a:ln w="0">
                      <a:noFill/>
                    </a:ln>
                  </pic:spPr>
                </pic:pic>
              </a:graphicData>
            </a:graphic>
          </wp:inline>
        </w:drawing>
      </w:r>
    </w:p>
    <w:p w14:paraId="33EDE1B4">
      <w:pPr>
        <w:pStyle w:val="68"/>
        <w:spacing w:before="156" w:after="156"/>
        <w:rPr>
          <w:rFonts w:cs="黑体"/>
          <w:szCs w:val="21"/>
        </w:rPr>
      </w:pPr>
      <w:r>
        <w:rPr>
          <w:rFonts w:cs="黑体"/>
          <w:szCs w:val="21"/>
        </w:rPr>
        <w:t>图B.1小吸芽的采集方法</w:t>
      </w:r>
    </w:p>
    <w:p w14:paraId="15795ACB">
      <w:pPr>
        <w:numPr>
          <w:ilvl w:val="0"/>
          <w:numId w:val="3"/>
        </w:numPr>
        <w:ind w:left="840" w:hanging="420"/>
      </w:pPr>
      <w:r>
        <w:rPr>
          <w:rFonts w:ascii="宋体" w:hAnsi="宋体" w:eastAsia="宋体" w:cs="宋体"/>
          <w:sz w:val="18"/>
          <w:szCs w:val="18"/>
        </w:rPr>
        <w:t>上图中，左边的吸芽假茎保留长度为5</w:t>
      </w:r>
      <w:r>
        <w:rPr>
          <w:rFonts w:ascii="宋体" w:hAnsi="宋体" w:eastAsia="宋体" w:cs="宋体"/>
          <w:sz w:val="18"/>
          <w:szCs w:val="18"/>
          <w:lang w:val="en-US" w:eastAsia="zh-CN"/>
        </w:rPr>
        <w:t>cm</w:t>
      </w:r>
      <w:r>
        <w:rPr>
          <w:rFonts w:ascii="Times New Roman" w:hAnsi="Times New Roman" w:eastAsia="宋体" w:cs="Times New Roman"/>
          <w:sz w:val="18"/>
          <w:szCs w:val="18"/>
        </w:rPr>
        <w:t>~</w:t>
      </w:r>
      <w:r>
        <w:rPr>
          <w:rFonts w:ascii="宋体" w:hAnsi="宋体" w:eastAsia="宋体" w:cs="宋体"/>
          <w:sz w:val="18"/>
          <w:szCs w:val="18"/>
        </w:rPr>
        <w:t>6 cm，肉质茎保留了3 cm</w:t>
      </w:r>
      <w:r>
        <w:rPr>
          <w:rFonts w:ascii="宋体" w:hAnsi="宋体" w:eastAsia="宋体" w:cs="宋体"/>
          <w:sz w:val="18"/>
          <w:szCs w:val="18"/>
          <w:lang w:eastAsia="zh-CN"/>
        </w:rPr>
        <w:t>，</w:t>
      </w:r>
      <w:r>
        <w:rPr>
          <w:rFonts w:ascii="宋体" w:hAnsi="宋体" w:eastAsia="宋体" w:cs="宋体"/>
          <w:sz w:val="18"/>
          <w:szCs w:val="18"/>
          <w:lang w:val="en-US" w:eastAsia="zh-CN"/>
        </w:rPr>
        <w:t>为标准采集方法</w:t>
      </w:r>
      <w:r>
        <w:rPr>
          <w:rFonts w:ascii="宋体" w:hAnsi="宋体" w:eastAsia="宋体" w:cs="宋体"/>
          <w:sz w:val="18"/>
          <w:szCs w:val="18"/>
        </w:rPr>
        <w:t>。右边吸芽假茎没有处理，肉质茎长度不足1 cm（以肉质茎中心位置的长度为准）。</w:t>
      </w:r>
    </w:p>
    <w:p w14:paraId="4F227E5C">
      <w:pPr>
        <w:snapToGrid w:val="0"/>
        <w:jc w:val="center"/>
      </w:pPr>
      <w:r>
        <w:rPr>
          <w:rFonts w:eastAsia="等线"/>
        </w:rPr>
        <w:drawing>
          <wp:inline distT="0" distB="0" distL="0" distR="0">
            <wp:extent cx="1644015" cy="1405890"/>
            <wp:effectExtent l="0" t="0" r="0" b="3810"/>
            <wp:docPr id="23" name="1731638449139-0.png" descr="1731638449139-0.png"/>
            <wp:cNvGraphicFramePr/>
            <a:graphic xmlns:a="http://schemas.openxmlformats.org/drawingml/2006/main">
              <a:graphicData uri="http://schemas.openxmlformats.org/drawingml/2006/picture">
                <pic:pic xmlns:pic="http://schemas.openxmlformats.org/drawingml/2006/picture">
                  <pic:nvPicPr>
                    <pic:cNvPr id="23" name="1731638449139-0.png" descr="1731638449139-0.png"/>
                    <pic:cNvPicPr/>
                  </pic:nvPicPr>
                  <pic:blipFill>
                    <a:blip r:embed="rId13"/>
                    <a:stretch>
                      <a:fillRect/>
                    </a:stretch>
                  </pic:blipFill>
                  <pic:spPr>
                    <a:xfrm>
                      <a:off x="0" y="0"/>
                      <a:ext cx="1644120" cy="1405800"/>
                    </a:xfrm>
                    <a:prstGeom prst="rect">
                      <a:avLst/>
                    </a:prstGeom>
                    <a:ln w="0">
                      <a:noFill/>
                    </a:ln>
                  </pic:spPr>
                </pic:pic>
              </a:graphicData>
            </a:graphic>
          </wp:inline>
        </w:drawing>
      </w:r>
      <w:r>
        <w:rPr>
          <w:rFonts w:eastAsia="等线"/>
        </w:rPr>
        <w:drawing>
          <wp:inline distT="0" distB="0" distL="0" distR="0">
            <wp:extent cx="1534795" cy="1414780"/>
            <wp:effectExtent l="0" t="0" r="8255" b="0"/>
            <wp:docPr id="24" name="1731638453249-0.png" descr="1731638453249-0.png"/>
            <wp:cNvGraphicFramePr/>
            <a:graphic xmlns:a="http://schemas.openxmlformats.org/drawingml/2006/main">
              <a:graphicData uri="http://schemas.openxmlformats.org/drawingml/2006/picture">
                <pic:pic xmlns:pic="http://schemas.openxmlformats.org/drawingml/2006/picture">
                  <pic:nvPicPr>
                    <pic:cNvPr id="24" name="1731638453249-0.png" descr="1731638453249-0.png"/>
                    <pic:cNvPicPr/>
                  </pic:nvPicPr>
                  <pic:blipFill>
                    <a:blip r:embed="rId14"/>
                    <a:stretch>
                      <a:fillRect/>
                    </a:stretch>
                  </pic:blipFill>
                  <pic:spPr>
                    <a:xfrm>
                      <a:off x="0" y="0"/>
                      <a:ext cx="1534680" cy="1414800"/>
                    </a:xfrm>
                    <a:prstGeom prst="rect">
                      <a:avLst/>
                    </a:prstGeom>
                    <a:ln w="0">
                      <a:noFill/>
                    </a:ln>
                  </pic:spPr>
                </pic:pic>
              </a:graphicData>
            </a:graphic>
          </wp:inline>
        </w:drawing>
      </w:r>
    </w:p>
    <w:p w14:paraId="5A059938">
      <w:pPr>
        <w:pStyle w:val="68"/>
        <w:spacing w:before="156" w:after="156"/>
      </w:pPr>
      <w:r>
        <w:rPr>
          <w:rFonts w:cs="黑体"/>
          <w:szCs w:val="21"/>
        </w:rPr>
        <w:t>图B.2假茎截面图</w:t>
      </w:r>
    </w:p>
    <w:p w14:paraId="0ABECDC1">
      <w:pPr>
        <w:numPr>
          <w:ilvl w:val="0"/>
          <w:numId w:val="3"/>
        </w:numPr>
        <w:ind w:left="840" w:hanging="420"/>
      </w:pPr>
      <w:r>
        <w:rPr>
          <w:rFonts w:ascii="宋体" w:hAnsi="宋体" w:eastAsia="宋体" w:cs="宋体"/>
          <w:sz w:val="18"/>
          <w:szCs w:val="18"/>
        </w:rPr>
        <w:t>左图为未分化花芽的吸芽，具有明显的螺纹。右图为分化花芽的吸芽，截面光滑，没有假茎中心点。</w:t>
      </w:r>
    </w:p>
    <w:p w14:paraId="06324FE5">
      <w:pPr>
        <w:snapToGrid w:val="0"/>
        <w:jc w:val="center"/>
      </w:pPr>
      <w:r>
        <w:rPr>
          <w:rFonts w:eastAsia="等线"/>
        </w:rPr>
        <w:drawing>
          <wp:inline distT="0" distB="0" distL="0" distR="0">
            <wp:extent cx="2560320" cy="2286000"/>
            <wp:effectExtent l="0" t="0" r="0" b="0"/>
            <wp:docPr id="25" name="1731638518625-0.png" descr="1731638518625-0.png"/>
            <wp:cNvGraphicFramePr/>
            <a:graphic xmlns:a="http://schemas.openxmlformats.org/drawingml/2006/main">
              <a:graphicData uri="http://schemas.openxmlformats.org/drawingml/2006/picture">
                <pic:pic xmlns:pic="http://schemas.openxmlformats.org/drawingml/2006/picture">
                  <pic:nvPicPr>
                    <pic:cNvPr id="25" name="1731638518625-0.png" descr="1731638518625-0.png"/>
                    <pic:cNvPicPr/>
                  </pic:nvPicPr>
                  <pic:blipFill>
                    <a:blip r:embed="rId15"/>
                    <a:stretch>
                      <a:fillRect/>
                    </a:stretch>
                  </pic:blipFill>
                  <pic:spPr>
                    <a:xfrm>
                      <a:off x="0" y="0"/>
                      <a:ext cx="2560320" cy="2286000"/>
                    </a:xfrm>
                    <a:prstGeom prst="rect">
                      <a:avLst/>
                    </a:prstGeom>
                    <a:ln w="0">
                      <a:noFill/>
                    </a:ln>
                  </pic:spPr>
                </pic:pic>
              </a:graphicData>
            </a:graphic>
          </wp:inline>
        </w:drawing>
      </w:r>
    </w:p>
    <w:p w14:paraId="65D9708C">
      <w:pPr>
        <w:pStyle w:val="68"/>
        <w:spacing w:before="156" w:after="156"/>
      </w:pPr>
      <w:r>
        <w:rPr>
          <w:rFonts w:cs="黑体"/>
          <w:szCs w:val="21"/>
        </w:rPr>
        <w:t>图B.3大吸芽处理后的标准状态</w:t>
      </w:r>
    </w:p>
    <w:p w14:paraId="2C0E16DC">
      <w:pPr>
        <w:numPr>
          <w:ilvl w:val="0"/>
          <w:numId w:val="3"/>
        </w:numPr>
        <w:ind w:left="840" w:hanging="420"/>
      </w:pPr>
      <w:r>
        <w:rPr>
          <w:rFonts w:ascii="宋体" w:hAnsi="宋体" w:eastAsia="宋体" w:cs="宋体"/>
          <w:sz w:val="18"/>
          <w:szCs w:val="18"/>
        </w:rPr>
        <w:t>以鞘叶基部为起点，上下各保留4</w:t>
      </w:r>
      <w:r>
        <w:rPr>
          <w:rFonts w:ascii="宋体" w:hAnsi="宋体" w:eastAsia="宋体" w:cs="宋体"/>
          <w:sz w:val="18"/>
          <w:szCs w:val="18"/>
          <w:lang w:val="en-US" w:eastAsia="zh-CN"/>
        </w:rPr>
        <w:t xml:space="preserve"> cm</w:t>
      </w:r>
      <w:r>
        <w:rPr>
          <w:rFonts w:ascii="Times New Roman" w:hAnsi="Times New Roman" w:eastAsia="宋体" w:cs="Times New Roman"/>
          <w:sz w:val="18"/>
          <w:szCs w:val="18"/>
        </w:rPr>
        <w:t>~</w:t>
      </w:r>
      <w:r>
        <w:rPr>
          <w:rFonts w:ascii="宋体" w:hAnsi="宋体" w:eastAsia="宋体" w:cs="宋体"/>
          <w:sz w:val="18"/>
          <w:szCs w:val="18"/>
        </w:rPr>
        <w:t>5 cm，直径10 cm。</w:t>
      </w:r>
    </w:p>
    <w:p w14:paraId="4DAFDDDB"/>
    <w:p w14:paraId="7A134A2C">
      <w:pPr>
        <w:pStyle w:val="2"/>
        <w:spacing w:before="20" w:after="20" w:line="240" w:lineRule="auto"/>
        <w:jc w:val="center"/>
        <w:rPr>
          <w:rFonts w:hint="eastAsia" w:ascii="宋体" w:hAnsi="宋体" w:eastAsia="宋体" w:cs="宋体"/>
          <w:sz w:val="21"/>
          <w:szCs w:val="21"/>
        </w:rPr>
      </w:pPr>
      <w:bookmarkStart w:id="321" w:name="_Toc11896"/>
      <w:bookmarkStart w:id="322" w:name="_Toc18003"/>
      <w:bookmarkStart w:id="323" w:name="_Toc25524"/>
      <w:r>
        <w:rPr>
          <w:rFonts w:hint="eastAsia" w:ascii="宋体" w:hAnsi="宋体" w:eastAsia="宋体" w:cs="宋体"/>
          <w:sz w:val="21"/>
          <w:szCs w:val="21"/>
        </w:rPr>
        <w:t>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bookmarkEnd w:id="321"/>
      <w:bookmarkEnd w:id="322"/>
      <w:bookmarkEnd w:id="323"/>
    </w:p>
    <w:p w14:paraId="072AFB57">
      <w:pPr>
        <w:jc w:val="center"/>
        <w:rPr>
          <w:rFonts w:hint="eastAsia" w:ascii="宋体" w:hAnsi="宋体" w:eastAsia="宋体" w:cs="宋体"/>
          <w:sz w:val="21"/>
          <w:szCs w:val="21"/>
        </w:rPr>
      </w:pPr>
      <w:r>
        <w:rPr>
          <w:rFonts w:hint="eastAsia" w:ascii="宋体" w:hAnsi="宋体" w:eastAsia="宋体" w:cs="宋体"/>
          <w:sz w:val="21"/>
          <w:szCs w:val="21"/>
        </w:rPr>
        <w:t>(规范性)</w:t>
      </w:r>
    </w:p>
    <w:p w14:paraId="1CD0B8D9">
      <w:pPr>
        <w:jc w:val="center"/>
        <w:rPr>
          <w:rFonts w:hint="eastAsia" w:ascii="宋体" w:hAnsi="宋体" w:eastAsia="宋体" w:cs="宋体"/>
          <w:sz w:val="21"/>
          <w:szCs w:val="21"/>
        </w:rPr>
      </w:pPr>
      <w:r>
        <w:rPr>
          <w:rFonts w:hint="eastAsia" w:ascii="宋体" w:hAnsi="宋体" w:eastAsia="宋体" w:cs="宋体"/>
          <w:sz w:val="21"/>
          <w:szCs w:val="21"/>
          <w:lang w:val="en-US" w:eastAsia="zh-CN"/>
        </w:rPr>
        <w:t>PCR和</w:t>
      </w:r>
      <w:r>
        <w:rPr>
          <w:rFonts w:hint="eastAsia" w:ascii="宋体" w:hAnsi="宋体" w:eastAsia="宋体" w:cs="宋体"/>
          <w:sz w:val="21"/>
          <w:szCs w:val="21"/>
        </w:rPr>
        <w:t>RT-PCR 方法</w:t>
      </w:r>
    </w:p>
    <w:p w14:paraId="10AB9A6E">
      <w:pPr>
        <w:pStyle w:val="60"/>
        <w:spacing w:before="312" w:after="312"/>
        <w:ind w:firstLine="0"/>
        <w:jc w:val="both"/>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 xml:space="preserve"> DNA和RNA提取</w:t>
      </w:r>
    </w:p>
    <w:p w14:paraId="6889288E">
      <w:pPr>
        <w:spacing w:line="360" w:lineRule="exact"/>
        <w:ind w:firstLine="420"/>
        <w:rPr>
          <w:rFonts w:hint="eastAsia" w:ascii="宋体" w:hAnsi="宋体" w:eastAsia="宋体" w:cs="宋体"/>
          <w:sz w:val="21"/>
          <w:szCs w:val="21"/>
        </w:rPr>
      </w:pPr>
      <w:r>
        <w:rPr>
          <w:rFonts w:hint="eastAsia" w:ascii="宋体" w:hAnsi="宋体" w:eastAsia="宋体" w:cs="宋体"/>
          <w:sz w:val="21"/>
          <w:szCs w:val="21"/>
          <w:lang w:val="en-US" w:eastAsia="zh-CN"/>
        </w:rPr>
        <w:t>采用</w:t>
      </w:r>
      <w:r>
        <w:rPr>
          <w:rFonts w:hint="eastAsia" w:ascii="宋体" w:hAnsi="宋体" w:eastAsia="宋体" w:cs="宋体"/>
          <w:sz w:val="21"/>
          <w:szCs w:val="21"/>
        </w:rPr>
        <w:t>改良的CTAB法</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从</w:t>
      </w:r>
      <w:r>
        <w:rPr>
          <w:rFonts w:hint="eastAsia" w:ascii="宋体" w:hAnsi="宋体" w:eastAsia="宋体" w:cs="宋体"/>
          <w:sz w:val="21"/>
          <w:szCs w:val="21"/>
        </w:rPr>
        <w:t>香蕉</w:t>
      </w:r>
      <w:r>
        <w:rPr>
          <w:rFonts w:hint="eastAsia" w:ascii="宋体" w:hAnsi="宋体" w:eastAsia="宋体" w:cs="宋体"/>
          <w:sz w:val="21"/>
          <w:szCs w:val="21"/>
          <w:lang w:val="en-US" w:eastAsia="zh-CN"/>
        </w:rPr>
        <w:t>在组培苗叶片</w:t>
      </w:r>
      <w:r>
        <w:rPr>
          <w:rFonts w:hint="eastAsia" w:ascii="宋体" w:hAnsi="宋体" w:eastAsia="宋体" w:cs="宋体"/>
          <w:sz w:val="21"/>
          <w:szCs w:val="21"/>
        </w:rPr>
        <w:t>中提取总</w:t>
      </w:r>
      <w:r>
        <w:rPr>
          <w:rFonts w:hint="eastAsia" w:ascii="宋体" w:hAnsi="宋体" w:eastAsia="宋体" w:cs="宋体"/>
          <w:sz w:val="21"/>
          <w:szCs w:val="21"/>
          <w:lang w:val="en-US" w:eastAsia="zh-CN"/>
        </w:rPr>
        <w:t>RNA和DNA</w:t>
      </w:r>
      <w:r>
        <w:rPr>
          <w:rFonts w:hint="eastAsia" w:ascii="宋体" w:hAnsi="宋体" w:eastAsia="宋体" w:cs="宋体"/>
          <w:sz w:val="21"/>
          <w:szCs w:val="21"/>
        </w:rPr>
        <w:t>。</w:t>
      </w:r>
    </w:p>
    <w:p w14:paraId="2F88FD46">
      <w:pPr>
        <w:spacing w:line="360" w:lineRule="exact"/>
        <w:ind w:firstLine="420"/>
        <w:rPr>
          <w:rFonts w:hint="eastAsia" w:ascii="宋体" w:hAnsi="宋体" w:eastAsia="宋体" w:cs="宋体"/>
          <w:sz w:val="21"/>
          <w:szCs w:val="21"/>
        </w:rPr>
      </w:pPr>
      <w:r>
        <w:rPr>
          <w:rFonts w:hint="eastAsia" w:ascii="宋体" w:hAnsi="宋体" w:eastAsia="宋体" w:cs="宋体"/>
          <w:sz w:val="21"/>
          <w:szCs w:val="21"/>
        </w:rPr>
        <w:t>提取的总</w:t>
      </w:r>
      <w:r>
        <w:rPr>
          <w:rFonts w:hint="eastAsia" w:ascii="宋体" w:hAnsi="宋体" w:eastAsia="宋体" w:cs="宋体"/>
          <w:sz w:val="21"/>
          <w:szCs w:val="21"/>
          <w:lang w:val="en-US" w:eastAsia="zh-CN"/>
        </w:rPr>
        <w:t>RNA和DNA</w:t>
      </w:r>
      <w:r>
        <w:rPr>
          <w:rFonts w:hint="eastAsia" w:ascii="宋体" w:hAnsi="宋体" w:eastAsia="宋体" w:cs="宋体"/>
          <w:sz w:val="21"/>
          <w:szCs w:val="21"/>
        </w:rPr>
        <w:t>必须在2h内进行PCR检测</w:t>
      </w:r>
      <w:r>
        <w:rPr>
          <w:rFonts w:hint="eastAsia" w:ascii="宋体" w:hAnsi="宋体" w:eastAsia="宋体" w:cs="宋体"/>
          <w:sz w:val="21"/>
          <w:szCs w:val="21"/>
          <w:lang w:eastAsia="zh-CN"/>
        </w:rPr>
        <w:t>，</w:t>
      </w:r>
      <w:r>
        <w:rPr>
          <w:rFonts w:hint="eastAsia" w:ascii="宋体" w:hAnsi="宋体" w:eastAsia="宋体" w:cs="宋体"/>
          <w:sz w:val="21"/>
          <w:szCs w:val="21"/>
        </w:rPr>
        <w:t>若需长期保存须放置</w:t>
      </w:r>
      <w:r>
        <w:rPr>
          <w:rFonts w:hint="eastAsia" w:ascii="宋体" w:hAnsi="宋体" w:eastAsia="宋体" w:cs="宋体"/>
          <w:sz w:val="21"/>
          <w:szCs w:val="21"/>
          <w:lang w:val="en-US" w:eastAsia="zh-CN"/>
        </w:rPr>
        <w:t>-8</w:t>
      </w:r>
      <w:r>
        <w:rPr>
          <w:rFonts w:hint="eastAsia" w:ascii="宋体" w:hAnsi="宋体" w:eastAsia="宋体" w:cs="宋体"/>
          <w:sz w:val="21"/>
          <w:szCs w:val="21"/>
        </w:rPr>
        <w:t>0℃冰箱。</w:t>
      </w:r>
    </w:p>
    <w:p w14:paraId="05D2FAA2">
      <w:pPr>
        <w:spacing w:line="360" w:lineRule="exact"/>
        <w:ind w:firstLine="420"/>
        <w:rPr>
          <w:rFonts w:hint="eastAsia" w:ascii="宋体" w:hAnsi="宋体" w:eastAsia="宋体" w:cs="宋体"/>
          <w:sz w:val="21"/>
          <w:szCs w:val="21"/>
        </w:rPr>
      </w:pPr>
      <w:r>
        <w:rPr>
          <w:rFonts w:hint="eastAsia" w:ascii="宋体" w:hAnsi="宋体" w:eastAsia="宋体" w:cs="宋体"/>
          <w:sz w:val="21"/>
          <w:szCs w:val="21"/>
        </w:rPr>
        <w:t>采用 RNA 与 DNA 提取试剂盒的</w:t>
      </w:r>
      <w:r>
        <w:rPr>
          <w:rFonts w:hint="eastAsia" w:ascii="宋体" w:hAnsi="宋体" w:eastAsia="宋体" w:cs="宋体"/>
          <w:sz w:val="21"/>
          <w:szCs w:val="21"/>
          <w:lang w:eastAsia="zh-CN"/>
        </w:rPr>
        <w:t>，</w:t>
      </w:r>
      <w:r>
        <w:rPr>
          <w:rFonts w:hint="eastAsia" w:ascii="宋体" w:hAnsi="宋体" w:eastAsia="宋体" w:cs="宋体"/>
          <w:sz w:val="21"/>
          <w:szCs w:val="21"/>
        </w:rPr>
        <w:t>操作步骤参照产品说明书。</w:t>
      </w:r>
    </w:p>
    <w:p w14:paraId="4ED538F5">
      <w:pPr>
        <w:pStyle w:val="60"/>
        <w:spacing w:before="312" w:after="312"/>
        <w:ind w:firstLine="0"/>
        <w:jc w:val="both"/>
        <w:rPr>
          <w:rFonts w:hint="eastAsia" w:ascii="宋体" w:hAnsi="宋体" w:eastAsia="宋体" w:cs="宋体"/>
          <w:lang w:val="en-US" w:eastAsia="zh-CN"/>
        </w:rPr>
      </w:pPr>
      <w:r>
        <w:rPr>
          <w:rFonts w:hint="eastAsia" w:ascii="宋体" w:hAnsi="宋体" w:eastAsia="宋体" w:cs="宋体"/>
          <w:lang w:val="en-US" w:eastAsia="zh-CN"/>
        </w:rPr>
        <w:t>2 反转录合成cDNA</w:t>
      </w:r>
    </w:p>
    <w:p w14:paraId="4C12D0BD">
      <w:pPr>
        <w:spacing w:line="360" w:lineRule="exact"/>
        <w:ind w:firstLine="420"/>
        <w:rPr>
          <w:rFonts w:hint="eastAsia" w:ascii="宋体" w:hAnsi="宋体" w:eastAsia="宋体" w:cs="宋体"/>
          <w:szCs w:val="21"/>
        </w:rPr>
      </w:pPr>
      <w:r>
        <w:rPr>
          <w:rFonts w:hint="eastAsia" w:ascii="宋体" w:hAnsi="宋体" w:eastAsia="宋体" w:cs="宋体"/>
          <w:szCs w:val="21"/>
        </w:rPr>
        <w:t>先将RNase-freeWater、Achored Oligo（dT）18 Primer与RNA混合均匀后，置于PCR仪上65℃反应5 min后，立即将反应混合物置于冰上静置2 min，按表</w:t>
      </w:r>
      <w:r>
        <w:rPr>
          <w:rFonts w:hint="eastAsia" w:ascii="宋体" w:hAnsi="宋体" w:eastAsia="宋体" w:cs="宋体"/>
          <w:szCs w:val="21"/>
          <w:lang w:val="en-US" w:eastAsia="zh-CN"/>
        </w:rPr>
        <w:t>C</w:t>
      </w:r>
      <w:r>
        <w:rPr>
          <w:rFonts w:hint="eastAsia" w:ascii="宋体" w:hAnsi="宋体" w:eastAsia="宋体" w:cs="宋体"/>
          <w:szCs w:val="21"/>
        </w:rPr>
        <w:t>-1加入其它的反应组分。</w:t>
      </w:r>
    </w:p>
    <w:p w14:paraId="2FC866B6">
      <w:pPr>
        <w:pStyle w:val="41"/>
        <w:spacing w:line="360" w:lineRule="exact"/>
        <w:ind w:firstLine="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C</w:t>
      </w:r>
      <w:r>
        <w:rPr>
          <w:rFonts w:hint="eastAsia" w:ascii="宋体" w:hAnsi="宋体" w:eastAsia="宋体" w:cs="宋体"/>
          <w:sz w:val="21"/>
          <w:szCs w:val="21"/>
        </w:rPr>
        <w:t>-1反转录合成cDNA体系</w:t>
      </w:r>
    </w:p>
    <w:tbl>
      <w:tblPr>
        <w:tblStyle w:val="18"/>
        <w:tblW w:w="4360" w:type="dxa"/>
        <w:jc w:val="center"/>
        <w:tblLayout w:type="fixed"/>
        <w:tblCellMar>
          <w:top w:w="0" w:type="dxa"/>
          <w:left w:w="108" w:type="dxa"/>
          <w:bottom w:w="0" w:type="dxa"/>
          <w:right w:w="108" w:type="dxa"/>
        </w:tblCellMar>
      </w:tblPr>
      <w:tblGrid>
        <w:gridCol w:w="3225"/>
        <w:gridCol w:w="1134"/>
      </w:tblGrid>
      <w:tr w14:paraId="752D9A95">
        <w:tblPrEx>
          <w:tblCellMar>
            <w:top w:w="0" w:type="dxa"/>
            <w:left w:w="108" w:type="dxa"/>
            <w:bottom w:w="0" w:type="dxa"/>
            <w:right w:w="108" w:type="dxa"/>
          </w:tblCellMar>
        </w:tblPrEx>
        <w:trPr>
          <w:jc w:val="center"/>
        </w:trPr>
        <w:tc>
          <w:tcPr>
            <w:tcW w:w="3225" w:type="dxa"/>
            <w:tcBorders>
              <w:top w:val="single" w:color="000000" w:sz="12" w:space="0"/>
              <w:bottom w:val="single" w:color="000000" w:sz="4" w:space="0"/>
            </w:tcBorders>
            <w:shd w:val="clear" w:color="auto" w:fill="auto"/>
          </w:tcPr>
          <w:p w14:paraId="1B17DC43">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组分</w:t>
            </w:r>
          </w:p>
        </w:tc>
        <w:tc>
          <w:tcPr>
            <w:tcW w:w="1134" w:type="dxa"/>
            <w:tcBorders>
              <w:top w:val="single" w:color="000000" w:sz="12" w:space="0"/>
              <w:bottom w:val="single" w:color="000000" w:sz="4" w:space="0"/>
            </w:tcBorders>
            <w:shd w:val="clear" w:color="auto" w:fill="auto"/>
          </w:tcPr>
          <w:p w14:paraId="150A4993">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用量</w:t>
            </w:r>
          </w:p>
        </w:tc>
      </w:tr>
      <w:tr w14:paraId="6BD23E43">
        <w:tblPrEx>
          <w:tblCellMar>
            <w:top w:w="0" w:type="dxa"/>
            <w:left w:w="108" w:type="dxa"/>
            <w:bottom w:w="0" w:type="dxa"/>
            <w:right w:w="108" w:type="dxa"/>
          </w:tblCellMar>
        </w:tblPrEx>
        <w:trPr>
          <w:trHeight w:val="200" w:hRule="atLeast"/>
          <w:jc w:val="center"/>
        </w:trPr>
        <w:tc>
          <w:tcPr>
            <w:tcW w:w="3225" w:type="dxa"/>
            <w:tcBorders>
              <w:top w:val="single" w:color="000000" w:sz="4" w:space="0"/>
              <w:bottom w:val="single" w:color="000000" w:sz="12" w:space="0"/>
            </w:tcBorders>
            <w:shd w:val="clear" w:color="auto" w:fill="auto"/>
          </w:tcPr>
          <w:p w14:paraId="7252D86C">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Achored Oligo（dT）18 Primer</w:t>
            </w:r>
          </w:p>
          <w:p w14:paraId="16D8CC40">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2ⅹReaction Mix</w:t>
            </w:r>
          </w:p>
          <w:p w14:paraId="7BB5A1C6">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TransScript® RT/RI Enayme Mix</w:t>
            </w:r>
          </w:p>
          <w:p w14:paraId="39DC7B2E">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gDNA Remover</w:t>
            </w:r>
          </w:p>
          <w:p w14:paraId="58F8AD20">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RNA</w:t>
            </w:r>
          </w:p>
          <w:p w14:paraId="00941A01">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Rnase-free Water</w:t>
            </w:r>
          </w:p>
          <w:p w14:paraId="0486BDD4">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Total</w:t>
            </w:r>
          </w:p>
        </w:tc>
        <w:tc>
          <w:tcPr>
            <w:tcW w:w="1134" w:type="dxa"/>
            <w:tcBorders>
              <w:top w:val="single" w:color="000000" w:sz="4" w:space="0"/>
              <w:bottom w:val="single" w:color="000000" w:sz="12" w:space="0"/>
            </w:tcBorders>
            <w:shd w:val="clear" w:color="auto" w:fill="auto"/>
          </w:tcPr>
          <w:p w14:paraId="7C401397">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1 μL</w:t>
            </w:r>
          </w:p>
          <w:p w14:paraId="58B18BCB">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10 μL</w:t>
            </w:r>
          </w:p>
          <w:p w14:paraId="0CA649B6">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1 μL</w:t>
            </w:r>
          </w:p>
          <w:p w14:paraId="43E6CDE4">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1 μL</w:t>
            </w:r>
          </w:p>
          <w:p w14:paraId="40778000">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5 ng-5 μg</w:t>
            </w:r>
          </w:p>
          <w:p w14:paraId="4A440C2D">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Variable</w:t>
            </w:r>
          </w:p>
          <w:p w14:paraId="2725EAD4">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10 μL</w:t>
            </w:r>
          </w:p>
        </w:tc>
      </w:tr>
    </w:tbl>
    <w:p w14:paraId="219180F5">
      <w:pPr>
        <w:spacing w:line="360" w:lineRule="exact"/>
        <w:ind w:firstLine="420"/>
        <w:rPr>
          <w:rFonts w:hint="eastAsia" w:ascii="宋体" w:hAnsi="宋体" w:eastAsia="宋体" w:cs="宋体"/>
          <w:szCs w:val="21"/>
        </w:rPr>
      </w:pPr>
      <w:r>
        <w:rPr>
          <w:rFonts w:hint="eastAsia" w:ascii="宋体" w:hAnsi="宋体" w:eastAsia="宋体" w:cs="宋体"/>
          <w:szCs w:val="21"/>
        </w:rPr>
        <w:t>轻柔混匀后，放置PCR仪42℃反应30 min；85℃反应5 s，使TransScript® RT/RI Enayme Mix和gDNA Remover失活，冰上冷却。</w:t>
      </w:r>
    </w:p>
    <w:p w14:paraId="6F8ADE31">
      <w:pPr>
        <w:spacing w:line="360" w:lineRule="exact"/>
        <w:ind w:firstLine="420"/>
        <w:rPr>
          <w:rFonts w:hint="eastAsia" w:ascii="宋体" w:hAnsi="宋体" w:eastAsia="宋体" w:cs="宋体"/>
          <w:b/>
          <w:bCs/>
          <w:sz w:val="21"/>
          <w:szCs w:val="21"/>
          <w:lang w:val="en-US" w:eastAsia="zh-CN"/>
        </w:rPr>
      </w:pPr>
      <w:r>
        <w:rPr>
          <w:rFonts w:hint="eastAsia" w:ascii="宋体" w:hAnsi="宋体" w:eastAsia="宋体" w:cs="宋体"/>
          <w:szCs w:val="21"/>
        </w:rPr>
        <w:t>加入ddH</w:t>
      </w:r>
      <w:r>
        <w:rPr>
          <w:rFonts w:hint="eastAsia" w:ascii="宋体" w:hAnsi="宋体" w:eastAsia="宋体" w:cs="宋体"/>
          <w:position w:val="0"/>
          <w:sz w:val="21"/>
          <w:szCs w:val="21"/>
          <w:vertAlign w:val="baseline"/>
        </w:rPr>
        <w:t>2</w:t>
      </w:r>
      <w:r>
        <w:rPr>
          <w:rFonts w:hint="eastAsia" w:ascii="宋体" w:hAnsi="宋体" w:eastAsia="宋体" w:cs="宋体"/>
          <w:szCs w:val="21"/>
        </w:rPr>
        <w:t>O将其稀释5倍</w:t>
      </w:r>
      <w:r>
        <w:rPr>
          <w:rFonts w:hint="eastAsia" w:ascii="宋体" w:hAnsi="宋体" w:eastAsia="宋体" w:cs="宋体"/>
          <w:szCs w:val="21"/>
          <w:lang w:val="en-US" w:eastAsia="zh-CN"/>
        </w:rPr>
        <w:t>后为模板</w:t>
      </w:r>
      <w:r>
        <w:rPr>
          <w:rFonts w:hint="eastAsia" w:ascii="宋体" w:hAnsi="宋体" w:eastAsia="宋体" w:cs="宋体"/>
          <w:szCs w:val="21"/>
        </w:rPr>
        <w:t>。</w:t>
      </w:r>
    </w:p>
    <w:p w14:paraId="39D2D6F3">
      <w:pPr>
        <w:pStyle w:val="60"/>
        <w:spacing w:before="312" w:after="312"/>
        <w:ind w:firstLine="0"/>
        <w:jc w:val="both"/>
        <w:rPr>
          <w:rFonts w:hint="eastAsia" w:ascii="宋体" w:hAnsi="宋体" w:eastAsia="宋体" w:cs="宋体"/>
          <w:lang w:val="en-US" w:eastAsia="zh-CN"/>
        </w:rPr>
      </w:pPr>
      <w:r>
        <w:rPr>
          <w:rFonts w:hint="eastAsia" w:ascii="宋体" w:hAnsi="宋体" w:eastAsia="宋体" w:cs="宋体"/>
          <w:lang w:val="en-US" w:eastAsia="zh-CN"/>
        </w:rPr>
        <w:t>3 引物序列</w:t>
      </w:r>
    </w:p>
    <w:p w14:paraId="2B9731FE">
      <w:pPr>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C</w:t>
      </w:r>
      <w:r>
        <w:rPr>
          <w:rFonts w:hint="eastAsia" w:ascii="宋体" w:hAnsi="宋体" w:eastAsia="宋体" w:cs="宋体"/>
          <w:sz w:val="21"/>
          <w:szCs w:val="21"/>
        </w:rPr>
        <w:t>-</w:t>
      </w:r>
      <w:r>
        <w:rPr>
          <w:rFonts w:hint="eastAsia" w:ascii="宋体" w:hAnsi="宋体" w:eastAsia="宋体" w:cs="宋体"/>
          <w:sz w:val="21"/>
          <w:szCs w:val="21"/>
          <w:lang w:val="en-US" w:eastAsia="zh-CN"/>
        </w:rPr>
        <w:t>2检测引物序列</w:t>
      </w:r>
    </w:p>
    <w:tbl>
      <w:tblPr>
        <w:tblStyle w:val="19"/>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4"/>
        <w:gridCol w:w="1013"/>
        <w:gridCol w:w="1026"/>
        <w:gridCol w:w="3545"/>
        <w:gridCol w:w="1113"/>
        <w:gridCol w:w="1492"/>
      </w:tblGrid>
      <w:tr w14:paraId="37B3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2197" w:type="dxa"/>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14:paraId="02C7F92D">
            <w:pPr>
              <w:widowControl w:val="0"/>
              <w:snapToGrid w:val="0"/>
              <w:spacing w:before="0" w:after="0"/>
              <w:jc w:val="center"/>
              <w:rPr>
                <w:rFonts w:hint="eastAsia" w:ascii="宋体" w:hAnsi="宋体" w:eastAsia="宋体" w:cs="宋体"/>
              </w:rPr>
            </w:pPr>
            <w:r>
              <w:rPr>
                <w:rFonts w:hint="eastAsia" w:ascii="宋体" w:hAnsi="宋体" w:eastAsia="宋体" w:cs="宋体"/>
                <w:sz w:val="18"/>
                <w:szCs w:val="18"/>
              </w:rPr>
              <w:t>类别</w:t>
            </w:r>
          </w:p>
        </w:tc>
        <w:tc>
          <w:tcPr>
            <w:tcW w:w="1026"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1765DB27">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名称</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56E4C3E1">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引物序列</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5C26BB19">
            <w:pPr>
              <w:widowControl w:val="0"/>
              <w:snapToGrid w:val="0"/>
              <w:spacing w:before="0" w:after="0"/>
              <w:rPr>
                <w:rFonts w:hint="eastAsia" w:ascii="宋体" w:hAnsi="宋体" w:eastAsia="宋体" w:cs="宋体"/>
                <w:kern w:val="2"/>
                <w:sz w:val="21"/>
                <w:szCs w:val="24"/>
                <w:lang w:val="en-US" w:eastAsia="zh-CN" w:bidi="ar-SA"/>
              </w:rPr>
            </w:pPr>
          </w:p>
        </w:tc>
        <w:tc>
          <w:tcPr>
            <w:tcW w:w="1492"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4153265E">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PCR产物大小（bp）</w:t>
            </w:r>
          </w:p>
        </w:tc>
      </w:tr>
      <w:tr w14:paraId="0809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184"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14:paraId="5B9F207C">
            <w:pPr>
              <w:widowControl w:val="0"/>
              <w:snapToGrid w:val="0"/>
              <w:spacing w:before="0" w:after="0"/>
              <w:rPr>
                <w:rFonts w:hint="eastAsia" w:ascii="宋体" w:hAnsi="宋体" w:eastAsia="宋体" w:cs="宋体"/>
                <w:lang w:val="en-US" w:eastAsia="zh-CN"/>
              </w:rPr>
            </w:pPr>
            <w:r>
              <w:rPr>
                <w:rFonts w:hint="eastAsia" w:ascii="宋体" w:hAnsi="宋体" w:eastAsia="宋体" w:cs="宋体"/>
                <w:sz w:val="18"/>
                <w:szCs w:val="18"/>
                <w:lang w:val="en-US" w:eastAsia="zh-CN"/>
              </w:rPr>
              <w:t>BBTV</w:t>
            </w:r>
          </w:p>
        </w:tc>
        <w:tc>
          <w:tcPr>
            <w:tcW w:w="10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4C1EE10">
            <w:pPr>
              <w:widowControl w:val="0"/>
              <w:snapToGrid w:val="0"/>
              <w:spacing w:before="0" w:after="0"/>
              <w:rPr>
                <w:rFonts w:hint="eastAsia" w:ascii="宋体" w:hAnsi="宋体" w:eastAsia="宋体" w:cs="宋体"/>
              </w:rPr>
            </w:pPr>
            <w:r>
              <w:rPr>
                <w:rFonts w:hint="eastAsia" w:ascii="宋体" w:hAnsi="宋体" w:eastAsia="宋体" w:cs="宋体"/>
                <w:sz w:val="18"/>
                <w:szCs w:val="18"/>
              </w:rPr>
              <w:t>组分I</w:t>
            </w:r>
          </w:p>
        </w:tc>
        <w:tc>
          <w:tcPr>
            <w:tcW w:w="1026"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34B9B815">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B1L</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70B79FD2">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5'AAAGGGGAGCCAAGAAGAAG3'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513E90A">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14:paraId="2D37EB0D">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607</w:t>
            </w:r>
          </w:p>
        </w:tc>
      </w:tr>
      <w:tr w14:paraId="0991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 w:hRule="atLeast"/>
          <w:jc w:val="center"/>
        </w:trPr>
        <w:tc>
          <w:tcPr>
            <w:tcW w:w="1184"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168CA812">
            <w:pPr>
              <w:widowControl w:val="0"/>
              <w:snapToGrid w:val="0"/>
              <w:spacing w:before="0" w:after="0"/>
              <w:rPr>
                <w:rFonts w:hint="eastAsia" w:ascii="宋体" w:hAnsi="宋体" w:eastAsia="宋体" w:cs="宋体"/>
              </w:rPr>
            </w:pPr>
          </w:p>
        </w:tc>
        <w:tc>
          <w:tcPr>
            <w:tcW w:w="10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18A30507">
            <w:pPr>
              <w:widowControl w:val="0"/>
              <w:snapToGrid w:val="0"/>
              <w:spacing w:before="0" w:after="0"/>
              <w:rPr>
                <w:rFonts w:hint="eastAsia" w:ascii="宋体" w:hAnsi="宋体" w:eastAsia="宋体" w:cs="宋体"/>
              </w:rPr>
            </w:pPr>
          </w:p>
        </w:tc>
        <w:tc>
          <w:tcPr>
            <w:tcW w:w="1026"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4F186B16">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B1R</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C9401AF">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5'CGGAAGGAAGTTAGCCATGA3'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6CF40FB">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234CBB05">
            <w:pPr>
              <w:widowControl w:val="0"/>
              <w:snapToGrid w:val="0"/>
              <w:spacing w:before="0" w:after="0"/>
              <w:rPr>
                <w:rFonts w:hint="eastAsia" w:ascii="宋体" w:hAnsi="宋体" w:eastAsia="宋体" w:cs="宋体"/>
                <w:kern w:val="2"/>
                <w:sz w:val="21"/>
                <w:szCs w:val="24"/>
                <w:lang w:val="en-US" w:eastAsia="zh-CN" w:bidi="ar-SA"/>
              </w:rPr>
            </w:pPr>
          </w:p>
        </w:tc>
      </w:tr>
      <w:tr w14:paraId="5F33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184"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4B158D52">
            <w:pPr>
              <w:widowControl w:val="0"/>
              <w:snapToGrid w:val="0"/>
              <w:spacing w:before="0" w:after="0"/>
              <w:rPr>
                <w:rFonts w:hint="eastAsia" w:ascii="宋体" w:hAnsi="宋体" w:eastAsia="宋体" w:cs="宋体"/>
              </w:rPr>
            </w:pPr>
          </w:p>
        </w:tc>
        <w:tc>
          <w:tcPr>
            <w:tcW w:w="10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413E9FDC">
            <w:pPr>
              <w:widowControl w:val="0"/>
              <w:snapToGrid w:val="0"/>
              <w:spacing w:before="0" w:after="0"/>
              <w:rPr>
                <w:rFonts w:hint="eastAsia" w:ascii="宋体" w:hAnsi="宋体" w:eastAsia="宋体" w:cs="宋体"/>
              </w:rPr>
            </w:pPr>
            <w:r>
              <w:rPr>
                <w:rFonts w:hint="eastAsia" w:ascii="宋体" w:hAnsi="宋体" w:eastAsia="宋体" w:cs="宋体"/>
                <w:sz w:val="18"/>
                <w:szCs w:val="18"/>
              </w:rPr>
              <w:t>组分Ⅲ</w:t>
            </w:r>
          </w:p>
        </w:tc>
        <w:tc>
          <w:tcPr>
            <w:tcW w:w="1026"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1EC7C7C4">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B3L</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01DCA83">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5'ATCAAGAAGAGGCGGGTT3'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63DEE507">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14:paraId="25E27DA9">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490</w:t>
            </w:r>
          </w:p>
        </w:tc>
      </w:tr>
      <w:tr w14:paraId="4ED9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184"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723D6A8D">
            <w:pPr>
              <w:widowControl w:val="0"/>
              <w:snapToGrid w:val="0"/>
              <w:spacing w:before="0" w:after="0"/>
              <w:rPr>
                <w:rFonts w:hint="eastAsia" w:ascii="宋体" w:hAnsi="宋体" w:eastAsia="宋体" w:cs="宋体"/>
              </w:rPr>
            </w:pPr>
          </w:p>
        </w:tc>
        <w:tc>
          <w:tcPr>
            <w:tcW w:w="10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1D54611F">
            <w:pPr>
              <w:widowControl w:val="0"/>
              <w:snapToGrid w:val="0"/>
              <w:spacing w:before="0" w:after="0"/>
              <w:rPr>
                <w:rFonts w:hint="eastAsia" w:ascii="宋体" w:hAnsi="宋体" w:eastAsia="宋体" w:cs="宋体"/>
              </w:rPr>
            </w:pPr>
          </w:p>
        </w:tc>
        <w:tc>
          <w:tcPr>
            <w:tcW w:w="1026"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624C494F">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B3R</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300DCB82">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5'TCAAACATGATATGTAATTC3'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605285F0">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1E69F626">
            <w:pPr>
              <w:widowControl w:val="0"/>
              <w:snapToGrid w:val="0"/>
              <w:spacing w:before="0" w:after="0"/>
              <w:rPr>
                <w:rFonts w:hint="eastAsia" w:ascii="宋体" w:hAnsi="宋体" w:eastAsia="宋体" w:cs="宋体"/>
                <w:kern w:val="2"/>
                <w:sz w:val="21"/>
                <w:szCs w:val="24"/>
                <w:lang w:val="en-US" w:eastAsia="zh-CN" w:bidi="ar-SA"/>
              </w:rPr>
            </w:pPr>
          </w:p>
        </w:tc>
      </w:tr>
      <w:tr w14:paraId="4C95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184"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00708DB1">
            <w:pPr>
              <w:widowControl w:val="0"/>
              <w:snapToGrid w:val="0"/>
              <w:spacing w:before="0" w:after="0"/>
              <w:rPr>
                <w:rFonts w:hint="eastAsia" w:ascii="宋体" w:hAnsi="宋体" w:eastAsia="宋体" w:cs="宋体"/>
              </w:rPr>
            </w:pPr>
          </w:p>
        </w:tc>
        <w:tc>
          <w:tcPr>
            <w:tcW w:w="10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1C4FEA0">
            <w:pPr>
              <w:widowControl w:val="0"/>
              <w:snapToGrid w:val="0"/>
              <w:spacing w:before="0" w:after="0"/>
              <w:rPr>
                <w:rFonts w:hint="eastAsia" w:ascii="宋体" w:hAnsi="宋体" w:eastAsia="宋体" w:cs="宋体"/>
              </w:rPr>
            </w:pPr>
            <w:r>
              <w:rPr>
                <w:rFonts w:hint="eastAsia" w:ascii="宋体" w:hAnsi="宋体" w:eastAsia="宋体" w:cs="宋体"/>
                <w:sz w:val="18"/>
                <w:szCs w:val="18"/>
              </w:rPr>
              <w:t>组分IV</w:t>
            </w:r>
          </w:p>
        </w:tc>
        <w:tc>
          <w:tcPr>
            <w:tcW w:w="1026"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446FC668">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B4L</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94F7442">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5'CAACAGAGCGGGTGCAAC3'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4D3E792E">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14:paraId="4EF4C079">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326</w:t>
            </w:r>
          </w:p>
        </w:tc>
      </w:tr>
      <w:tr w14:paraId="44C8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1184"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498F4F8B">
            <w:pPr>
              <w:widowControl w:val="0"/>
              <w:snapToGrid w:val="0"/>
              <w:spacing w:before="0" w:after="0"/>
              <w:rPr>
                <w:rFonts w:hint="eastAsia" w:ascii="宋体" w:hAnsi="宋体" w:eastAsia="宋体" w:cs="宋体"/>
              </w:rPr>
            </w:pPr>
          </w:p>
        </w:tc>
        <w:tc>
          <w:tcPr>
            <w:tcW w:w="10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390E042D">
            <w:pPr>
              <w:widowControl w:val="0"/>
              <w:snapToGrid w:val="0"/>
              <w:spacing w:before="0" w:after="0"/>
              <w:rPr>
                <w:rFonts w:hint="eastAsia" w:ascii="宋体" w:hAnsi="宋体" w:eastAsia="宋体" w:cs="宋体"/>
              </w:rPr>
            </w:pPr>
          </w:p>
        </w:tc>
        <w:tc>
          <w:tcPr>
            <w:tcW w:w="1026"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1B88D908">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B4R</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16968392">
            <w:pPr>
              <w:widowControl w:val="0"/>
              <w:snapToGrid w:val="0"/>
              <w:spacing w:before="0" w:after="0"/>
              <w:rPr>
                <w:rFonts w:hint="eastAsia" w:ascii="宋体" w:hAnsi="宋体" w:eastAsia="宋体" w:cs="宋体"/>
                <w:kern w:val="2"/>
                <w:sz w:val="21"/>
                <w:szCs w:val="24"/>
                <w:lang w:val="en-US" w:eastAsia="zh-CN" w:bidi="ar-SA"/>
              </w:rPr>
            </w:pPr>
            <w:r>
              <w:rPr>
                <w:rFonts w:hint="eastAsia" w:ascii="宋体" w:hAnsi="宋体" w:eastAsia="宋体" w:cs="宋体"/>
                <w:sz w:val="18"/>
                <w:szCs w:val="18"/>
              </w:rPr>
              <w:t>5'GTTTCCTCGTCTTCCTTG3'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708D68B9">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7ED2DAA4">
            <w:pPr>
              <w:widowControl w:val="0"/>
              <w:snapToGrid w:val="0"/>
              <w:spacing w:before="0" w:after="0"/>
              <w:rPr>
                <w:rFonts w:hint="eastAsia" w:ascii="宋体" w:hAnsi="宋体" w:eastAsia="宋体" w:cs="宋体"/>
                <w:kern w:val="2"/>
                <w:sz w:val="21"/>
                <w:szCs w:val="24"/>
                <w:lang w:val="en-US" w:eastAsia="zh-CN" w:bidi="ar-SA"/>
              </w:rPr>
            </w:pPr>
          </w:p>
        </w:tc>
      </w:tr>
      <w:tr w14:paraId="1E98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1184"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14:paraId="4472A888">
            <w:pPr>
              <w:widowControl w:val="0"/>
              <w:snapToGrid w:val="0"/>
              <w:spacing w:before="0" w:after="0"/>
              <w:rPr>
                <w:rFonts w:hint="eastAsia" w:ascii="宋体" w:hAnsi="宋体" w:eastAsia="宋体" w:cs="宋体"/>
                <w:lang w:val="en-US" w:eastAsia="zh-CN"/>
              </w:rPr>
            </w:pPr>
            <w:r>
              <w:rPr>
                <w:rFonts w:hint="eastAsia" w:ascii="宋体" w:hAnsi="宋体" w:eastAsia="宋体" w:cs="宋体"/>
                <w:lang w:val="en-US" w:eastAsia="zh-CN"/>
              </w:rPr>
              <w:t>CMV</w:t>
            </w:r>
          </w:p>
        </w:tc>
        <w:tc>
          <w:tcPr>
            <w:tcW w:w="2039"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14:paraId="1D6CFBD4">
            <w:pPr>
              <w:widowControl w:val="0"/>
              <w:snapToGrid w:val="0"/>
              <w:spacing w:before="0" w:after="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11630408">
            <w:pPr>
              <w:widowControl w:val="0"/>
              <w:snapToGrid w:val="0"/>
              <w:spacing w:before="0" w:after="0"/>
              <w:rPr>
                <w:rFonts w:hint="eastAsia" w:ascii="宋体" w:hAnsi="宋体" w:eastAsia="宋体" w:cs="宋体"/>
                <w:sz w:val="18"/>
                <w:szCs w:val="18"/>
              </w:rPr>
            </w:pPr>
            <w:r>
              <w:rPr>
                <w:rFonts w:hint="eastAsia" w:ascii="宋体" w:hAnsi="宋体" w:eastAsia="宋体" w:cs="宋体"/>
                <w:sz w:val="18"/>
                <w:szCs w:val="18"/>
              </w:rPr>
              <w:t>5'-CACCCAACCTTTGTGGGTAG-3'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20BEC1F2">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14:paraId="1DFEB58B">
            <w:pPr>
              <w:widowControl w:val="0"/>
              <w:snapToGrid w:val="0"/>
              <w:spacing w:before="0" w:after="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557</w:t>
            </w:r>
          </w:p>
        </w:tc>
      </w:tr>
      <w:tr w14:paraId="6397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1184"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6B84E1CB">
            <w:pPr>
              <w:widowControl w:val="0"/>
              <w:snapToGrid w:val="0"/>
              <w:spacing w:before="0" w:after="0"/>
              <w:rPr>
                <w:rFonts w:hint="eastAsia" w:ascii="宋体" w:hAnsi="宋体" w:eastAsia="宋体" w:cs="宋体"/>
                <w:lang w:val="en-US" w:eastAsia="zh-CN"/>
              </w:rPr>
            </w:pPr>
          </w:p>
        </w:tc>
        <w:tc>
          <w:tcPr>
            <w:tcW w:w="2039"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14257DD9">
            <w:pPr>
              <w:widowControl w:val="0"/>
              <w:snapToGrid w:val="0"/>
              <w:spacing w:before="0" w:after="0"/>
              <w:jc w:val="center"/>
              <w:rPr>
                <w:rFonts w:hint="eastAsia" w:ascii="宋体" w:hAnsi="宋体" w:eastAsia="宋体" w:cs="宋体"/>
                <w:sz w:val="18"/>
                <w:szCs w:val="18"/>
                <w:lang w:val="en-US" w:eastAsia="zh-CN"/>
              </w:rPr>
            </w:pPr>
          </w:p>
        </w:tc>
        <w:tc>
          <w:tcPr>
            <w:tcW w:w="3545"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36ECF188">
            <w:pPr>
              <w:widowControl w:val="0"/>
              <w:snapToGrid w:val="0"/>
              <w:spacing w:before="0" w:after="0"/>
              <w:rPr>
                <w:rFonts w:hint="eastAsia" w:ascii="宋体" w:hAnsi="宋体" w:eastAsia="宋体" w:cs="宋体"/>
                <w:sz w:val="18"/>
                <w:szCs w:val="18"/>
              </w:rPr>
            </w:pPr>
            <w:r>
              <w:rPr>
                <w:rFonts w:hint="eastAsia" w:ascii="宋体" w:hAnsi="宋体" w:eastAsia="宋体" w:cs="宋体"/>
                <w:sz w:val="18"/>
                <w:szCs w:val="18"/>
              </w:rPr>
              <w:t>5'-CAACACTGCCAACTCAGCTC-3</w:t>
            </w:r>
          </w:p>
        </w:tc>
        <w:tc>
          <w:tcPr>
            <w:tcW w:w="1113" w:type="dxa"/>
            <w:tcBorders>
              <w:top w:val="single" w:color="000000" w:sz="12" w:space="0"/>
              <w:left w:val="single" w:color="000000" w:sz="12" w:space="0"/>
              <w:bottom w:val="single" w:color="000000" w:sz="12" w:space="0"/>
              <w:right w:val="single" w:color="000000" w:sz="12" w:space="0"/>
            </w:tcBorders>
            <w:shd w:val="clear" w:color="auto" w:fill="FFFFFF"/>
            <w:vAlign w:val="center"/>
          </w:tcPr>
          <w:p w14:paraId="4EC1E789">
            <w:pPr>
              <w:widowControl w:val="0"/>
              <w:snapToGrid w:val="0"/>
              <w:spacing w:before="0" w:after="0"/>
              <w:rPr>
                <w:rFonts w:hint="eastAsia" w:ascii="宋体" w:hAnsi="宋体" w:eastAsia="宋体" w:cs="宋体"/>
                <w:kern w:val="2"/>
                <w:sz w:val="21"/>
                <w:szCs w:val="24"/>
                <w:lang w:val="en-US" w:eastAsia="zh-CN" w:bidi="ar-SA"/>
              </w:rPr>
            </w:pPr>
          </w:p>
        </w:tc>
        <w:tc>
          <w:tcPr>
            <w:tcW w:w="1492"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14:paraId="7BAD8812">
            <w:pPr>
              <w:widowControl w:val="0"/>
              <w:snapToGrid w:val="0"/>
              <w:spacing w:before="0" w:after="0"/>
              <w:rPr>
                <w:rFonts w:hint="eastAsia" w:ascii="宋体" w:hAnsi="宋体" w:eastAsia="宋体" w:cs="宋体"/>
                <w:sz w:val="18"/>
                <w:szCs w:val="18"/>
              </w:rPr>
            </w:pPr>
          </w:p>
        </w:tc>
      </w:tr>
    </w:tbl>
    <w:p w14:paraId="2CEEA49A">
      <w:pPr>
        <w:pStyle w:val="60"/>
        <w:spacing w:before="312" w:after="312"/>
        <w:ind w:firstLine="0"/>
        <w:jc w:val="both"/>
        <w:rPr>
          <w:rFonts w:hint="eastAsia" w:ascii="宋体" w:hAnsi="宋体" w:eastAsia="宋体" w:cs="宋体"/>
          <w:lang w:val="en-US" w:eastAsia="zh-CN"/>
        </w:rPr>
      </w:pPr>
      <w:r>
        <w:rPr>
          <w:rFonts w:hint="eastAsia" w:ascii="宋体" w:hAnsi="宋体" w:eastAsia="宋体" w:cs="宋体"/>
          <w:lang w:val="en-US" w:eastAsia="zh-CN"/>
        </w:rPr>
        <w:t>4 PCR扩增</w:t>
      </w:r>
    </w:p>
    <w:p w14:paraId="609F0EF0">
      <w:pPr>
        <w:spacing w:line="360" w:lineRule="exact"/>
        <w:ind w:firstLine="420"/>
        <w:rPr>
          <w:rFonts w:hint="eastAsia" w:ascii="宋体" w:hAnsi="宋体" w:eastAsia="宋体" w:cs="宋体"/>
          <w:szCs w:val="21"/>
        </w:rPr>
      </w:pPr>
      <w:r>
        <w:rPr>
          <w:rFonts w:hint="eastAsia" w:ascii="宋体" w:hAnsi="宋体" w:eastAsia="宋体" w:cs="宋体"/>
          <w:szCs w:val="21"/>
        </w:rPr>
        <w:t>采用 PrimeSTAR® MaxDNA聚合酶（高保真酶），以 cDN</w:t>
      </w:r>
      <w:r>
        <w:rPr>
          <w:rFonts w:hint="eastAsia" w:ascii="宋体" w:hAnsi="宋体" w:eastAsia="宋体" w:cs="宋体"/>
          <w:szCs w:val="21"/>
          <w:lang w:val="en-US" w:eastAsia="zh-CN"/>
        </w:rPr>
        <w:t>A或DNA</w:t>
      </w:r>
      <w:r>
        <w:rPr>
          <w:rFonts w:hint="eastAsia" w:ascii="宋体" w:hAnsi="宋体" w:eastAsia="宋体" w:cs="宋体"/>
          <w:szCs w:val="21"/>
        </w:rPr>
        <w:t>为模板对目标基因进行扩增。PCR反应体系如表2-3。</w:t>
      </w:r>
    </w:p>
    <w:p w14:paraId="5879044D">
      <w:pPr>
        <w:pStyle w:val="41"/>
        <w:spacing w:line="36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w:t>
      </w:r>
      <w:r>
        <w:rPr>
          <w:rFonts w:hint="eastAsia" w:ascii="宋体" w:hAnsi="宋体" w:eastAsia="宋体" w:cs="宋体"/>
          <w:b w:val="0"/>
          <w:bCs w:val="0"/>
          <w:sz w:val="21"/>
          <w:szCs w:val="21"/>
          <w:lang w:val="en-US" w:eastAsia="zh-CN"/>
        </w:rPr>
        <w:t>C</w:t>
      </w:r>
      <w:r>
        <w:rPr>
          <w:rFonts w:hint="eastAsia" w:ascii="宋体" w:hAnsi="宋体" w:eastAsia="宋体" w:cs="宋体"/>
          <w:b w:val="0"/>
          <w:bCs w:val="0"/>
          <w:sz w:val="21"/>
          <w:szCs w:val="21"/>
        </w:rPr>
        <w:t>-3目的片段扩增体系</w:t>
      </w:r>
    </w:p>
    <w:p w14:paraId="35A8E6BA">
      <w:pPr>
        <w:pStyle w:val="41"/>
        <w:spacing w:line="36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Table </w:t>
      </w:r>
      <w:r>
        <w:rPr>
          <w:rFonts w:hint="eastAsia" w:ascii="宋体" w:hAnsi="宋体" w:eastAsia="宋体" w:cs="宋体"/>
          <w:b w:val="0"/>
          <w:bCs w:val="0"/>
          <w:sz w:val="21"/>
          <w:szCs w:val="21"/>
          <w:lang w:val="en-US" w:eastAsia="zh-CN"/>
        </w:rPr>
        <w:t>C</w:t>
      </w:r>
      <w:r>
        <w:rPr>
          <w:rFonts w:hint="eastAsia" w:ascii="宋体" w:hAnsi="宋体" w:eastAsia="宋体" w:cs="宋体"/>
          <w:b w:val="0"/>
          <w:bCs w:val="0"/>
          <w:sz w:val="21"/>
          <w:szCs w:val="21"/>
        </w:rPr>
        <w:t>-3 Target fragment amplification system</w:t>
      </w:r>
    </w:p>
    <w:tbl>
      <w:tblPr>
        <w:tblStyle w:val="18"/>
        <w:tblW w:w="5602" w:type="dxa"/>
        <w:jc w:val="center"/>
        <w:tblLayout w:type="fixed"/>
        <w:tblCellMar>
          <w:top w:w="0" w:type="dxa"/>
          <w:left w:w="108" w:type="dxa"/>
          <w:bottom w:w="0" w:type="dxa"/>
          <w:right w:w="108" w:type="dxa"/>
        </w:tblCellMar>
      </w:tblPr>
      <w:tblGrid>
        <w:gridCol w:w="3333"/>
        <w:gridCol w:w="2268"/>
      </w:tblGrid>
      <w:tr w14:paraId="08F73E92">
        <w:tblPrEx>
          <w:tblCellMar>
            <w:top w:w="0" w:type="dxa"/>
            <w:left w:w="108" w:type="dxa"/>
            <w:bottom w:w="0" w:type="dxa"/>
            <w:right w:w="108" w:type="dxa"/>
          </w:tblCellMar>
        </w:tblPrEx>
        <w:trPr>
          <w:jc w:val="center"/>
        </w:trPr>
        <w:tc>
          <w:tcPr>
            <w:tcW w:w="3333" w:type="dxa"/>
            <w:tcBorders>
              <w:top w:val="single" w:color="000000" w:sz="12" w:space="0"/>
              <w:bottom w:val="single" w:color="000000" w:sz="4" w:space="0"/>
            </w:tcBorders>
            <w:shd w:val="clear" w:color="auto" w:fill="auto"/>
          </w:tcPr>
          <w:p w14:paraId="0D712B35">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组分</w:t>
            </w:r>
          </w:p>
          <w:p w14:paraId="5E4B9E68">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Component</w:t>
            </w:r>
          </w:p>
        </w:tc>
        <w:tc>
          <w:tcPr>
            <w:tcW w:w="2268" w:type="dxa"/>
            <w:tcBorders>
              <w:top w:val="single" w:color="000000" w:sz="12" w:space="0"/>
              <w:bottom w:val="single" w:color="000000" w:sz="4" w:space="0"/>
            </w:tcBorders>
            <w:shd w:val="clear" w:color="auto" w:fill="auto"/>
          </w:tcPr>
          <w:p w14:paraId="75D06EF2">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用量</w:t>
            </w:r>
          </w:p>
          <w:p w14:paraId="59003132">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Volume</w:t>
            </w:r>
          </w:p>
        </w:tc>
      </w:tr>
      <w:tr w14:paraId="1D267AF7">
        <w:tblPrEx>
          <w:tblCellMar>
            <w:top w:w="0" w:type="dxa"/>
            <w:left w:w="108" w:type="dxa"/>
            <w:bottom w:w="0" w:type="dxa"/>
            <w:right w:w="108" w:type="dxa"/>
          </w:tblCellMar>
        </w:tblPrEx>
        <w:trPr>
          <w:jc w:val="center"/>
        </w:trPr>
        <w:tc>
          <w:tcPr>
            <w:tcW w:w="3333" w:type="dxa"/>
            <w:tcBorders>
              <w:top w:val="single" w:color="000000" w:sz="4" w:space="0"/>
              <w:bottom w:val="single" w:color="000000" w:sz="12" w:space="0"/>
            </w:tcBorders>
            <w:shd w:val="clear" w:color="auto" w:fill="auto"/>
          </w:tcPr>
          <w:p w14:paraId="53E3413A">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PrimeSTAR® Max DNA Polymerase</w:t>
            </w:r>
          </w:p>
          <w:p w14:paraId="2A42B389">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Primer F</w:t>
            </w:r>
          </w:p>
          <w:p w14:paraId="23344606">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Primer F</w:t>
            </w:r>
          </w:p>
          <w:p w14:paraId="3188FD9D">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cDNA</w:t>
            </w:r>
          </w:p>
          <w:p w14:paraId="1F035FB7">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ddH2O</w:t>
            </w:r>
          </w:p>
        </w:tc>
        <w:tc>
          <w:tcPr>
            <w:tcW w:w="2268" w:type="dxa"/>
            <w:tcBorders>
              <w:top w:val="single" w:color="000000" w:sz="4" w:space="0"/>
              <w:bottom w:val="single" w:color="000000" w:sz="12" w:space="0"/>
            </w:tcBorders>
            <w:shd w:val="clear" w:color="auto" w:fill="auto"/>
          </w:tcPr>
          <w:p w14:paraId="05F01A80">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10 μL</w:t>
            </w:r>
          </w:p>
          <w:p w14:paraId="6E6E789D">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0.5 μL</w:t>
            </w:r>
          </w:p>
          <w:p w14:paraId="3E1AD748">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0.5 μL</w:t>
            </w:r>
          </w:p>
          <w:p w14:paraId="1C8E2EB0">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1 μL</w:t>
            </w:r>
          </w:p>
          <w:p w14:paraId="50DDBCC5">
            <w:pPr>
              <w:widowControl w:val="0"/>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8 μL</w:t>
            </w:r>
          </w:p>
        </w:tc>
      </w:tr>
    </w:tbl>
    <w:p w14:paraId="5862A30F">
      <w:pPr>
        <w:spacing w:line="360" w:lineRule="exact"/>
        <w:ind w:firstLine="420"/>
        <w:rPr>
          <w:rFonts w:hint="eastAsia" w:ascii="宋体" w:hAnsi="宋体" w:eastAsia="宋体" w:cs="宋体"/>
          <w:szCs w:val="21"/>
          <w:lang w:eastAsia="zh-CN"/>
        </w:rPr>
      </w:pPr>
      <w:r>
        <w:rPr>
          <w:rFonts w:hint="eastAsia" w:ascii="宋体" w:hAnsi="宋体" w:eastAsia="宋体" w:cs="宋体"/>
          <w:szCs w:val="21"/>
        </w:rPr>
        <w:t>②PCR反应的程序：</w:t>
      </w:r>
      <w:r>
        <w:rPr>
          <w:rFonts w:hint="eastAsia" w:ascii="宋体" w:hAnsi="宋体" w:eastAsia="宋体" w:cs="宋体"/>
          <w:szCs w:val="21"/>
          <w:lang w:val="en-US" w:eastAsia="zh-CN"/>
        </w:rPr>
        <w:t>BBTV：</w:t>
      </w:r>
      <w:r>
        <w:rPr>
          <w:rFonts w:hint="eastAsia" w:ascii="宋体" w:hAnsi="宋体" w:eastAsia="宋体" w:cs="宋体"/>
          <w:szCs w:val="21"/>
        </w:rPr>
        <w:t>组分Ⅰ</w:t>
      </w:r>
      <w:r>
        <w:rPr>
          <w:rFonts w:hint="eastAsia" w:ascii="宋体" w:hAnsi="宋体" w:eastAsia="宋体" w:cs="宋体"/>
          <w:szCs w:val="21"/>
          <w:lang w:eastAsia="zh-CN"/>
        </w:rPr>
        <w:t>：</w:t>
      </w:r>
      <w:r>
        <w:rPr>
          <w:rFonts w:hint="eastAsia" w:ascii="宋体" w:hAnsi="宋体" w:eastAsia="宋体" w:cs="宋体"/>
          <w:szCs w:val="21"/>
        </w:rPr>
        <w:t>94℃</w:t>
      </w:r>
      <w:r>
        <w:rPr>
          <w:rFonts w:hint="eastAsia" w:ascii="宋体" w:hAnsi="宋体" w:eastAsia="宋体" w:cs="宋体"/>
          <w:szCs w:val="21"/>
          <w:lang w:val="en-US" w:eastAsia="zh-CN"/>
        </w:rPr>
        <w:t xml:space="preserve"> </w:t>
      </w:r>
      <w:r>
        <w:rPr>
          <w:rFonts w:hint="eastAsia" w:ascii="宋体" w:hAnsi="宋体" w:eastAsia="宋体" w:cs="宋体"/>
          <w:szCs w:val="21"/>
        </w:rPr>
        <w:t>4</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eastAsia="zh-CN"/>
        </w:rPr>
        <w:t>：</w:t>
      </w:r>
      <w:r>
        <w:rPr>
          <w:rFonts w:hint="eastAsia" w:ascii="宋体" w:hAnsi="宋体" w:eastAsia="宋体" w:cs="宋体"/>
          <w:szCs w:val="21"/>
        </w:rPr>
        <w:t>94℃</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min，68℃</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min，72℃</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min，共35个循环</w:t>
      </w:r>
      <w:r>
        <w:rPr>
          <w:rFonts w:hint="eastAsia" w:ascii="宋体" w:hAnsi="宋体" w:eastAsia="宋体" w:cs="宋体"/>
          <w:szCs w:val="21"/>
          <w:lang w:eastAsia="zh-CN"/>
        </w:rPr>
        <w:t>；</w:t>
      </w:r>
      <w:r>
        <w:rPr>
          <w:rFonts w:hint="eastAsia" w:ascii="宋体" w:hAnsi="宋体" w:eastAsia="宋体" w:cs="宋体"/>
          <w:szCs w:val="21"/>
        </w:rPr>
        <w:t>72℃</w:t>
      </w:r>
      <w:r>
        <w:rPr>
          <w:rFonts w:hint="eastAsia" w:ascii="宋体" w:hAnsi="宋体" w:eastAsia="宋体" w:cs="宋体"/>
          <w:szCs w:val="21"/>
          <w:lang w:val="en-US" w:eastAsia="zh-CN"/>
        </w:rPr>
        <w:t xml:space="preserve"> </w:t>
      </w:r>
      <w:r>
        <w:rPr>
          <w:rFonts w:hint="eastAsia" w:ascii="宋体" w:hAnsi="宋体" w:eastAsia="宋体" w:cs="宋体"/>
          <w:szCs w:val="21"/>
        </w:rPr>
        <w:t>10</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eastAsia="zh-CN"/>
        </w:rPr>
        <w:t>；</w:t>
      </w:r>
      <w:r>
        <w:rPr>
          <w:rFonts w:hint="eastAsia" w:ascii="宋体" w:hAnsi="宋体" w:eastAsia="宋体" w:cs="宋体"/>
          <w:szCs w:val="21"/>
        </w:rPr>
        <w:t>组分Ⅲ</w:t>
      </w:r>
      <w:r>
        <w:rPr>
          <w:rFonts w:hint="eastAsia" w:ascii="宋体" w:hAnsi="宋体" w:eastAsia="宋体" w:cs="宋体"/>
          <w:szCs w:val="21"/>
          <w:lang w:eastAsia="zh-CN"/>
        </w:rPr>
        <w:t>：</w:t>
      </w:r>
      <w:r>
        <w:rPr>
          <w:rFonts w:hint="eastAsia" w:ascii="宋体" w:hAnsi="宋体" w:eastAsia="宋体" w:cs="宋体"/>
          <w:szCs w:val="21"/>
        </w:rPr>
        <w:t>94℃</w:t>
      </w:r>
      <w:r>
        <w:rPr>
          <w:rFonts w:hint="eastAsia" w:ascii="宋体" w:hAnsi="宋体" w:eastAsia="宋体" w:cs="宋体"/>
          <w:szCs w:val="21"/>
          <w:lang w:val="en-US" w:eastAsia="zh-CN"/>
        </w:rPr>
        <w:t xml:space="preserve"> </w:t>
      </w:r>
      <w:r>
        <w:rPr>
          <w:rFonts w:hint="eastAsia" w:ascii="宋体" w:hAnsi="宋体" w:eastAsia="宋体" w:cs="宋体"/>
          <w:szCs w:val="21"/>
        </w:rPr>
        <w:t>4</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eastAsia="zh-CN"/>
        </w:rPr>
        <w:t>；</w:t>
      </w:r>
      <w:r>
        <w:rPr>
          <w:rFonts w:hint="eastAsia" w:ascii="宋体" w:hAnsi="宋体" w:eastAsia="宋体" w:cs="宋体"/>
          <w:szCs w:val="21"/>
        </w:rPr>
        <w:t>94℃</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min，5℃</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min，72℃</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min，共35个循环</w:t>
      </w:r>
      <w:r>
        <w:rPr>
          <w:rFonts w:hint="eastAsia" w:ascii="宋体" w:hAnsi="宋体" w:eastAsia="宋体" w:cs="宋体"/>
          <w:szCs w:val="21"/>
          <w:lang w:eastAsia="zh-CN"/>
        </w:rPr>
        <w:t>；</w:t>
      </w:r>
      <w:r>
        <w:rPr>
          <w:rFonts w:hint="eastAsia" w:ascii="宋体" w:hAnsi="宋体" w:eastAsia="宋体" w:cs="宋体"/>
          <w:szCs w:val="21"/>
        </w:rPr>
        <w:t>72℃</w:t>
      </w:r>
      <w:r>
        <w:rPr>
          <w:rFonts w:hint="eastAsia" w:ascii="宋体" w:hAnsi="宋体" w:eastAsia="宋体" w:cs="宋体"/>
          <w:szCs w:val="21"/>
          <w:lang w:val="en-US" w:eastAsia="zh-CN"/>
        </w:rPr>
        <w:t xml:space="preserve"> </w:t>
      </w:r>
      <w:r>
        <w:rPr>
          <w:rFonts w:hint="eastAsia" w:ascii="宋体" w:hAnsi="宋体" w:eastAsia="宋体" w:cs="宋体"/>
          <w:szCs w:val="21"/>
        </w:rPr>
        <w:t>10</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eastAsia="zh-CN"/>
        </w:rPr>
        <w:t>；</w:t>
      </w:r>
      <w:r>
        <w:rPr>
          <w:rFonts w:hint="eastAsia" w:ascii="宋体" w:hAnsi="宋体" w:eastAsia="宋体" w:cs="宋体"/>
          <w:szCs w:val="21"/>
        </w:rPr>
        <w:t>组分Ⅳ:94℃</w:t>
      </w:r>
      <w:r>
        <w:rPr>
          <w:rFonts w:hint="eastAsia" w:ascii="宋体" w:hAnsi="宋体" w:eastAsia="宋体" w:cs="宋体"/>
          <w:szCs w:val="21"/>
          <w:lang w:val="en-US" w:eastAsia="zh-CN"/>
        </w:rPr>
        <w:t xml:space="preserve"> </w:t>
      </w:r>
      <w:r>
        <w:rPr>
          <w:rFonts w:hint="eastAsia" w:ascii="宋体" w:hAnsi="宋体" w:eastAsia="宋体" w:cs="宋体"/>
          <w:szCs w:val="21"/>
        </w:rPr>
        <w:t>4</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eastAsia="zh-CN"/>
        </w:rPr>
        <w:t>：</w:t>
      </w:r>
      <w:r>
        <w:rPr>
          <w:rFonts w:hint="eastAsia" w:ascii="宋体" w:hAnsi="宋体" w:eastAsia="宋体" w:cs="宋体"/>
          <w:szCs w:val="21"/>
        </w:rPr>
        <w:t>94℃</w:t>
      </w:r>
      <w:r>
        <w:rPr>
          <w:rFonts w:hint="eastAsia" w:ascii="宋体" w:hAnsi="宋体" w:eastAsia="宋体" w:cs="宋体"/>
          <w:szCs w:val="21"/>
          <w:lang w:val="en-US" w:eastAsia="zh-CN"/>
        </w:rPr>
        <w:t xml:space="preserve"> </w:t>
      </w:r>
      <w:r>
        <w:rPr>
          <w:rFonts w:hint="eastAsia" w:ascii="宋体" w:hAnsi="宋体" w:eastAsia="宋体" w:cs="宋体"/>
          <w:szCs w:val="21"/>
        </w:rPr>
        <w:t>30</w:t>
      </w:r>
      <w:r>
        <w:rPr>
          <w:rFonts w:hint="eastAsia" w:ascii="宋体" w:hAnsi="宋体" w:eastAsia="宋体" w:cs="宋体"/>
          <w:szCs w:val="21"/>
          <w:lang w:val="en-US" w:eastAsia="zh-CN"/>
        </w:rPr>
        <w:t xml:space="preserve"> </w:t>
      </w:r>
      <w:r>
        <w:rPr>
          <w:rFonts w:hint="eastAsia" w:ascii="宋体" w:hAnsi="宋体" w:eastAsia="宋体" w:cs="宋体"/>
          <w:szCs w:val="21"/>
        </w:rPr>
        <w:t>s，68℃</w:t>
      </w:r>
      <w:r>
        <w:rPr>
          <w:rFonts w:hint="eastAsia" w:ascii="宋体" w:hAnsi="宋体" w:eastAsia="宋体" w:cs="宋体"/>
          <w:szCs w:val="21"/>
          <w:lang w:val="en-US" w:eastAsia="zh-CN"/>
        </w:rPr>
        <w:t xml:space="preserve"> </w:t>
      </w:r>
      <w:r>
        <w:rPr>
          <w:rFonts w:hint="eastAsia" w:ascii="宋体" w:hAnsi="宋体" w:eastAsia="宋体" w:cs="宋体"/>
          <w:szCs w:val="21"/>
        </w:rPr>
        <w:t>30</w:t>
      </w:r>
      <w:r>
        <w:rPr>
          <w:rFonts w:hint="eastAsia" w:ascii="宋体" w:hAnsi="宋体" w:eastAsia="宋体" w:cs="宋体"/>
          <w:szCs w:val="21"/>
          <w:lang w:val="en-US" w:eastAsia="zh-CN"/>
        </w:rPr>
        <w:t xml:space="preserve"> </w:t>
      </w:r>
      <w:r>
        <w:rPr>
          <w:rFonts w:hint="eastAsia" w:ascii="宋体" w:hAnsi="宋体" w:eastAsia="宋体" w:cs="宋体"/>
          <w:szCs w:val="21"/>
        </w:rPr>
        <w:t>s，72℃</w:t>
      </w:r>
      <w:r>
        <w:rPr>
          <w:rFonts w:hint="eastAsia" w:ascii="宋体" w:hAnsi="宋体" w:eastAsia="宋体" w:cs="宋体"/>
          <w:szCs w:val="21"/>
          <w:lang w:val="en-US" w:eastAsia="zh-CN"/>
        </w:rPr>
        <w:t xml:space="preserve"> </w:t>
      </w:r>
      <w:r>
        <w:rPr>
          <w:rFonts w:hint="eastAsia" w:ascii="宋体" w:hAnsi="宋体" w:eastAsia="宋体" w:cs="宋体"/>
          <w:szCs w:val="21"/>
        </w:rPr>
        <w:t>30</w:t>
      </w:r>
      <w:r>
        <w:rPr>
          <w:rFonts w:hint="eastAsia" w:ascii="宋体" w:hAnsi="宋体" w:eastAsia="宋体" w:cs="宋体"/>
          <w:szCs w:val="21"/>
          <w:lang w:val="en-US" w:eastAsia="zh-CN"/>
        </w:rPr>
        <w:t xml:space="preserve"> </w:t>
      </w:r>
      <w:r>
        <w:rPr>
          <w:rFonts w:hint="eastAsia" w:ascii="宋体" w:hAnsi="宋体" w:eastAsia="宋体" w:cs="宋体"/>
          <w:szCs w:val="21"/>
        </w:rPr>
        <w:t>s，共35个循环</w:t>
      </w:r>
      <w:r>
        <w:rPr>
          <w:rFonts w:hint="eastAsia" w:ascii="宋体" w:hAnsi="宋体" w:eastAsia="宋体" w:cs="宋体"/>
          <w:szCs w:val="21"/>
          <w:lang w:eastAsia="zh-CN"/>
        </w:rPr>
        <w:t>；</w:t>
      </w:r>
      <w:r>
        <w:rPr>
          <w:rFonts w:hint="eastAsia" w:ascii="宋体" w:hAnsi="宋体" w:eastAsia="宋体" w:cs="宋体"/>
          <w:szCs w:val="21"/>
        </w:rPr>
        <w:t>72℃</w:t>
      </w:r>
      <w:r>
        <w:rPr>
          <w:rFonts w:hint="eastAsia" w:ascii="宋体" w:hAnsi="宋体" w:eastAsia="宋体" w:cs="宋体"/>
          <w:szCs w:val="21"/>
          <w:lang w:val="en-US" w:eastAsia="zh-CN"/>
        </w:rPr>
        <w:t xml:space="preserve"> </w:t>
      </w:r>
      <w:r>
        <w:rPr>
          <w:rFonts w:hint="eastAsia" w:ascii="宋体" w:hAnsi="宋体" w:eastAsia="宋体" w:cs="宋体"/>
          <w:szCs w:val="21"/>
        </w:rPr>
        <w:t>10</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val="en-US" w:eastAsia="zh-CN"/>
        </w:rPr>
        <w:t>CMV：</w:t>
      </w:r>
      <w:r>
        <w:rPr>
          <w:rFonts w:hint="eastAsia" w:ascii="宋体" w:hAnsi="宋体" w:eastAsia="宋体" w:cs="宋体"/>
          <w:szCs w:val="21"/>
        </w:rPr>
        <w:t>PCR扩增条件为</w:t>
      </w:r>
      <w:r>
        <w:rPr>
          <w:rFonts w:hint="eastAsia" w:ascii="宋体" w:hAnsi="宋体" w:eastAsia="宋体" w:cs="宋体"/>
          <w:szCs w:val="21"/>
          <w:lang w:eastAsia="zh-CN"/>
        </w:rPr>
        <w:t>：</w:t>
      </w:r>
      <w:r>
        <w:rPr>
          <w:rFonts w:hint="eastAsia" w:ascii="宋体" w:hAnsi="宋体" w:eastAsia="宋体" w:cs="宋体"/>
          <w:szCs w:val="21"/>
        </w:rPr>
        <w:t>94℃</w:t>
      </w:r>
      <w:r>
        <w:rPr>
          <w:rFonts w:hint="eastAsia" w:ascii="宋体" w:hAnsi="宋体" w:eastAsia="宋体" w:cs="宋体"/>
          <w:szCs w:val="21"/>
          <w:lang w:val="en-US" w:eastAsia="zh-CN"/>
        </w:rPr>
        <w:t xml:space="preserve"> </w:t>
      </w:r>
      <w:r>
        <w:rPr>
          <w:rFonts w:hint="eastAsia" w:ascii="宋体" w:hAnsi="宋体" w:eastAsia="宋体" w:cs="宋体"/>
          <w:szCs w:val="21"/>
        </w:rPr>
        <w:t>4</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eastAsia="zh-CN"/>
        </w:rPr>
        <w:t>；</w:t>
      </w:r>
      <w:r>
        <w:rPr>
          <w:rFonts w:hint="eastAsia" w:ascii="宋体" w:hAnsi="宋体" w:eastAsia="宋体" w:cs="宋体"/>
          <w:szCs w:val="21"/>
        </w:rPr>
        <w:t>94℃</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min，58℃</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min，72℃</w:t>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min，共35个循环</w:t>
      </w:r>
      <w:r>
        <w:rPr>
          <w:rFonts w:hint="eastAsia" w:ascii="宋体" w:hAnsi="宋体" w:eastAsia="宋体" w:cs="宋体"/>
          <w:szCs w:val="21"/>
          <w:lang w:eastAsia="zh-CN"/>
        </w:rPr>
        <w:t>；</w:t>
      </w:r>
      <w:r>
        <w:rPr>
          <w:rFonts w:hint="eastAsia" w:ascii="宋体" w:hAnsi="宋体" w:eastAsia="宋体" w:cs="宋体"/>
          <w:szCs w:val="21"/>
        </w:rPr>
        <w:t>72℃</w:t>
      </w:r>
      <w:r>
        <w:rPr>
          <w:rFonts w:hint="eastAsia" w:ascii="宋体" w:hAnsi="宋体" w:eastAsia="宋体" w:cs="宋体"/>
          <w:szCs w:val="21"/>
          <w:lang w:val="en-US" w:eastAsia="zh-CN"/>
        </w:rPr>
        <w:t xml:space="preserve"> </w:t>
      </w:r>
      <w:r>
        <w:rPr>
          <w:rFonts w:hint="eastAsia" w:ascii="宋体" w:hAnsi="宋体" w:eastAsia="宋体" w:cs="宋体"/>
          <w:szCs w:val="21"/>
        </w:rPr>
        <w:t>10</w:t>
      </w:r>
      <w:r>
        <w:rPr>
          <w:rFonts w:hint="eastAsia" w:ascii="宋体" w:hAnsi="宋体" w:eastAsia="宋体" w:cs="宋体"/>
          <w:szCs w:val="21"/>
          <w:lang w:val="en-US" w:eastAsia="zh-CN"/>
        </w:rPr>
        <w:t xml:space="preserve"> </w:t>
      </w:r>
      <w:r>
        <w:rPr>
          <w:rFonts w:hint="eastAsia" w:ascii="宋体" w:hAnsi="宋体" w:eastAsia="宋体" w:cs="宋体"/>
          <w:szCs w:val="21"/>
        </w:rPr>
        <w:t>min</w:t>
      </w:r>
      <w:r>
        <w:rPr>
          <w:rFonts w:hint="eastAsia" w:ascii="宋体" w:hAnsi="宋体" w:eastAsia="宋体" w:cs="宋体"/>
          <w:szCs w:val="21"/>
          <w:lang w:eastAsia="zh-CN"/>
        </w:rPr>
        <w:t>。</w:t>
      </w:r>
    </w:p>
    <w:p w14:paraId="7FEC02FE">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 琼脂糖凝胶电泳检测</w:t>
      </w:r>
    </w:p>
    <w:p w14:paraId="17EE2A64">
      <w:pPr>
        <w:spacing w:line="360" w:lineRule="exact"/>
        <w:ind w:firstLine="420"/>
        <w:rPr>
          <w:rFonts w:hint="eastAsia" w:ascii="宋体" w:hAnsi="宋体" w:eastAsia="宋体" w:cs="宋体"/>
          <w:b w:val="0"/>
          <w:bCs w:val="0"/>
          <w:sz w:val="21"/>
          <w:szCs w:val="21"/>
          <w:lang w:val="en-US" w:eastAsia="zh-CN"/>
        </w:rPr>
      </w:pPr>
      <w:r>
        <w:rPr>
          <w:rFonts w:hint="eastAsia" w:ascii="宋体" w:hAnsi="宋体" w:eastAsia="宋体" w:cs="宋体"/>
          <w:szCs w:val="21"/>
        </w:rPr>
        <w:t>取5 μL的RNA溶液在110</w:t>
      </w:r>
      <w:r>
        <w:rPr>
          <w:rFonts w:hint="eastAsia" w:ascii="宋体" w:hAnsi="宋体" w:eastAsia="宋体" w:cs="宋体"/>
          <w:szCs w:val="21"/>
          <w:lang w:val="en-US" w:eastAsia="zh-CN"/>
        </w:rPr>
        <w:t xml:space="preserve"> </w:t>
      </w:r>
      <w:r>
        <w:rPr>
          <w:rFonts w:hint="eastAsia" w:ascii="宋体" w:hAnsi="宋体" w:eastAsia="宋体" w:cs="宋体"/>
          <w:szCs w:val="21"/>
        </w:rPr>
        <w:t>V和220 mA的条件下进行琼脂糖凝胶电泳，25 min</w:t>
      </w:r>
      <w:r>
        <w:rPr>
          <w:rFonts w:hint="eastAsia" w:ascii="宋体" w:hAnsi="宋体" w:eastAsia="宋体" w:cs="宋体"/>
          <w:szCs w:val="21"/>
          <w:lang w:eastAsia="zh-CN"/>
        </w:rPr>
        <w:t>。</w:t>
      </w:r>
    </w:p>
    <w:p w14:paraId="75162829">
      <w:pPr>
        <w:spacing w:before="312" w:after="312"/>
        <w:jc w:val="left"/>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6 结果判定</w:t>
      </w:r>
    </w:p>
    <w:p w14:paraId="1E49EB2E">
      <w:pPr>
        <w:spacing w:line="36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阳性对照、阴性对照与空白对照正确，待测样品出现目标条带，判定为阳性。</w:t>
      </w:r>
    </w:p>
    <w:p w14:paraId="7AFC7082">
      <w:pPr>
        <w:spacing w:line="36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阳性对照、阴性对照与空白对照正确，待测样品未出现目标条带，判定为阴性。</w:t>
      </w:r>
    </w:p>
    <w:p w14:paraId="7A579760">
      <w:pPr>
        <w:rPr>
          <w:rFonts w:hint="eastAsia" w:ascii="宋体" w:hAnsi="宋体" w:eastAsia="宋体" w:cs="宋体"/>
        </w:rPr>
      </w:pPr>
    </w:p>
    <w:p w14:paraId="09CA3321">
      <w:pPr>
        <w:rPr>
          <w:rFonts w:hint="eastAsia" w:ascii="宋体" w:hAnsi="宋体" w:eastAsia="宋体" w:cs="宋体"/>
        </w:rPr>
      </w:pPr>
    </w:p>
    <w:p w14:paraId="59A60A13">
      <w:pPr>
        <w:rPr>
          <w:rFonts w:hint="eastAsia" w:ascii="宋体" w:hAnsi="宋体" w:eastAsia="宋体" w:cs="宋体"/>
        </w:rPr>
      </w:pPr>
    </w:p>
    <w:p w14:paraId="39BC7EEB">
      <w:pPr>
        <w:rPr>
          <w:rFonts w:hint="eastAsia" w:ascii="宋体" w:hAnsi="宋体" w:eastAsia="宋体" w:cs="宋体"/>
        </w:rPr>
      </w:pPr>
    </w:p>
    <w:p w14:paraId="19EC772C">
      <w:pPr>
        <w:rPr>
          <w:rFonts w:hint="eastAsia" w:ascii="宋体" w:hAnsi="宋体" w:eastAsia="宋体" w:cs="宋体"/>
        </w:rPr>
      </w:pPr>
    </w:p>
    <w:p w14:paraId="434B55A4">
      <w:pPr>
        <w:rPr>
          <w:rFonts w:hint="eastAsia" w:ascii="宋体" w:hAnsi="宋体" w:eastAsia="宋体" w:cs="宋体"/>
        </w:rPr>
      </w:pPr>
    </w:p>
    <w:p w14:paraId="7151A249">
      <w:pPr>
        <w:rPr>
          <w:rFonts w:hint="eastAsia" w:ascii="宋体" w:hAnsi="宋体" w:eastAsia="宋体" w:cs="宋体"/>
        </w:rPr>
      </w:pPr>
    </w:p>
    <w:p w14:paraId="16EE06BC">
      <w:pPr>
        <w:rPr>
          <w:rFonts w:hint="eastAsia" w:ascii="宋体" w:hAnsi="宋体" w:eastAsia="宋体" w:cs="宋体"/>
        </w:rPr>
      </w:pPr>
    </w:p>
    <w:p w14:paraId="47420DE5">
      <w:pPr>
        <w:rPr>
          <w:rFonts w:hint="eastAsia" w:ascii="宋体" w:hAnsi="宋体" w:eastAsia="宋体" w:cs="宋体"/>
        </w:rPr>
      </w:pPr>
    </w:p>
    <w:p w14:paraId="48FF164E">
      <w:pPr>
        <w:rPr>
          <w:rFonts w:hint="eastAsia" w:ascii="宋体" w:hAnsi="宋体" w:eastAsia="宋体" w:cs="宋体"/>
        </w:rPr>
      </w:pPr>
    </w:p>
    <w:p w14:paraId="06EEBDFA">
      <w:pPr>
        <w:rPr>
          <w:rFonts w:hint="eastAsia" w:ascii="宋体" w:hAnsi="宋体" w:eastAsia="宋体" w:cs="宋体"/>
        </w:rPr>
      </w:pPr>
    </w:p>
    <w:p w14:paraId="7C9E95D6">
      <w:pPr>
        <w:rPr>
          <w:rFonts w:hint="eastAsia" w:ascii="宋体" w:hAnsi="宋体" w:eastAsia="宋体" w:cs="宋体"/>
        </w:rPr>
      </w:pPr>
    </w:p>
    <w:p w14:paraId="518419B0">
      <w:pPr>
        <w:rPr>
          <w:rFonts w:hint="eastAsia" w:ascii="宋体" w:hAnsi="宋体" w:eastAsia="宋体" w:cs="宋体"/>
        </w:rPr>
      </w:pPr>
    </w:p>
    <w:p w14:paraId="51A317C6">
      <w:pPr>
        <w:rPr>
          <w:rFonts w:hint="eastAsia" w:ascii="宋体" w:hAnsi="宋体" w:eastAsia="宋体" w:cs="宋体"/>
        </w:rPr>
      </w:pPr>
    </w:p>
    <w:p w14:paraId="395B34B9">
      <w:pPr>
        <w:rPr>
          <w:rFonts w:hint="eastAsia" w:ascii="宋体" w:hAnsi="宋体" w:eastAsia="宋体" w:cs="宋体"/>
        </w:rPr>
      </w:pPr>
    </w:p>
    <w:p w14:paraId="71CD9789">
      <w:pPr>
        <w:rPr>
          <w:rFonts w:hint="eastAsia" w:ascii="宋体" w:hAnsi="宋体" w:eastAsia="宋体" w:cs="宋体"/>
        </w:rPr>
      </w:pPr>
    </w:p>
    <w:p w14:paraId="62347153">
      <w:pPr>
        <w:rPr>
          <w:rFonts w:hint="eastAsia" w:ascii="宋体" w:hAnsi="宋体" w:eastAsia="宋体" w:cs="宋体"/>
        </w:rPr>
      </w:pPr>
    </w:p>
    <w:p w14:paraId="255DC639">
      <w:pPr>
        <w:pStyle w:val="2"/>
        <w:spacing w:before="20" w:after="20" w:line="240" w:lineRule="auto"/>
        <w:jc w:val="center"/>
        <w:rPr>
          <w:rFonts w:ascii="宋体" w:hAnsi="宋体" w:eastAsia="宋体"/>
          <w:b/>
          <w:bCs/>
          <w:sz w:val="21"/>
          <w:szCs w:val="21"/>
          <w:lang w:eastAsia="zh-CN"/>
        </w:rPr>
      </w:pPr>
      <w:bookmarkStart w:id="324" w:name="_Toc21602"/>
      <w:bookmarkStart w:id="325" w:name="_Toc8115"/>
      <w:bookmarkStart w:id="326" w:name="_Toc23352"/>
      <w:r>
        <w:rPr>
          <w:rFonts w:ascii="宋体" w:hAnsi="宋体" w:eastAsia="宋体"/>
          <w:b/>
          <w:bCs/>
          <w:sz w:val="21"/>
          <w:szCs w:val="21"/>
        </w:rPr>
        <w:t xml:space="preserve">附 录 </w:t>
      </w:r>
      <w:bookmarkStart w:id="327" w:name="_Toc3693dac3-3305-4f88-8bc9-669bb6146c76"/>
      <w:r>
        <w:rPr>
          <w:rFonts w:ascii="宋体" w:hAnsi="宋体" w:eastAsia="宋体"/>
          <w:b/>
          <w:bCs/>
          <w:sz w:val="21"/>
          <w:szCs w:val="21"/>
          <w:lang w:val="en-US" w:eastAsia="zh-CN"/>
        </w:rPr>
        <w:t>D</w:t>
      </w:r>
      <w:bookmarkEnd w:id="324"/>
      <w:bookmarkEnd w:id="325"/>
      <w:bookmarkEnd w:id="326"/>
    </w:p>
    <w:p w14:paraId="4EE0D938">
      <w:pPr>
        <w:jc w:val="center"/>
        <w:rPr>
          <w:rFonts w:ascii="宋体" w:hAnsi="宋体" w:eastAsia="宋体"/>
        </w:rPr>
      </w:pPr>
      <w:r>
        <w:rPr>
          <w:rFonts w:ascii="宋体" w:hAnsi="宋体" w:eastAsia="宋体"/>
          <w:szCs w:val="21"/>
        </w:rPr>
        <w:t>（规范性）</w:t>
      </w:r>
    </w:p>
    <w:p w14:paraId="199989A8">
      <w:pPr>
        <w:jc w:val="center"/>
        <w:rPr>
          <w:rFonts w:ascii="宋体" w:hAnsi="宋体" w:eastAsia="宋体" w:cs="Times New Roman"/>
          <w:szCs w:val="21"/>
        </w:rPr>
      </w:pPr>
      <w:r>
        <w:rPr>
          <w:rFonts w:ascii="宋体" w:hAnsi="宋体" w:eastAsia="宋体" w:cs="黑体"/>
          <w:szCs w:val="21"/>
        </w:rPr>
        <w:t>ELISA检测</w:t>
      </w:r>
      <w:r>
        <w:rPr>
          <w:rFonts w:ascii="宋体" w:hAnsi="宋体" w:eastAsia="宋体" w:cs="Times New Roman"/>
          <w:szCs w:val="21"/>
        </w:rPr>
        <w:t>方法</w:t>
      </w:r>
    </w:p>
    <w:p w14:paraId="70578802">
      <w:pPr>
        <w:pStyle w:val="60"/>
        <w:spacing w:before="312" w:after="312"/>
        <w:ind w:firstLine="0"/>
        <w:jc w:val="both"/>
      </w:pPr>
      <w:r>
        <w:t>1 准备</w:t>
      </w:r>
      <w:r>
        <w:rPr>
          <w:rFonts w:cs="宋体"/>
          <w:szCs w:val="21"/>
        </w:rPr>
        <w:t>抗原</w:t>
      </w:r>
    </w:p>
    <w:p w14:paraId="25F00403">
      <w:pPr>
        <w:pStyle w:val="60"/>
        <w:jc w:val="both"/>
      </w:pPr>
      <w:r>
        <w:rPr>
          <w:rFonts w:cs="宋体"/>
          <w:szCs w:val="21"/>
        </w:rPr>
        <w:t>取待测样品和阴性对照、阳性对照的叶片用抗原包被缓冲液配制1:10（0.1 g叶片/1 m</w:t>
      </w:r>
      <w:r>
        <w:rPr>
          <w:rFonts w:hint="eastAsia" w:cs="宋体"/>
          <w:szCs w:val="21"/>
          <w:lang w:val="en-US" w:eastAsia="zh-CN"/>
        </w:rPr>
        <w:t>L</w:t>
      </w:r>
      <w:r>
        <w:rPr>
          <w:rFonts w:cs="宋体"/>
          <w:szCs w:val="21"/>
        </w:rPr>
        <w:t>包被缓冲液）的样品悬浮液，3000</w:t>
      </w:r>
      <w:r>
        <w:rPr>
          <w:rFonts w:hint="eastAsia" w:cs="宋体"/>
          <w:szCs w:val="21"/>
          <w:lang w:val="en-US" w:eastAsia="zh-CN"/>
        </w:rPr>
        <w:t xml:space="preserve"> </w:t>
      </w:r>
      <w:r>
        <w:rPr>
          <w:rFonts w:cs="宋体"/>
          <w:szCs w:val="21"/>
        </w:rPr>
        <w:t>r</w:t>
      </w:r>
      <w:r>
        <w:rPr>
          <w:rFonts w:hint="eastAsia" w:cs="宋体"/>
          <w:szCs w:val="21"/>
          <w:lang w:val="en-US" w:eastAsia="zh-CN"/>
        </w:rPr>
        <w:t>pm</w:t>
      </w:r>
      <w:r>
        <w:rPr>
          <w:rFonts w:cs="宋体"/>
          <w:szCs w:val="21"/>
        </w:rPr>
        <w:t>低速离心后备用。</w:t>
      </w:r>
    </w:p>
    <w:p w14:paraId="59713CAA">
      <w:pPr>
        <w:pStyle w:val="60"/>
        <w:spacing w:before="312" w:after="312"/>
        <w:ind w:firstLine="0"/>
        <w:jc w:val="both"/>
      </w:pPr>
      <w:r>
        <w:t>2 加样</w:t>
      </w:r>
    </w:p>
    <w:p w14:paraId="08E932AE">
      <w:pPr>
        <w:pStyle w:val="60"/>
        <w:jc w:val="both"/>
      </w:pPr>
      <w:r>
        <w:rPr>
          <w:rFonts w:cs="宋体"/>
          <w:szCs w:val="21"/>
        </w:rPr>
        <w:t>在酶联板上加样，每孔100 μ</w:t>
      </w:r>
      <w:r>
        <w:rPr>
          <w:rFonts w:hint="eastAsia" w:cs="宋体"/>
          <w:szCs w:val="21"/>
          <w:lang w:val="en-US" w:eastAsia="zh-CN"/>
        </w:rPr>
        <w:t>L</w:t>
      </w:r>
      <w:r>
        <w:rPr>
          <w:rFonts w:cs="宋体"/>
          <w:szCs w:val="21"/>
        </w:rPr>
        <w:t>，每个样品重复两次，并设空白对照，于4℃冰箱保湿过夜（或25℃温箱孵育3～5h，或37℃孵育2h）。</w:t>
      </w:r>
    </w:p>
    <w:p w14:paraId="168649B0">
      <w:pPr>
        <w:pStyle w:val="60"/>
        <w:spacing w:before="312" w:after="312"/>
        <w:ind w:firstLine="0"/>
        <w:jc w:val="both"/>
      </w:pPr>
      <w:r>
        <w:t>3 洗板</w:t>
      </w:r>
    </w:p>
    <w:p w14:paraId="0870BCDC">
      <w:pPr>
        <w:pStyle w:val="60"/>
        <w:jc w:val="both"/>
      </w:pPr>
      <w:r>
        <w:rPr>
          <w:rFonts w:cs="宋体"/>
          <w:szCs w:val="21"/>
        </w:rPr>
        <w:t>甩去酶标板上各孔中的液体，用PBST洗3次酶标板，每隔5分钟洗1次，每次每孔加PBST各300 μ</w:t>
      </w:r>
      <w:r>
        <w:rPr>
          <w:rFonts w:hint="eastAsia" w:cs="宋体"/>
          <w:szCs w:val="21"/>
          <w:lang w:val="en-US" w:eastAsia="zh-CN"/>
        </w:rPr>
        <w:t>L</w:t>
      </w:r>
      <w:r>
        <w:rPr>
          <w:rFonts w:cs="宋体"/>
          <w:szCs w:val="21"/>
        </w:rPr>
        <w:t>，最后一次洗完将酶标板上洗涤液甩干。</w:t>
      </w:r>
    </w:p>
    <w:p w14:paraId="1021CBA0">
      <w:pPr>
        <w:pStyle w:val="60"/>
        <w:spacing w:before="312" w:after="312"/>
        <w:ind w:firstLine="0"/>
        <w:jc w:val="both"/>
      </w:pPr>
      <w:r>
        <w:t>4 抗体稀释</w:t>
      </w:r>
    </w:p>
    <w:p w14:paraId="2F47B1F9">
      <w:pPr>
        <w:pStyle w:val="60"/>
        <w:jc w:val="both"/>
      </w:pPr>
      <w:r>
        <w:rPr>
          <w:rFonts w:cs="宋体"/>
          <w:szCs w:val="21"/>
        </w:rPr>
        <w:t>用IgG稀释缓冲液将 CMV、BBTV特异抗体以1:1500和1:2000的倍数进行稀释，4℃保存备用。</w:t>
      </w:r>
    </w:p>
    <w:p w14:paraId="0BF1560D">
      <w:pPr>
        <w:pStyle w:val="60"/>
        <w:spacing w:before="312" w:after="312"/>
        <w:ind w:firstLine="0"/>
        <w:jc w:val="both"/>
      </w:pPr>
      <w:r>
        <w:t>5 加特异抗体</w:t>
      </w:r>
    </w:p>
    <w:p w14:paraId="5AEA2064">
      <w:pPr>
        <w:pStyle w:val="60"/>
        <w:jc w:val="both"/>
      </w:pPr>
      <w:r>
        <w:rPr>
          <w:rFonts w:cs="宋体"/>
          <w:szCs w:val="21"/>
        </w:rPr>
        <w:t>在酶标板上每孔加入100 μ</w:t>
      </w:r>
      <w:r>
        <w:rPr>
          <w:rFonts w:hint="eastAsia" w:cs="宋体"/>
          <w:szCs w:val="21"/>
          <w:lang w:val="en-US" w:eastAsia="zh-CN"/>
        </w:rPr>
        <w:t>L</w:t>
      </w:r>
      <w:r>
        <w:rPr>
          <w:rFonts w:cs="宋体"/>
          <w:szCs w:val="21"/>
        </w:rPr>
        <w:t>稀释后的抗体，各重复1次；37℃恒温箱中孵育2h。</w:t>
      </w:r>
    </w:p>
    <w:p w14:paraId="413BE43F">
      <w:pPr>
        <w:pStyle w:val="60"/>
        <w:spacing w:before="312" w:after="312"/>
        <w:ind w:firstLine="0"/>
        <w:jc w:val="both"/>
      </w:pPr>
      <w:r>
        <w:t>6 加入酶标抗体</w:t>
      </w:r>
    </w:p>
    <w:p w14:paraId="47F89F7F">
      <w:pPr>
        <w:pStyle w:val="60"/>
        <w:jc w:val="both"/>
      </w:pPr>
      <w:r>
        <w:rPr>
          <w:rFonts w:cs="宋体"/>
          <w:szCs w:val="21"/>
        </w:rPr>
        <w:t>洗板3次后，加酶标抗体。每孔加入用血清稀释液按1:2000比例稀释的酶标抗体液100 μ</w:t>
      </w:r>
      <w:r>
        <w:rPr>
          <w:rFonts w:hint="eastAsia" w:cs="宋体"/>
          <w:szCs w:val="21"/>
          <w:lang w:val="en-US" w:eastAsia="zh-CN"/>
        </w:rPr>
        <w:t>L</w:t>
      </w:r>
      <w:r>
        <w:rPr>
          <w:rFonts w:cs="宋体"/>
          <w:szCs w:val="21"/>
        </w:rPr>
        <w:t>，在37℃电热恒温培养箱中孵育2小时。</w:t>
      </w:r>
    </w:p>
    <w:p w14:paraId="14B0E212">
      <w:pPr>
        <w:pStyle w:val="60"/>
        <w:spacing w:before="312" w:after="312"/>
        <w:ind w:firstLine="0"/>
        <w:jc w:val="both"/>
      </w:pPr>
      <w:r>
        <w:t>7 加底物溶液</w:t>
      </w:r>
    </w:p>
    <w:p w14:paraId="31ABBC1B">
      <w:pPr>
        <w:pStyle w:val="60"/>
        <w:jc w:val="both"/>
      </w:pPr>
      <w:r>
        <w:rPr>
          <w:rFonts w:cs="宋体"/>
          <w:szCs w:val="21"/>
        </w:rPr>
        <w:t>洗板3次后，加入底物溶液，每孔100 μ</w:t>
      </w:r>
      <w:r>
        <w:rPr>
          <w:rFonts w:hint="eastAsia" w:cs="宋体"/>
          <w:szCs w:val="21"/>
          <w:lang w:val="en-US" w:eastAsia="zh-CN"/>
        </w:rPr>
        <w:t>L</w:t>
      </w:r>
      <w:r>
        <w:rPr>
          <w:rFonts w:cs="宋体"/>
          <w:szCs w:val="21"/>
        </w:rPr>
        <w:t>，置37℃电热恒温培养箱中避光10分钟显色。</w:t>
      </w:r>
    </w:p>
    <w:p w14:paraId="428CCE06">
      <w:pPr>
        <w:spacing w:before="312" w:after="312"/>
        <w:jc w:val="left"/>
        <w:rPr>
          <w:rFonts w:ascii="宋体" w:hAnsi="宋体" w:eastAsia="宋体"/>
          <w:bCs/>
          <w:color w:val="000000"/>
          <w:kern w:val="0"/>
          <w:szCs w:val="21"/>
        </w:rPr>
      </w:pPr>
      <w:r>
        <w:rPr>
          <w:rFonts w:ascii="宋体" w:hAnsi="宋体" w:eastAsia="宋体"/>
          <w:bCs/>
          <w:color w:val="000000"/>
          <w:kern w:val="0"/>
          <w:szCs w:val="21"/>
        </w:rPr>
        <w:t>8 记录数据，判断结果</w:t>
      </w:r>
    </w:p>
    <w:p w14:paraId="44C31276">
      <w:pPr>
        <w:pStyle w:val="60"/>
        <w:jc w:val="both"/>
      </w:pPr>
      <w:r>
        <w:rPr>
          <w:rFonts w:cs="宋体"/>
          <w:szCs w:val="21"/>
        </w:rPr>
        <w:t>目测判断方法：当样品的颜色与阳性对照颜色一致或深于阳性对照，样品判断为阳性。酶标仪读数判断方法：当样品OD</w:t>
      </w:r>
      <w:r>
        <w:rPr>
          <w:rFonts w:cs="宋体"/>
          <w:szCs w:val="21"/>
          <w:vertAlign w:val="subscript"/>
        </w:rPr>
        <w:t>490</w:t>
      </w:r>
      <w:r>
        <w:rPr>
          <w:rFonts w:cs="宋体"/>
          <w:szCs w:val="21"/>
        </w:rPr>
        <w:t>值≥阴性对照OD</w:t>
      </w:r>
      <w:r>
        <w:rPr>
          <w:rFonts w:cs="宋体"/>
          <w:szCs w:val="21"/>
          <w:vertAlign w:val="subscript"/>
        </w:rPr>
        <w:t>490</w:t>
      </w:r>
      <w:r>
        <w:rPr>
          <w:rFonts w:cs="宋体"/>
          <w:szCs w:val="21"/>
        </w:rPr>
        <w:t>值的2倍，样品判断为阳性。</w:t>
      </w:r>
      <w:bookmarkEnd w:id="327"/>
    </w:p>
    <w:p w14:paraId="09C769BC">
      <w:pPr>
        <w:rPr>
          <w:rFonts w:ascii="宋体" w:hAnsi="宋体" w:eastAsia="宋体"/>
        </w:rPr>
      </w:pPr>
    </w:p>
    <w:p w14:paraId="1F54637B">
      <w:pPr>
        <w:rPr>
          <w:rFonts w:ascii="宋体" w:hAnsi="宋体" w:eastAsia="宋体"/>
        </w:rPr>
      </w:pPr>
    </w:p>
    <w:p w14:paraId="044D4E86">
      <w:pPr>
        <w:rPr>
          <w:rFonts w:ascii="宋体" w:hAnsi="宋体" w:eastAsia="宋体"/>
        </w:rPr>
      </w:pPr>
    </w:p>
    <w:p w14:paraId="15B629FF">
      <w:pPr>
        <w:rPr>
          <w:rFonts w:ascii="宋体" w:hAnsi="宋体" w:eastAsia="宋体"/>
        </w:rPr>
      </w:pPr>
    </w:p>
    <w:p w14:paraId="58FAC756">
      <w:pPr>
        <w:rPr>
          <w:rFonts w:ascii="宋体" w:hAnsi="宋体" w:eastAsia="宋体"/>
        </w:rPr>
      </w:pPr>
    </w:p>
    <w:p w14:paraId="25DD15C7">
      <w:pPr>
        <w:pStyle w:val="2"/>
        <w:spacing w:before="20" w:after="20" w:line="240" w:lineRule="auto"/>
        <w:jc w:val="center"/>
        <w:rPr>
          <w:rFonts w:ascii="宋体" w:hAnsi="宋体" w:eastAsia="宋体"/>
          <w:sz w:val="21"/>
          <w:szCs w:val="21"/>
          <w:lang w:eastAsia="zh-CN"/>
        </w:rPr>
      </w:pPr>
      <w:bookmarkStart w:id="328" w:name="_Toc2037"/>
      <w:bookmarkStart w:id="329" w:name="_Toc24978"/>
      <w:bookmarkStart w:id="330" w:name="_Toc4073"/>
      <w:r>
        <w:rPr>
          <w:rFonts w:ascii="宋体" w:hAnsi="宋体" w:eastAsia="宋体"/>
          <w:sz w:val="21"/>
          <w:szCs w:val="21"/>
        </w:rPr>
        <w:t xml:space="preserve">附 录 </w:t>
      </w:r>
      <w:r>
        <w:rPr>
          <w:rFonts w:ascii="宋体" w:hAnsi="宋体" w:eastAsia="宋体"/>
          <w:sz w:val="21"/>
          <w:szCs w:val="21"/>
          <w:lang w:val="en-US" w:eastAsia="zh-CN"/>
        </w:rPr>
        <w:t>E</w:t>
      </w:r>
      <w:bookmarkEnd w:id="328"/>
      <w:bookmarkEnd w:id="329"/>
      <w:bookmarkEnd w:id="330"/>
    </w:p>
    <w:p w14:paraId="1404AF0E">
      <w:pPr>
        <w:jc w:val="center"/>
        <w:rPr>
          <w:rFonts w:ascii="宋体" w:hAnsi="宋体" w:eastAsia="宋体"/>
        </w:rPr>
      </w:pPr>
      <w:r>
        <w:rPr>
          <w:rFonts w:ascii="宋体" w:hAnsi="宋体" w:eastAsia="宋体"/>
        </w:rPr>
        <w:t>（资料性）</w:t>
      </w:r>
    </w:p>
    <w:p w14:paraId="470AE819">
      <w:pPr>
        <w:jc w:val="center"/>
        <w:rPr>
          <w:rFonts w:ascii="宋体" w:hAnsi="宋体" w:eastAsia="宋体"/>
        </w:rPr>
      </w:pPr>
      <w:r>
        <w:rPr>
          <w:rFonts w:ascii="宋体" w:hAnsi="宋体" w:eastAsia="宋体"/>
        </w:rPr>
        <w:t>穿孔线虫雌虫与雄虫形态特征</w:t>
      </w:r>
    </w:p>
    <w:p w14:paraId="1AB23320">
      <w:pPr>
        <w:pStyle w:val="60"/>
        <w:spacing w:before="312" w:after="312"/>
        <w:jc w:val="both"/>
      </w:pPr>
      <w:r>
        <w:rPr>
          <w:rFonts w:cs="宋体"/>
          <w:szCs w:val="21"/>
        </w:rPr>
        <w:t>1 雌虫</w:t>
      </w:r>
    </w:p>
    <w:p w14:paraId="71D87E17">
      <w:pPr>
        <w:pStyle w:val="60"/>
        <w:jc w:val="both"/>
      </w:pPr>
      <w:r>
        <w:rPr>
          <w:rFonts w:cs="宋体"/>
          <w:szCs w:val="21"/>
        </w:rPr>
        <w:t>——虫体长0.4 mm～0.9 mm，a值在20～30之间；头部低，不缢缩或稍缢缩，头架骨化显著；</w:t>
      </w:r>
    </w:p>
    <w:p w14:paraId="59365BF2">
      <w:pPr>
        <w:pStyle w:val="60"/>
        <w:jc w:val="both"/>
      </w:pPr>
      <w:r>
        <w:rPr>
          <w:rFonts w:cs="宋体"/>
          <w:szCs w:val="21"/>
        </w:rPr>
        <w:t>——口针粗短，14μm～23μm，基部球发达；</w:t>
      </w:r>
    </w:p>
    <w:p w14:paraId="0330C256">
      <w:pPr>
        <w:pStyle w:val="60"/>
        <w:jc w:val="both"/>
      </w:pPr>
      <w:r>
        <w:rPr>
          <w:rFonts w:cs="宋体"/>
          <w:szCs w:val="21"/>
        </w:rPr>
        <w:t>——中食道球发达，后食道腺叶较长叶状从背部覆盖肠；</w:t>
      </w:r>
    </w:p>
    <w:p w14:paraId="525F439B">
      <w:pPr>
        <w:pStyle w:val="60"/>
        <w:jc w:val="both"/>
      </w:pPr>
      <w:r>
        <w:rPr>
          <w:rFonts w:cs="宋体"/>
          <w:szCs w:val="21"/>
        </w:rPr>
        <w:t>——侧区刻线3条～7条，非网格化；</w:t>
      </w:r>
    </w:p>
    <w:p w14:paraId="6077426F">
      <w:pPr>
        <w:pStyle w:val="60"/>
        <w:jc w:val="both"/>
      </w:pPr>
      <w:r>
        <w:rPr>
          <w:rFonts w:cs="宋体"/>
          <w:szCs w:val="21"/>
        </w:rPr>
        <w:t>——无颈乳突，侧尾腺孔常位于尾的前部；</w:t>
      </w:r>
    </w:p>
    <w:p w14:paraId="1C0D92A3">
      <w:pPr>
        <w:pStyle w:val="60"/>
        <w:jc w:val="both"/>
      </w:pPr>
      <w:r>
        <w:rPr>
          <w:rFonts w:cs="宋体"/>
          <w:szCs w:val="21"/>
        </w:rPr>
        <w:t>——双生殖腺、对伸，或后生殖腺退化，精囊圆至卵圆形，内多有杆状精子；</w:t>
      </w:r>
    </w:p>
    <w:p w14:paraId="4F4906F3">
      <w:pPr>
        <w:pStyle w:val="60"/>
        <w:jc w:val="both"/>
      </w:pPr>
      <w:r>
        <w:rPr>
          <w:rFonts w:cs="宋体"/>
          <w:szCs w:val="21"/>
        </w:rPr>
        <w:t>——尾长圆锥形至亚圆柱形，长为肛门处体宽的2倍～4倍，末端窄圆至稍尖。</w:t>
      </w:r>
    </w:p>
    <w:p w14:paraId="2B834564">
      <w:pPr>
        <w:pStyle w:val="60"/>
        <w:spacing w:before="312" w:after="312"/>
        <w:jc w:val="both"/>
      </w:pPr>
      <w:r>
        <w:rPr>
          <w:rFonts w:cs="宋体"/>
          <w:szCs w:val="21"/>
        </w:rPr>
        <w:t>2 雄虫</w:t>
      </w:r>
    </w:p>
    <w:p w14:paraId="63596C26">
      <w:pPr>
        <w:pStyle w:val="60"/>
        <w:jc w:val="both"/>
      </w:pPr>
      <w:r>
        <w:rPr>
          <w:rFonts w:cs="宋体"/>
          <w:szCs w:val="21"/>
        </w:rPr>
        <w:t>——头部高，显著缢缩呈球状；</w:t>
      </w:r>
    </w:p>
    <w:p w14:paraId="4A29106F">
      <w:pPr>
        <w:pStyle w:val="60"/>
        <w:jc w:val="both"/>
      </w:pPr>
      <w:r>
        <w:rPr>
          <w:rFonts w:cs="宋体"/>
          <w:szCs w:val="21"/>
        </w:rPr>
        <w:t>——口针和食道明显退化；</w:t>
      </w:r>
    </w:p>
    <w:p w14:paraId="44B59B02">
      <w:pPr>
        <w:pStyle w:val="60"/>
        <w:jc w:val="both"/>
        <w:rPr>
          <w:rFonts w:eastAsia="宋体"/>
          <w:lang w:eastAsia="zh-CN"/>
        </w:rPr>
      </w:pPr>
      <w:r>
        <w:rPr>
          <w:rFonts w:cs="宋体"/>
          <w:szCs w:val="21"/>
        </w:rPr>
        <w:t>——交合企延伸到近尾端，极少延伸到尾端</w:t>
      </w:r>
      <w:r>
        <w:rPr>
          <w:rFonts w:cs="宋体"/>
          <w:szCs w:val="21"/>
          <w:lang w:eastAsia="zh-CN"/>
        </w:rPr>
        <w:t>；</w:t>
      </w:r>
    </w:p>
    <w:p w14:paraId="7D23642D">
      <w:pPr>
        <w:pStyle w:val="60"/>
        <w:jc w:val="both"/>
      </w:pPr>
      <w:r>
        <w:rPr>
          <w:rFonts w:cs="宋体"/>
          <w:szCs w:val="21"/>
        </w:rPr>
        <w:t>——引带大，伸出泄殖腔。</w:t>
      </w:r>
    </w:p>
    <w:p w14:paraId="2C997ACD">
      <w:pPr>
        <w:pStyle w:val="60"/>
        <w:jc w:val="both"/>
      </w:pPr>
      <w:r>
        <w:rPr>
          <w:rFonts w:cs="宋体"/>
          <w:szCs w:val="21"/>
        </w:rPr>
        <w:t>穿孔线虫雌雄虫体如下图：</w:t>
      </w:r>
    </w:p>
    <w:p w14:paraId="2EFFD052">
      <w:pPr>
        <w:snapToGrid w:val="0"/>
        <w:jc w:val="center"/>
      </w:pPr>
      <w:r>
        <w:rPr>
          <w:rFonts w:eastAsia="等线"/>
        </w:rPr>
        <w:drawing>
          <wp:inline distT="0" distB="0" distL="0" distR="0">
            <wp:extent cx="3705860" cy="2886710"/>
            <wp:effectExtent l="0" t="0" r="8890" b="8890"/>
            <wp:docPr id="26" name="1731638637476-0.png" descr="1731638637476-0.png"/>
            <wp:cNvGraphicFramePr/>
            <a:graphic xmlns:a="http://schemas.openxmlformats.org/drawingml/2006/main">
              <a:graphicData uri="http://schemas.openxmlformats.org/drawingml/2006/picture">
                <pic:pic xmlns:pic="http://schemas.openxmlformats.org/drawingml/2006/picture">
                  <pic:nvPicPr>
                    <pic:cNvPr id="26" name="1731638637476-0.png" descr="1731638637476-0.png"/>
                    <pic:cNvPicPr/>
                  </pic:nvPicPr>
                  <pic:blipFill>
                    <a:blip r:embed="rId16"/>
                    <a:stretch>
                      <a:fillRect/>
                    </a:stretch>
                  </pic:blipFill>
                  <pic:spPr>
                    <a:xfrm>
                      <a:off x="0" y="0"/>
                      <a:ext cx="3705840" cy="2886840"/>
                    </a:xfrm>
                    <a:prstGeom prst="rect">
                      <a:avLst/>
                    </a:prstGeom>
                    <a:ln w="0">
                      <a:noFill/>
                    </a:ln>
                  </pic:spPr>
                </pic:pic>
              </a:graphicData>
            </a:graphic>
          </wp:inline>
        </w:drawing>
      </w:r>
    </w:p>
    <w:p w14:paraId="29DA0BF5">
      <w:pPr>
        <w:pStyle w:val="68"/>
        <w:spacing w:before="156" w:after="156"/>
      </w:pPr>
      <w:r>
        <w:rPr>
          <w:rFonts w:cs="黑体"/>
          <w:szCs w:val="21"/>
        </w:rPr>
        <w:t>图F.1香蕉穿孔线虫的形态特征图</w:t>
      </w:r>
    </w:p>
    <w:p w14:paraId="338652A2">
      <w:pPr>
        <w:numPr>
          <w:ilvl w:val="0"/>
          <w:numId w:val="3"/>
        </w:numPr>
        <w:ind w:left="840" w:hanging="420"/>
        <w:jc w:val="center"/>
      </w:pPr>
      <w:r>
        <w:rPr>
          <w:rFonts w:ascii="宋体" w:hAnsi="宋体" w:eastAsia="宋体" w:cs="宋体"/>
          <w:sz w:val="18"/>
          <w:szCs w:val="18"/>
        </w:rPr>
        <w:t>A雄虫；B雌虫；C-D雌虫前部；E-F雄虫前部。</w:t>
      </w:r>
    </w:p>
    <w:p w14:paraId="0CC7482A"/>
    <w:p w14:paraId="3A9D85A6"/>
    <w:p w14:paraId="2FB77937"/>
    <w:p w14:paraId="32896E4F"/>
    <w:p w14:paraId="207112FF"/>
    <w:p w14:paraId="44C83AA0"/>
    <w:p w14:paraId="7B75E2C3"/>
    <w:p w14:paraId="543D27A1">
      <w:pPr>
        <w:pStyle w:val="2"/>
        <w:spacing w:before="20" w:after="20" w:line="240" w:lineRule="auto"/>
        <w:jc w:val="center"/>
        <w:rPr>
          <w:rFonts w:ascii="宋体" w:hAnsi="宋体" w:eastAsia="宋体"/>
          <w:sz w:val="21"/>
          <w:szCs w:val="21"/>
          <w:lang w:eastAsia="zh-CN"/>
        </w:rPr>
      </w:pPr>
      <w:bookmarkStart w:id="331" w:name="_Toc7162"/>
      <w:bookmarkStart w:id="332" w:name="_Toc2610"/>
      <w:bookmarkStart w:id="333" w:name="_Toc5445"/>
      <w:r>
        <w:rPr>
          <w:rFonts w:ascii="宋体" w:hAnsi="宋体" w:eastAsia="宋体"/>
          <w:sz w:val="21"/>
          <w:szCs w:val="21"/>
        </w:rPr>
        <w:t xml:space="preserve">附 录 </w:t>
      </w:r>
      <w:r>
        <w:rPr>
          <w:rFonts w:ascii="宋体" w:hAnsi="宋体" w:eastAsia="宋体"/>
          <w:sz w:val="21"/>
          <w:szCs w:val="21"/>
          <w:lang w:val="en-US" w:eastAsia="zh-CN"/>
        </w:rPr>
        <w:t>F</w:t>
      </w:r>
      <w:bookmarkEnd w:id="331"/>
      <w:bookmarkEnd w:id="332"/>
      <w:bookmarkEnd w:id="333"/>
    </w:p>
    <w:p w14:paraId="14BC615A">
      <w:pPr>
        <w:jc w:val="center"/>
        <w:rPr>
          <w:rFonts w:ascii="宋体" w:hAnsi="宋体" w:eastAsia="宋体"/>
        </w:rPr>
      </w:pPr>
      <w:r>
        <w:rPr>
          <w:rFonts w:ascii="宋体" w:hAnsi="宋体" w:eastAsia="宋体"/>
          <w:szCs w:val="21"/>
        </w:rPr>
        <w:t>（资料性）</w:t>
      </w:r>
    </w:p>
    <w:p w14:paraId="7E60BBD5">
      <w:pPr>
        <w:jc w:val="center"/>
        <w:rPr>
          <w:rFonts w:ascii="宋体" w:hAnsi="宋体" w:eastAsia="宋体"/>
        </w:rPr>
      </w:pPr>
      <w:r>
        <w:rPr>
          <w:rFonts w:ascii="宋体" w:hAnsi="宋体" w:eastAsia="宋体"/>
        </w:rPr>
        <w:t>香蕉茎尖超低温保存溶液的配制</w:t>
      </w:r>
    </w:p>
    <w:p w14:paraId="4C0B3973">
      <w:pPr>
        <w:spacing w:before="312" w:after="312"/>
        <w:jc w:val="left"/>
        <w:rPr>
          <w:rFonts w:ascii="宋体" w:hAnsi="宋体" w:eastAsia="宋体"/>
          <w:bCs/>
          <w:color w:val="000000"/>
          <w:kern w:val="0"/>
          <w:szCs w:val="21"/>
        </w:rPr>
      </w:pPr>
      <w:r>
        <w:rPr>
          <w:rFonts w:ascii="宋体" w:hAnsi="宋体" w:eastAsia="宋体"/>
          <w:bCs/>
          <w:color w:val="000000"/>
          <w:kern w:val="0"/>
          <w:szCs w:val="21"/>
        </w:rPr>
        <w:t>1 装载液</w:t>
      </w:r>
    </w:p>
    <w:p w14:paraId="51230BA5">
      <w:pPr>
        <w:pStyle w:val="6"/>
        <w:ind w:firstLine="420"/>
        <w:rPr>
          <w:rFonts w:ascii="宋体" w:hAnsi="宋体"/>
          <w:color w:val="000000"/>
          <w:szCs w:val="21"/>
        </w:rPr>
      </w:pPr>
      <w:r>
        <w:rPr>
          <w:rFonts w:ascii="宋体" w:hAnsi="宋体"/>
          <w:color w:val="000000"/>
          <w:szCs w:val="21"/>
        </w:rPr>
        <w:t>MS+184 m</w:t>
      </w:r>
      <w:r>
        <w:rPr>
          <w:rFonts w:hint="eastAsia" w:ascii="宋体" w:hAnsi="宋体"/>
          <w:color w:val="000000"/>
          <w:szCs w:val="21"/>
          <w:lang w:val="en-US" w:eastAsia="zh-CN"/>
        </w:rPr>
        <w:t>L</w:t>
      </w:r>
      <w:r>
        <w:rPr>
          <w:rFonts w:ascii="宋体" w:hAnsi="宋体"/>
          <w:color w:val="000000"/>
          <w:szCs w:val="21"/>
        </w:rPr>
        <w:t>/L甘油+137 g/L蔗糖，pH 5.8，0.22 µm滤膜过滤灭菌。</w:t>
      </w:r>
    </w:p>
    <w:p w14:paraId="4517DF8A">
      <w:pPr>
        <w:spacing w:before="312" w:after="312"/>
        <w:jc w:val="left"/>
        <w:rPr>
          <w:rFonts w:ascii="宋体" w:hAnsi="宋体" w:eastAsia="宋体"/>
          <w:bCs/>
          <w:color w:val="000000"/>
          <w:kern w:val="0"/>
          <w:szCs w:val="21"/>
        </w:rPr>
      </w:pPr>
      <w:r>
        <w:rPr>
          <w:rFonts w:ascii="宋体" w:hAnsi="宋体" w:eastAsia="宋体"/>
          <w:bCs/>
          <w:color w:val="000000"/>
          <w:kern w:val="0"/>
          <w:szCs w:val="21"/>
        </w:rPr>
        <w:t>2 PVS2溶液</w:t>
      </w:r>
    </w:p>
    <w:p w14:paraId="53D0BAEB">
      <w:pPr>
        <w:ind w:firstLine="420"/>
        <w:rPr>
          <w:rFonts w:ascii="宋体" w:hAnsi="宋体" w:eastAsia="宋体"/>
          <w:color w:val="000000"/>
          <w:kern w:val="0"/>
          <w:szCs w:val="21"/>
        </w:rPr>
      </w:pPr>
      <w:r>
        <w:rPr>
          <w:rFonts w:ascii="宋体" w:hAnsi="宋体" w:eastAsia="宋体"/>
          <w:color w:val="000000"/>
          <w:szCs w:val="21"/>
        </w:rPr>
        <w:t>MS+300 m</w:t>
      </w:r>
      <w:r>
        <w:rPr>
          <w:rFonts w:hint="eastAsia" w:ascii="宋体" w:hAnsi="宋体" w:eastAsia="宋体"/>
          <w:color w:val="000000"/>
          <w:szCs w:val="21"/>
          <w:lang w:val="en-US" w:eastAsia="zh-CN"/>
        </w:rPr>
        <w:t>L</w:t>
      </w:r>
      <w:r>
        <w:rPr>
          <w:rFonts w:ascii="宋体" w:hAnsi="宋体" w:eastAsia="宋体"/>
          <w:color w:val="000000"/>
          <w:szCs w:val="21"/>
        </w:rPr>
        <w:t>/L甘油+150 m</w:t>
      </w:r>
      <w:r>
        <w:rPr>
          <w:rFonts w:hint="eastAsia" w:ascii="宋体" w:hAnsi="宋体" w:eastAsia="宋体"/>
          <w:color w:val="000000"/>
          <w:szCs w:val="21"/>
          <w:lang w:val="en-US" w:eastAsia="zh-CN"/>
        </w:rPr>
        <w:t>L</w:t>
      </w:r>
      <w:r>
        <w:rPr>
          <w:rFonts w:ascii="宋体" w:hAnsi="宋体" w:eastAsia="宋体"/>
          <w:color w:val="000000"/>
          <w:szCs w:val="21"/>
        </w:rPr>
        <w:t>/L</w:t>
      </w:r>
      <w:r>
        <w:rPr>
          <w:rFonts w:ascii="宋体" w:hAnsi="宋体" w:eastAsia="宋体"/>
          <w:color w:val="000000"/>
          <w:kern w:val="0"/>
          <w:szCs w:val="21"/>
        </w:rPr>
        <w:t>乙二醇+</w:t>
      </w:r>
      <w:r>
        <w:rPr>
          <w:rFonts w:ascii="宋体" w:hAnsi="宋体" w:eastAsia="宋体"/>
          <w:color w:val="000000"/>
          <w:szCs w:val="21"/>
        </w:rPr>
        <w:t>150 m</w:t>
      </w:r>
      <w:r>
        <w:rPr>
          <w:rFonts w:hint="eastAsia" w:ascii="宋体" w:hAnsi="宋体" w:eastAsia="宋体"/>
          <w:color w:val="000000"/>
          <w:szCs w:val="21"/>
          <w:lang w:val="en-US" w:eastAsia="zh-CN"/>
        </w:rPr>
        <w:t>L</w:t>
      </w:r>
      <w:r>
        <w:rPr>
          <w:rFonts w:ascii="宋体" w:hAnsi="宋体" w:eastAsia="宋体"/>
          <w:color w:val="000000"/>
          <w:szCs w:val="21"/>
        </w:rPr>
        <w:t>/L</w:t>
      </w:r>
      <w:r>
        <w:rPr>
          <w:rFonts w:ascii="宋体" w:hAnsi="宋体" w:eastAsia="宋体"/>
          <w:color w:val="000000"/>
          <w:kern w:val="0"/>
          <w:szCs w:val="21"/>
        </w:rPr>
        <w:t>二甲基亚砜（DMSO）</w:t>
      </w:r>
      <w:r>
        <w:rPr>
          <w:rFonts w:ascii="宋体" w:hAnsi="宋体" w:eastAsia="宋体"/>
          <w:color w:val="000000"/>
          <w:szCs w:val="21"/>
        </w:rPr>
        <w:t>+137 g/L蔗糖，pH 5.8，0.22 µm滤膜过滤灭菌。</w:t>
      </w:r>
    </w:p>
    <w:p w14:paraId="1F107A42">
      <w:pPr>
        <w:spacing w:before="312" w:after="312"/>
        <w:jc w:val="left"/>
        <w:rPr>
          <w:rFonts w:ascii="宋体" w:hAnsi="宋体" w:eastAsia="宋体"/>
          <w:bCs/>
          <w:color w:val="000000"/>
          <w:kern w:val="0"/>
          <w:szCs w:val="21"/>
        </w:rPr>
      </w:pPr>
      <w:r>
        <w:rPr>
          <w:rFonts w:ascii="宋体" w:hAnsi="宋体" w:eastAsia="宋体"/>
          <w:bCs/>
          <w:color w:val="000000"/>
          <w:kern w:val="0"/>
          <w:szCs w:val="21"/>
        </w:rPr>
        <w:t>3 卸载液</w:t>
      </w:r>
    </w:p>
    <w:p w14:paraId="5D733DFD">
      <w:pPr>
        <w:ind w:firstLine="420"/>
        <w:rPr>
          <w:rFonts w:ascii="宋体" w:hAnsi="宋体" w:eastAsia="宋体"/>
          <w:color w:val="000000"/>
          <w:szCs w:val="21"/>
        </w:rPr>
      </w:pPr>
      <w:r>
        <w:rPr>
          <w:rFonts w:ascii="宋体" w:hAnsi="宋体" w:eastAsia="宋体"/>
          <w:color w:val="000000"/>
          <w:szCs w:val="21"/>
        </w:rPr>
        <w:t>MS+411 g/L蔗糖，pH 5.8，0.22 µm滤膜过滤灭菌。</w:t>
      </w:r>
    </w:p>
    <w:p w14:paraId="35C19CB5">
      <w:pPr>
        <w:ind w:firstLine="420"/>
        <w:rPr>
          <w:rFonts w:ascii="宋体" w:hAnsi="宋体" w:eastAsia="宋体"/>
          <w:color w:val="000000"/>
          <w:szCs w:val="21"/>
        </w:rPr>
      </w:pPr>
      <w:r>
        <w:rPr>
          <w:rFonts w:ascii="宋体" w:hAnsi="宋体" w:eastAsia="宋体"/>
          <w:color w:val="000000"/>
          <w:szCs w:val="21"/>
        </w:rPr>
        <w:t>注：以上溶液所用试剂至少为分析纯级。</w:t>
      </w:r>
      <w:r>
        <w:rPr>
          <w:rFonts w:ascii="宋体" w:hAnsi="宋体" w:eastAsia="宋体"/>
          <w:color w:val="000000"/>
          <w:szCs w:val="21"/>
        </w:rPr>
        <w:tab/>
      </w:r>
    </w:p>
    <w:sectPr>
      <w:headerReference r:id="rId6" w:type="default"/>
      <w:footerReference r:id="rId7" w:type="default"/>
      <w:pgSz w:w="11906" w:h="16838"/>
      <w:pgMar w:top="1417" w:right="1134" w:bottom="1134" w:left="1417" w:header="850" w:footer="680"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notosanscjk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Noto Sans CJK SC">
    <w:altName w:val="AMGDT"/>
    <w:panose1 w:val="00000000000000000000"/>
    <w:charset w:val="01"/>
    <w:family w:val="roman"/>
    <w:pitch w:val="default"/>
    <w:sig w:usb0="00000000" w:usb1="00000000" w:usb2="00000000" w:usb3="00000000" w:csb0="00000000" w:csb1="00000000"/>
  </w:font>
  <w:font w:name="MS Mincho">
    <w:altName w:val="AMGDT"/>
    <w:panose1 w:val="00000000000000000000"/>
    <w:charset w:val="01"/>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35C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B1F99">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61B1F99">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E2F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3D679">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733D679">
                    <w:pPr>
                      <w:pStyle w:val="10"/>
                    </w:pPr>
                    <w:r>
                      <w:fldChar w:fldCharType="begin"/>
                    </w:r>
                    <w:r>
                      <w:instrText xml:space="preserve"> PAGE  \* MERGEFORMAT </w:instrText>
                    </w:r>
                    <w:r>
                      <w:fldChar w:fldCharType="separate"/>
                    </w:r>
                    <w:r>
                      <w:t>5</w:t>
                    </w:r>
                    <w:r>
                      <w:fldChar w:fldCharType="end"/>
                    </w:r>
                  </w:p>
                </w:txbxContent>
              </v:textbox>
            </v:shape>
          </w:pict>
        </mc:Fallback>
      </mc:AlternateContent>
    </w:r>
    <w:sdt>
      <w:sdtPr>
        <w:id w:val="1093621235"/>
        <w:docPartObj>
          <w:docPartGallery w:val="autotext"/>
        </w:docPartObj>
      </w:sdt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D4A">
    <w:pPr>
      <w:jc w:val="right"/>
    </w:pPr>
    <w:r>
      <w:rPr>
        <w:rFonts w:ascii="黑体" w:hAnsi="黑体" w:cs="黑体"/>
        <w:szCs w:val="21"/>
      </w:rPr>
      <w:t>NY/T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86F9">
    <w:pPr>
      <w:jc w:val="right"/>
    </w:pPr>
    <w:r>
      <w:rPr>
        <w:rFonts w:ascii="黑体" w:hAnsi="黑体" w:cs="黑体"/>
        <w:szCs w:val="21"/>
      </w:rPr>
      <w:t>NY/T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9E9CF"/>
    <w:multiLevelType w:val="multilevel"/>
    <w:tmpl w:val="C399E9CF"/>
    <w:lvl w:ilvl="0" w:tentative="0">
      <w:start w:val="1"/>
      <w:numFmt w:val="decimal"/>
      <w:suff w:val="space"/>
      <w:lvlText w:val="%1 "/>
      <w:lvlJc w:val="left"/>
      <w:pPr>
        <w:tabs>
          <w:tab w:val="left" w:pos="0"/>
        </w:tabs>
        <w:ind w:left="0" w:firstLine="0"/>
      </w:pPr>
      <w:rPr>
        <w:rFonts w:ascii="黑体" w:hAnsi="黑体" w:eastAsia="黑体" w:cs="黑体"/>
        <w:sz w:val="21"/>
        <w:szCs w:val="21"/>
      </w:rPr>
    </w:lvl>
    <w:lvl w:ilvl="1" w:tentative="0">
      <w:start w:val="1"/>
      <w:numFmt w:val="decimal"/>
      <w:suff w:val="space"/>
      <w:lvlText w:val="%1.%2 "/>
      <w:lvlJc w:val="left"/>
      <w:pPr>
        <w:tabs>
          <w:tab w:val="left" w:pos="0"/>
        </w:tabs>
        <w:ind w:left="0" w:firstLine="0"/>
      </w:pPr>
      <w:rPr>
        <w:rFonts w:ascii="黑体" w:hAnsi="黑体" w:eastAsia="黑体" w:cs="黑体"/>
        <w:sz w:val="21"/>
        <w:szCs w:val="21"/>
      </w:rPr>
    </w:lvl>
    <w:lvl w:ilvl="2" w:tentative="0">
      <w:start w:val="1"/>
      <w:numFmt w:val="decimal"/>
      <w:suff w:val="space"/>
      <w:lvlText w:val="%1.%2.%3 "/>
      <w:lvlJc w:val="left"/>
      <w:pPr>
        <w:tabs>
          <w:tab w:val="left" w:pos="0"/>
        </w:tabs>
        <w:ind w:left="0" w:firstLine="0"/>
      </w:pPr>
      <w:rPr>
        <w:rFonts w:ascii="黑体" w:hAnsi="黑体" w:eastAsia="黑体" w:cs="黑体"/>
        <w:sz w:val="21"/>
        <w:szCs w:val="21"/>
      </w:rPr>
    </w:lvl>
    <w:lvl w:ilvl="3" w:tentative="0">
      <w:start w:val="1"/>
      <w:numFmt w:val="decimal"/>
      <w:suff w:val="space"/>
      <w:lvlText w:val="%1.%2.%3.%4 "/>
      <w:lvlJc w:val="left"/>
      <w:pPr>
        <w:tabs>
          <w:tab w:val="left" w:pos="0"/>
        </w:tabs>
        <w:ind w:left="0" w:firstLine="0"/>
      </w:pPr>
      <w:rPr>
        <w:rFonts w:ascii="黑体" w:hAnsi="黑体" w:eastAsia="黑体" w:cs="黑体"/>
        <w:sz w:val="21"/>
        <w:szCs w:val="21"/>
      </w:r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
    <w:nsid w:val="F4237396"/>
    <w:multiLevelType w:val="multilevel"/>
    <w:tmpl w:val="F4237396"/>
    <w:lvl w:ilvl="0" w:tentative="0">
      <w:start w:val="1"/>
      <w:numFmt w:val="none"/>
      <w:suff w:val="nothing"/>
      <w:lvlText w:val=""/>
      <w:lvlJc w:val="left"/>
      <w:pPr>
        <w:tabs>
          <w:tab w:val="left" w:pos="0"/>
        </w:tabs>
        <w:ind w:left="0" w:firstLine="0"/>
      </w:pPr>
      <w:rPr>
        <w:rFonts w:ascii="黑体" w:hAnsi="黑体" w:eastAsia="黑体" w:cs="黑体"/>
        <w:sz w:val="18"/>
        <w:szCs w:val="18"/>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none"/>
      <w:pStyle w:val="73"/>
      <w:suff w:val="nothing"/>
      <w:lvlText w:val=""/>
      <w:lvlJc w:val="left"/>
      <w:pPr>
        <w:tabs>
          <w:tab w:val="left" w:pos="0"/>
        </w:tabs>
        <w:ind w:left="0" w:firstLine="0"/>
      </w:pPr>
      <w:rPr>
        <w:rFonts w:ascii="Times New Roman" w:hAnsi="Times New Roman"/>
        <w:b/>
        <w:i w:val="0"/>
        <w:sz w:val="21"/>
      </w:rPr>
    </w:lvl>
    <w:lvl w:ilvl="1" w:tentative="0">
      <w:start w:val="1"/>
      <w:numFmt w:val="decimal"/>
      <w:pStyle w:val="74"/>
      <w:suff w:val="nothing"/>
      <w:lvlText w:val="%1%2　"/>
      <w:lvlJc w:val="left"/>
      <w:pPr>
        <w:tabs>
          <w:tab w:val="left" w:pos="0"/>
        </w:tabs>
        <w:ind w:left="0" w:firstLine="0"/>
      </w:pPr>
      <w:rPr>
        <w:rFonts w:ascii="黑体" w:hAnsi="黑体" w:eastAsia="黑体" w:cs="Times New Roman"/>
        <w:b w:val="0"/>
        <w:i w:val="0"/>
        <w:sz w:val="21"/>
        <w:szCs w:val="21"/>
      </w:rPr>
    </w:lvl>
    <w:lvl w:ilvl="2" w:tentative="0">
      <w:start w:val="1"/>
      <w:numFmt w:val="decimal"/>
      <w:pStyle w:val="75"/>
      <w:suff w:val="nothing"/>
      <w:lvlText w:val="%1%2.%3　"/>
      <w:lvlJc w:val="left"/>
      <w:pPr>
        <w:tabs>
          <w:tab w:val="left" w:pos="0"/>
        </w:tabs>
        <w:ind w:left="0" w:firstLine="0"/>
      </w:pPr>
      <w:rPr>
        <w:rFonts w:ascii="黑体" w:hAnsi="黑体" w:eastAsia="黑体"/>
        <w:b w:val="0"/>
        <w:i w:val="0"/>
        <w:sz w:val="21"/>
      </w:rPr>
    </w:lvl>
    <w:lvl w:ilvl="3" w:tentative="0">
      <w:start w:val="1"/>
      <w:numFmt w:val="decimal"/>
      <w:pStyle w:val="76"/>
      <w:suff w:val="nothing"/>
      <w:lvlText w:val="%1%2.%3.%4　"/>
      <w:lvlJc w:val="left"/>
      <w:pPr>
        <w:tabs>
          <w:tab w:val="left" w:pos="0"/>
        </w:tabs>
        <w:ind w:left="0" w:firstLine="0"/>
      </w:pPr>
      <w:rPr>
        <w:rFonts w:ascii="黑体" w:hAnsi="黑体" w:eastAsia="黑体"/>
        <w:b w:val="0"/>
        <w:i w:val="0"/>
        <w:sz w:val="21"/>
      </w:rPr>
    </w:lvl>
    <w:lvl w:ilvl="4" w:tentative="0">
      <w:start w:val="1"/>
      <w:numFmt w:val="decimal"/>
      <w:pStyle w:val="77"/>
      <w:suff w:val="nothing"/>
      <w:lvlText w:val="%1%2.%3.%4.%5　"/>
      <w:lvlJc w:val="left"/>
      <w:pPr>
        <w:tabs>
          <w:tab w:val="left" w:pos="0"/>
        </w:tabs>
        <w:ind w:left="0" w:firstLine="0"/>
      </w:pPr>
      <w:rPr>
        <w:rFonts w:ascii="黑体" w:hAnsi="黑体" w:eastAsia="黑体"/>
        <w:b w:val="0"/>
        <w:i w:val="0"/>
        <w:sz w:val="21"/>
      </w:rPr>
    </w:lvl>
    <w:lvl w:ilvl="5" w:tentative="0">
      <w:start w:val="1"/>
      <w:numFmt w:val="decimal"/>
      <w:pStyle w:val="78"/>
      <w:suff w:val="nothing"/>
      <w:lvlText w:val="%1%2.%3.%4.%5.%6　"/>
      <w:lvlJc w:val="left"/>
      <w:pPr>
        <w:tabs>
          <w:tab w:val="left" w:pos="0"/>
        </w:tabs>
        <w:ind w:left="0" w:firstLine="0"/>
      </w:pPr>
      <w:rPr>
        <w:rFonts w:ascii="黑体" w:hAnsi="黑体" w:eastAsia="黑体"/>
        <w:b w:val="0"/>
        <w:i w:val="0"/>
        <w:sz w:val="21"/>
      </w:rPr>
    </w:lvl>
    <w:lvl w:ilvl="6" w:tentative="0">
      <w:start w:val="1"/>
      <w:numFmt w:val="decimal"/>
      <w:pStyle w:val="79"/>
      <w:suff w:val="nothing"/>
      <w:lvlText w:val="%1%2.%3.%4.%5.%6.%7　"/>
      <w:lvlJc w:val="left"/>
      <w:pPr>
        <w:tabs>
          <w:tab w:val="left" w:pos="0"/>
        </w:tabs>
        <w:ind w:left="0" w:firstLine="0"/>
      </w:pPr>
      <w:rPr>
        <w:rFonts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autoHyphenation/>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0285"/>
    <w:rsid w:val="02297C77"/>
    <w:rsid w:val="02725307"/>
    <w:rsid w:val="02AB79A0"/>
    <w:rsid w:val="02CF5AB3"/>
    <w:rsid w:val="05340028"/>
    <w:rsid w:val="05956642"/>
    <w:rsid w:val="05F56B97"/>
    <w:rsid w:val="0BDA7DFE"/>
    <w:rsid w:val="0DE44B1D"/>
    <w:rsid w:val="0DE87C01"/>
    <w:rsid w:val="0EBC2490"/>
    <w:rsid w:val="0FF12C97"/>
    <w:rsid w:val="105736F4"/>
    <w:rsid w:val="11847C41"/>
    <w:rsid w:val="13355019"/>
    <w:rsid w:val="1377079F"/>
    <w:rsid w:val="15593193"/>
    <w:rsid w:val="156C7B69"/>
    <w:rsid w:val="180938F8"/>
    <w:rsid w:val="18425268"/>
    <w:rsid w:val="1A0D6008"/>
    <w:rsid w:val="1BBD2889"/>
    <w:rsid w:val="1D9A1E29"/>
    <w:rsid w:val="1EB70BB0"/>
    <w:rsid w:val="205618F1"/>
    <w:rsid w:val="22E80703"/>
    <w:rsid w:val="23B2122B"/>
    <w:rsid w:val="255B41CD"/>
    <w:rsid w:val="260076C8"/>
    <w:rsid w:val="26B6759D"/>
    <w:rsid w:val="28087680"/>
    <w:rsid w:val="290C7562"/>
    <w:rsid w:val="294A2FFB"/>
    <w:rsid w:val="297A01AB"/>
    <w:rsid w:val="2A6B73EF"/>
    <w:rsid w:val="2F0D61AB"/>
    <w:rsid w:val="31D90AF6"/>
    <w:rsid w:val="322C2352"/>
    <w:rsid w:val="331A1D5C"/>
    <w:rsid w:val="345A6C36"/>
    <w:rsid w:val="352275ED"/>
    <w:rsid w:val="3C02696E"/>
    <w:rsid w:val="3F9D1D4A"/>
    <w:rsid w:val="408033D6"/>
    <w:rsid w:val="41747FEE"/>
    <w:rsid w:val="41F95D14"/>
    <w:rsid w:val="427F5525"/>
    <w:rsid w:val="430D5738"/>
    <w:rsid w:val="45CD2D11"/>
    <w:rsid w:val="472D3228"/>
    <w:rsid w:val="48144482"/>
    <w:rsid w:val="48302E11"/>
    <w:rsid w:val="48D80297"/>
    <w:rsid w:val="4C275FD0"/>
    <w:rsid w:val="4C7B4335"/>
    <w:rsid w:val="4D903F46"/>
    <w:rsid w:val="4F302ED2"/>
    <w:rsid w:val="52047EE7"/>
    <w:rsid w:val="548946E2"/>
    <w:rsid w:val="55495AEC"/>
    <w:rsid w:val="56DE6EDC"/>
    <w:rsid w:val="58D17353"/>
    <w:rsid w:val="5AF56D26"/>
    <w:rsid w:val="5B74479A"/>
    <w:rsid w:val="5BDD7F7C"/>
    <w:rsid w:val="5BEA5669"/>
    <w:rsid w:val="5E1A099B"/>
    <w:rsid w:val="5E5A675C"/>
    <w:rsid w:val="5F1423FA"/>
    <w:rsid w:val="5F714485"/>
    <w:rsid w:val="61A51A9A"/>
    <w:rsid w:val="61D10FB9"/>
    <w:rsid w:val="64645B2B"/>
    <w:rsid w:val="656936E5"/>
    <w:rsid w:val="6A4D4BD5"/>
    <w:rsid w:val="6CD41BC9"/>
    <w:rsid w:val="6D035133"/>
    <w:rsid w:val="6E64447A"/>
    <w:rsid w:val="6EA13A4A"/>
    <w:rsid w:val="6FA26AE2"/>
    <w:rsid w:val="7074699A"/>
    <w:rsid w:val="70A17FAE"/>
    <w:rsid w:val="73E84935"/>
    <w:rsid w:val="7515364F"/>
    <w:rsid w:val="75175B20"/>
    <w:rsid w:val="761E5F4F"/>
    <w:rsid w:val="780C5F04"/>
    <w:rsid w:val="786A6B23"/>
    <w:rsid w:val="7C3F2B6F"/>
    <w:rsid w:val="7D2F555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suppressAutoHyphens/>
      <w:bidi w:val="0"/>
      <w:spacing w:before="0" w:after="0"/>
      <w:jc w:val="both"/>
    </w:pPr>
    <w:rPr>
      <w:rFonts w:cs="notosanscjksc" w:asciiTheme="minorHAnsi" w:hAnsiTheme="minorHAnsi" w:eastAsiaTheme="minorEastAsia"/>
      <w:color w:val="auto"/>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2"/>
      <w:sz w:val="44"/>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link w:val="25"/>
    <w:semiHidden/>
    <w:unhideWhenUsed/>
    <w:qFormat/>
    <w:uiPriority w:val="35"/>
    <w:rPr>
      <w:rFonts w:ascii="Arial" w:hAnsi="Arial" w:eastAsia="黑体"/>
      <w:sz w:val="20"/>
    </w:rPr>
  </w:style>
  <w:style w:type="paragraph" w:styleId="5">
    <w:name w:val="annotation text"/>
    <w:basedOn w:val="1"/>
    <w:link w:val="31"/>
    <w:semiHidden/>
    <w:unhideWhenUsed/>
    <w:qFormat/>
    <w:uiPriority w:val="99"/>
    <w:pPr>
      <w:jc w:val="left"/>
    </w:pPr>
  </w:style>
  <w:style w:type="paragraph" w:styleId="6">
    <w:name w:val="Body Text"/>
    <w:basedOn w:val="1"/>
    <w:link w:val="36"/>
    <w:qFormat/>
    <w:uiPriority w:val="0"/>
    <w:pPr>
      <w:spacing w:before="0" w:after="120"/>
    </w:pPr>
    <w:rPr>
      <w:rFonts w:ascii="Times New Roman" w:hAnsi="Times New Roman" w:eastAsia="宋体" w:cs="Times New Roman"/>
    </w:rPr>
  </w:style>
  <w:style w:type="paragraph" w:styleId="7">
    <w:name w:val="toc 5"/>
    <w:semiHidden/>
    <w:qFormat/>
    <w:uiPriority w:val="0"/>
    <w:pPr>
      <w:widowControl/>
      <w:tabs>
        <w:tab w:val="right" w:leader="dot" w:pos="9241"/>
      </w:tabs>
      <w:suppressAutoHyphens/>
      <w:bidi w:val="0"/>
      <w:spacing w:before="0" w:after="0"/>
      <w:ind w:firstLine="400"/>
      <w:jc w:val="left"/>
    </w:pPr>
    <w:rPr>
      <w:rFonts w:ascii="宋体" w:hAnsi="宋体" w:eastAsia="宋体" w:cs="Times New Roman"/>
      <w:color w:val="auto"/>
      <w:kern w:val="0"/>
      <w:sz w:val="20"/>
      <w:szCs w:val="20"/>
      <w:lang w:val="en-US" w:eastAsia="zh-CN" w:bidi="ar-SA"/>
    </w:rPr>
  </w:style>
  <w:style w:type="paragraph" w:styleId="8">
    <w:name w:val="toc 3"/>
    <w:qFormat/>
    <w:uiPriority w:val="39"/>
    <w:pPr>
      <w:widowControl/>
      <w:tabs>
        <w:tab w:val="right" w:leader="dot" w:pos="9241"/>
      </w:tabs>
      <w:suppressAutoHyphens/>
      <w:bidi w:val="0"/>
      <w:spacing w:before="0" w:after="0"/>
      <w:ind w:firstLine="200"/>
      <w:jc w:val="left"/>
    </w:pPr>
    <w:rPr>
      <w:rFonts w:ascii="宋体" w:hAnsi="宋体" w:eastAsia="宋体" w:cs="Times New Roman"/>
      <w:color w:val="auto"/>
      <w:kern w:val="0"/>
      <w:sz w:val="20"/>
      <w:szCs w:val="20"/>
      <w:lang w:val="en-US" w:eastAsia="zh-CN" w:bidi="ar-SA"/>
    </w:rPr>
  </w:style>
  <w:style w:type="paragraph" w:styleId="9">
    <w:name w:val="Balloon Text"/>
    <w:basedOn w:val="1"/>
    <w:link w:val="33"/>
    <w:semiHidden/>
    <w:unhideWhenUsed/>
    <w:qFormat/>
    <w:uiPriority w:val="99"/>
    <w:rPr>
      <w:sz w:val="18"/>
      <w:szCs w:val="18"/>
    </w:rPr>
  </w:style>
  <w:style w:type="paragraph" w:styleId="10">
    <w:name w:val="footer"/>
    <w:basedOn w:val="1"/>
    <w:unhideWhenUsed/>
    <w:qFormat/>
    <w:uiPriority w:val="99"/>
    <w:pPr>
      <w:tabs>
        <w:tab w:val="center" w:pos="4153"/>
        <w:tab w:val="right" w:pos="8306"/>
      </w:tabs>
      <w:jc w:val="right"/>
    </w:pPr>
    <w:rPr>
      <w:sz w:val="18"/>
      <w:szCs w:val="18"/>
    </w:rPr>
  </w:style>
  <w:style w:type="paragraph" w:styleId="11">
    <w:name w:val="header"/>
    <w:basedOn w:val="1"/>
    <w:link w:val="28"/>
    <w:unhideWhenUsed/>
    <w:qFormat/>
    <w:uiPriority w:val="99"/>
    <w:pPr>
      <w:pBdr>
        <w:bottom w:val="single" w:color="000000" w:sz="6" w:space="1"/>
      </w:pBdr>
      <w:tabs>
        <w:tab w:val="center" w:pos="4153"/>
        <w:tab w:val="right" w:pos="8306"/>
      </w:tabs>
      <w:snapToGrid w:val="0"/>
      <w:jc w:val="center"/>
    </w:pPr>
    <w:rPr>
      <w:sz w:val="18"/>
      <w:szCs w:val="18"/>
    </w:rPr>
  </w:style>
  <w:style w:type="paragraph" w:styleId="12">
    <w:name w:val="toc 1"/>
    <w:qFormat/>
    <w:uiPriority w:val="39"/>
    <w:pPr>
      <w:widowControl/>
      <w:tabs>
        <w:tab w:val="right" w:leader="dot" w:pos="9241"/>
      </w:tabs>
      <w:suppressAutoHyphens/>
      <w:bidi w:val="0"/>
      <w:spacing w:before="25" w:after="25"/>
      <w:jc w:val="left"/>
    </w:pPr>
    <w:rPr>
      <w:rFonts w:ascii="宋体" w:hAnsi="宋体" w:eastAsia="宋体" w:cs="Times New Roman"/>
      <w:color w:val="auto"/>
      <w:kern w:val="0"/>
      <w:sz w:val="21"/>
      <w:szCs w:val="21"/>
      <w:lang w:val="en-US" w:eastAsia="zh-CN" w:bidi="ar-SA"/>
    </w:rPr>
  </w:style>
  <w:style w:type="paragraph" w:styleId="13">
    <w:name w:val="toc 4"/>
    <w:semiHidden/>
    <w:qFormat/>
    <w:uiPriority w:val="0"/>
    <w:pPr>
      <w:widowControl/>
      <w:tabs>
        <w:tab w:val="right" w:leader="dot" w:pos="9241"/>
      </w:tabs>
      <w:suppressAutoHyphens/>
      <w:bidi w:val="0"/>
      <w:spacing w:before="0" w:after="0"/>
      <w:ind w:firstLine="300"/>
      <w:jc w:val="left"/>
    </w:pPr>
    <w:rPr>
      <w:rFonts w:ascii="宋体" w:hAnsi="宋体" w:eastAsia="宋体" w:cs="Times New Roman"/>
      <w:color w:val="auto"/>
      <w:kern w:val="0"/>
      <w:sz w:val="20"/>
      <w:szCs w:val="20"/>
      <w:lang w:val="en-US" w:eastAsia="zh-CN" w:bidi="ar-SA"/>
    </w:rPr>
  </w:style>
  <w:style w:type="paragraph" w:styleId="14">
    <w:name w:val="List"/>
    <w:basedOn w:val="6"/>
    <w:qFormat/>
    <w:uiPriority w:val="0"/>
  </w:style>
  <w:style w:type="paragraph" w:styleId="15">
    <w:name w:val="footnote text"/>
    <w:qFormat/>
    <w:uiPriority w:val="0"/>
    <w:pPr>
      <w:widowControl/>
      <w:suppressAutoHyphens/>
      <w:bidi w:val="0"/>
      <w:snapToGrid w:val="0"/>
      <w:spacing w:before="0" w:after="0"/>
      <w:ind w:left="635" w:hanging="272"/>
      <w:jc w:val="left"/>
    </w:pPr>
    <w:rPr>
      <w:rFonts w:ascii="宋体" w:hAnsi="宋体" w:eastAsia="宋体" w:cs="Times New Roman"/>
      <w:color w:val="auto"/>
      <w:kern w:val="0"/>
      <w:sz w:val="18"/>
      <w:szCs w:val="18"/>
      <w:lang w:val="en-US" w:eastAsia="zh-CN" w:bidi="ar-SA"/>
    </w:rPr>
  </w:style>
  <w:style w:type="paragraph" w:styleId="16">
    <w:name w:val="toc 2"/>
    <w:qFormat/>
    <w:uiPriority w:val="39"/>
    <w:pPr>
      <w:widowControl/>
      <w:tabs>
        <w:tab w:val="right" w:leader="dot" w:pos="9241"/>
      </w:tabs>
      <w:suppressAutoHyphens/>
      <w:bidi w:val="0"/>
      <w:spacing w:before="0" w:after="0"/>
      <w:ind w:firstLine="102"/>
      <w:jc w:val="left"/>
    </w:pPr>
    <w:rPr>
      <w:rFonts w:ascii="宋体" w:hAnsi="宋体" w:eastAsia="宋体" w:cs="Times New Roman"/>
      <w:color w:val="auto"/>
      <w:kern w:val="0"/>
      <w:sz w:val="21"/>
      <w:szCs w:val="21"/>
      <w:lang w:val="en-US" w:eastAsia="zh-CN" w:bidi="ar-SA"/>
    </w:rPr>
  </w:style>
  <w:style w:type="paragraph" w:styleId="17">
    <w:name w:val="annotation subject"/>
    <w:basedOn w:val="5"/>
    <w:next w:val="5"/>
    <w:link w:val="32"/>
    <w:semiHidden/>
    <w:unhideWhenUsed/>
    <w:qFormat/>
    <w:uiPriority w:val="99"/>
    <w:rPr>
      <w:b/>
      <w:bCs/>
    </w:rPr>
  </w:style>
  <w:style w:type="table" w:styleId="19">
    <w:name w:val="Table Grid"/>
    <w:basedOn w:val="18"/>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
  </w:style>
  <w:style w:type="character" w:styleId="21">
    <w:name w:val="annotation reference"/>
    <w:basedOn w:val="20"/>
    <w:semiHidden/>
    <w:unhideWhenUsed/>
    <w:qFormat/>
    <w:uiPriority w:val="99"/>
    <w:rPr>
      <w:sz w:val="21"/>
      <w:szCs w:val="21"/>
    </w:rPr>
  </w:style>
  <w:style w:type="character" w:customStyle="1" w:styleId="22">
    <w:name w:val="Internet 链接"/>
    <w:qFormat/>
    <w:uiPriority w:val="99"/>
    <w:rPr>
      <w:color w:val="0000FF"/>
      <w:spacing w:val="0"/>
      <w:w w:val="100"/>
      <w:szCs w:val="21"/>
      <w:u w:val="single"/>
    </w:rPr>
  </w:style>
  <w:style w:type="character" w:customStyle="1" w:styleId="23">
    <w:name w:val="脚注锚点"/>
    <w:qFormat/>
    <w:uiPriority w:val="0"/>
    <w:rPr>
      <w:sz w:val="18"/>
      <w:szCs w:val="18"/>
      <w:vertAlign w:val="superscript"/>
    </w:rPr>
  </w:style>
  <w:style w:type="character" w:customStyle="1" w:styleId="24">
    <w:name w:val="Footnote Characters"/>
    <w:basedOn w:val="25"/>
    <w:semiHidden/>
    <w:unhideWhenUsed/>
    <w:qFormat/>
    <w:uiPriority w:val="99"/>
    <w:rPr>
      <w:sz w:val="18"/>
      <w:szCs w:val="18"/>
      <w:vertAlign w:val="superscript"/>
    </w:rPr>
  </w:style>
  <w:style w:type="character" w:customStyle="1" w:styleId="25">
    <w:name w:val="题注 Char"/>
    <w:basedOn w:val="20"/>
    <w:link w:val="4"/>
    <w:semiHidden/>
    <w:qFormat/>
    <w:uiPriority w:val="99"/>
    <w:rPr>
      <w:sz w:val="18"/>
      <w:szCs w:val="18"/>
    </w:rPr>
  </w:style>
  <w:style w:type="character" w:customStyle="1" w:styleId="26">
    <w:name w:val="标题 1 Char"/>
    <w:basedOn w:val="20"/>
    <w:qFormat/>
    <w:uiPriority w:val="0"/>
    <w:rPr>
      <w:b/>
      <w:kern w:val="2"/>
      <w:sz w:val="44"/>
      <w:szCs w:val="24"/>
    </w:rPr>
  </w:style>
  <w:style w:type="character" w:customStyle="1" w:styleId="27">
    <w:name w:val="标题 2 Char"/>
    <w:basedOn w:val="20"/>
    <w:qFormat/>
    <w:uiPriority w:val="0"/>
    <w:rPr>
      <w:rFonts w:ascii="Arial" w:hAnsi="Arial" w:eastAsia="黑体"/>
      <w:b/>
      <w:sz w:val="32"/>
      <w:szCs w:val="24"/>
    </w:rPr>
  </w:style>
  <w:style w:type="character" w:customStyle="1" w:styleId="28">
    <w:name w:val="页眉 Char"/>
    <w:basedOn w:val="20"/>
    <w:link w:val="11"/>
    <w:qFormat/>
    <w:uiPriority w:val="99"/>
    <w:rPr>
      <w:sz w:val="18"/>
      <w:szCs w:val="18"/>
    </w:rPr>
  </w:style>
  <w:style w:type="character" w:customStyle="1" w:styleId="29">
    <w:name w:val="页脚 Char"/>
    <w:basedOn w:val="20"/>
    <w:link w:val="30"/>
    <w:qFormat/>
    <w:uiPriority w:val="99"/>
    <w:rPr>
      <w:sz w:val="18"/>
      <w:szCs w:val="18"/>
    </w:rPr>
  </w:style>
  <w:style w:type="paragraph" w:customStyle="1" w:styleId="30">
    <w:name w:val="图脚注"/>
    <w:link w:val="29"/>
    <w:unhideWhenUsed/>
    <w:qFormat/>
    <w:uiPriority w:val="99"/>
    <w:pPr>
      <w:widowControl/>
      <w:suppressAutoHyphens/>
      <w:bidi w:val="0"/>
      <w:spacing w:before="0" w:after="0"/>
      <w:ind w:left="765" w:hanging="135"/>
      <w:jc w:val="left"/>
    </w:pPr>
    <w:rPr>
      <w:rFonts w:ascii="宋体" w:hAnsi="宋体" w:eastAsia="宋体" w:cs="宋体"/>
      <w:color w:val="auto"/>
      <w:kern w:val="0"/>
      <w:sz w:val="18"/>
      <w:szCs w:val="18"/>
      <w:lang w:val="en-US" w:eastAsia="zh-CN" w:bidi="ar-SA"/>
    </w:rPr>
  </w:style>
  <w:style w:type="character" w:customStyle="1" w:styleId="31">
    <w:name w:val="批注文字 Char"/>
    <w:basedOn w:val="20"/>
    <w:link w:val="5"/>
    <w:semiHidden/>
    <w:qFormat/>
    <w:uiPriority w:val="99"/>
    <w:rPr>
      <w:szCs w:val="24"/>
    </w:rPr>
  </w:style>
  <w:style w:type="character" w:customStyle="1" w:styleId="32">
    <w:name w:val="批注主题 Char"/>
    <w:basedOn w:val="31"/>
    <w:link w:val="17"/>
    <w:semiHidden/>
    <w:qFormat/>
    <w:uiPriority w:val="99"/>
    <w:rPr>
      <w:b/>
      <w:bCs/>
      <w:szCs w:val="24"/>
    </w:rPr>
  </w:style>
  <w:style w:type="character" w:customStyle="1" w:styleId="33">
    <w:name w:val="批注框文本 Char"/>
    <w:basedOn w:val="20"/>
    <w:link w:val="9"/>
    <w:semiHidden/>
    <w:qFormat/>
    <w:uiPriority w:val="99"/>
    <w:rPr>
      <w:sz w:val="18"/>
      <w:szCs w:val="18"/>
    </w:rPr>
  </w:style>
  <w:style w:type="character" w:customStyle="1" w:styleId="34">
    <w:name w:val="书籍标题1"/>
    <w:basedOn w:val="20"/>
    <w:qFormat/>
    <w:uiPriority w:val="33"/>
    <w:rPr>
      <w:b/>
      <w:bCs/>
      <w:smallCaps/>
      <w:spacing w:val="5"/>
    </w:rPr>
  </w:style>
  <w:style w:type="character" w:customStyle="1" w:styleId="35">
    <w:name w:val="二级条标题 Char"/>
    <w:basedOn w:val="20"/>
    <w:qFormat/>
    <w:uiPriority w:val="0"/>
    <w:rPr>
      <w:rFonts w:eastAsia="黑体"/>
      <w:sz w:val="21"/>
      <w:lang w:val="en-US" w:eastAsia="zh-CN" w:bidi="ar-SA"/>
    </w:rPr>
  </w:style>
  <w:style w:type="character" w:customStyle="1" w:styleId="36">
    <w:name w:val="正文文本 Char"/>
    <w:basedOn w:val="20"/>
    <w:link w:val="6"/>
    <w:qFormat/>
    <w:uiPriority w:val="0"/>
    <w:rPr>
      <w:kern w:val="2"/>
      <w:sz w:val="21"/>
      <w:szCs w:val="24"/>
    </w:rPr>
  </w:style>
  <w:style w:type="character" w:customStyle="1" w:styleId="37">
    <w:name w:val="索引链接"/>
    <w:qFormat/>
    <w:uiPriority w:val="0"/>
  </w:style>
  <w:style w:type="paragraph" w:customStyle="1" w:styleId="38">
    <w:name w:val="标题样式"/>
    <w:basedOn w:val="1"/>
    <w:next w:val="6"/>
    <w:qFormat/>
    <w:uiPriority w:val="0"/>
    <w:pPr>
      <w:keepNext/>
      <w:spacing w:before="240" w:after="120"/>
    </w:pPr>
    <w:rPr>
      <w:rFonts w:ascii="Noto Sans CJK SC" w:hAnsi="Noto Sans CJK SC" w:eastAsia="Noto Sans CJK SC" w:cs="Noto Sans CJK SC"/>
      <w:sz w:val="28"/>
      <w:szCs w:val="28"/>
    </w:rPr>
  </w:style>
  <w:style w:type="paragraph" w:customStyle="1" w:styleId="39">
    <w:name w:val="索引"/>
    <w:basedOn w:val="1"/>
    <w:qFormat/>
    <w:uiPriority w:val="0"/>
    <w:pPr>
      <w:suppressLineNumbers/>
    </w:pPr>
    <w:rPr>
      <w:lang w:val="zh-CN" w:eastAsia="zh-CN" w:bidi="zh-CN"/>
    </w:rPr>
  </w:style>
  <w:style w:type="paragraph" w:customStyle="1" w:styleId="40">
    <w:name w:val="页眉与页脚"/>
    <w:basedOn w:val="1"/>
    <w:qFormat/>
    <w:uiPriority w:val="0"/>
  </w:style>
  <w:style w:type="paragraph" w:styleId="41">
    <w:name w:val="List Paragraph"/>
    <w:basedOn w:val="1"/>
    <w:qFormat/>
    <w:uiPriority w:val="34"/>
    <w:pPr>
      <w:ind w:firstLine="420"/>
    </w:pPr>
  </w:style>
  <w:style w:type="paragraph" w:customStyle="1" w:styleId="42">
    <w:name w:val="WPSOffice手动目录 1"/>
    <w:qFormat/>
    <w:uiPriority w:val="0"/>
    <w:pPr>
      <w:widowControl/>
      <w:suppressAutoHyphens/>
      <w:bidi w:val="0"/>
      <w:spacing w:before="0" w:after="0"/>
      <w:jc w:val="left"/>
    </w:pPr>
    <w:rPr>
      <w:rFonts w:cs="notosanscjksc" w:asciiTheme="minorHAnsi" w:hAnsiTheme="minorHAnsi" w:eastAsiaTheme="minorEastAsia"/>
      <w:color w:val="auto"/>
      <w:kern w:val="0"/>
      <w:sz w:val="20"/>
      <w:szCs w:val="20"/>
      <w:lang w:val="en-US" w:eastAsia="zh-CN" w:bidi="ar-SA"/>
    </w:rPr>
  </w:style>
  <w:style w:type="paragraph" w:customStyle="1" w:styleId="43">
    <w:name w:val="WPSOffice手动目录 2"/>
    <w:qFormat/>
    <w:uiPriority w:val="0"/>
    <w:pPr>
      <w:widowControl/>
      <w:suppressAutoHyphens/>
      <w:bidi w:val="0"/>
      <w:spacing w:before="0" w:after="0"/>
      <w:ind w:left="200" w:firstLine="0"/>
      <w:jc w:val="left"/>
    </w:pPr>
    <w:rPr>
      <w:rFonts w:cs="notosanscjksc" w:asciiTheme="minorHAnsi" w:hAnsiTheme="minorHAnsi" w:eastAsiaTheme="minorEastAsia"/>
      <w:color w:val="auto"/>
      <w:kern w:val="0"/>
      <w:sz w:val="20"/>
      <w:szCs w:val="20"/>
      <w:lang w:val="en-US" w:eastAsia="zh-CN" w:bidi="ar-SA"/>
    </w:rPr>
  </w:style>
  <w:style w:type="paragraph" w:customStyle="1" w:styleId="44">
    <w:name w:val="正文标题"/>
    <w:qFormat/>
    <w:uiPriority w:val="0"/>
    <w:pPr>
      <w:keepNext/>
      <w:pageBreakBefore/>
      <w:widowControl/>
      <w:suppressAutoHyphens/>
      <w:bidi w:val="0"/>
      <w:spacing w:before="360" w:after="440" w:line="360" w:lineRule="auto"/>
      <w:jc w:val="center"/>
    </w:pPr>
    <w:rPr>
      <w:rFonts w:ascii="黑体" w:hAnsi="黑体" w:eastAsia="黑体" w:cs="notosanscjksc"/>
      <w:color w:val="000000"/>
      <w:kern w:val="0"/>
      <w:sz w:val="20"/>
      <w:szCs w:val="22"/>
      <w:lang w:val="en-US" w:eastAsia="en-US" w:bidi="ar-SA"/>
    </w:rPr>
  </w:style>
  <w:style w:type="paragraph" w:customStyle="1" w:styleId="45">
    <w:name w:val="目次标题"/>
    <w:qFormat/>
    <w:uiPriority w:val="0"/>
    <w:pPr>
      <w:keepNext/>
      <w:pageBreakBefore/>
      <w:widowControl/>
      <w:shd w:val="clear" w:color="FFFFFF" w:fill="FFFFFF"/>
      <w:suppressAutoHyphens/>
      <w:bidi w:val="0"/>
      <w:spacing w:before="640" w:after="560" w:line="460" w:lineRule="exact"/>
      <w:jc w:val="center"/>
      <w:outlineLvl w:val="3"/>
    </w:pPr>
    <w:rPr>
      <w:rFonts w:ascii="黑体" w:hAnsi="黑体" w:eastAsia="黑体" w:cs="Times New Roman"/>
      <w:color w:val="auto"/>
      <w:kern w:val="0"/>
      <w:sz w:val="32"/>
      <w:szCs w:val="32"/>
      <w:lang w:val="en-US" w:eastAsia="zh-CN" w:bidi="ar-SA"/>
    </w:rPr>
  </w:style>
  <w:style w:type="paragraph" w:customStyle="1" w:styleId="46">
    <w:name w:val="目次标题级"/>
    <w:next w:val="2"/>
    <w:qFormat/>
    <w:uiPriority w:val="39"/>
    <w:pPr>
      <w:widowControl/>
      <w:tabs>
        <w:tab w:val="right" w:leader="dot" w:pos="9241"/>
      </w:tabs>
      <w:suppressAutoHyphens/>
      <w:bidi w:val="0"/>
      <w:spacing w:before="25" w:after="25"/>
      <w:jc w:val="left"/>
      <w:outlineLvl w:val="0"/>
    </w:pPr>
    <w:rPr>
      <w:rFonts w:ascii="宋体" w:hAnsi="宋体" w:eastAsia="宋体" w:cs="Times New Roman"/>
      <w:color w:val="auto"/>
      <w:kern w:val="0"/>
      <w:sz w:val="21"/>
      <w:szCs w:val="21"/>
      <w:lang w:val="en-US" w:eastAsia="zh-CN" w:bidi="ar-SA"/>
    </w:rPr>
  </w:style>
  <w:style w:type="paragraph" w:customStyle="1" w:styleId="47">
    <w:name w:val="目次第1级"/>
    <w:next w:val="2"/>
    <w:qFormat/>
    <w:uiPriority w:val="39"/>
    <w:pPr>
      <w:widowControl/>
      <w:tabs>
        <w:tab w:val="right" w:leader="dot" w:pos="9241"/>
      </w:tabs>
      <w:suppressAutoHyphens/>
      <w:bidi w:val="0"/>
      <w:spacing w:before="25" w:after="25"/>
      <w:jc w:val="left"/>
    </w:pPr>
    <w:rPr>
      <w:rFonts w:ascii="宋体" w:hAnsi="宋体" w:eastAsia="宋体" w:cs="宋体"/>
      <w:color w:val="auto"/>
      <w:kern w:val="0"/>
      <w:sz w:val="21"/>
      <w:szCs w:val="21"/>
      <w:lang w:val="en-US" w:eastAsia="zh-CN" w:bidi="ar-SA"/>
    </w:rPr>
  </w:style>
  <w:style w:type="paragraph" w:customStyle="1" w:styleId="48">
    <w:name w:val="目次第2级"/>
    <w:qFormat/>
    <w:uiPriority w:val="39"/>
    <w:pPr>
      <w:widowControl/>
      <w:tabs>
        <w:tab w:val="right" w:leader="dot" w:pos="9241"/>
      </w:tabs>
      <w:suppressAutoHyphens/>
      <w:bidi w:val="0"/>
      <w:spacing w:before="0" w:after="0"/>
      <w:ind w:firstLine="100"/>
      <w:jc w:val="left"/>
    </w:pPr>
    <w:rPr>
      <w:rFonts w:ascii="宋体" w:hAnsi="宋体" w:eastAsia="宋体" w:cs="宋体"/>
      <w:color w:val="auto"/>
      <w:kern w:val="0"/>
      <w:sz w:val="21"/>
      <w:szCs w:val="21"/>
      <w:lang w:val="en-US" w:eastAsia="zh-CN" w:bidi="ar-SA"/>
    </w:rPr>
  </w:style>
  <w:style w:type="paragraph" w:customStyle="1" w:styleId="49">
    <w:name w:val="目次第3级"/>
    <w:qFormat/>
    <w:uiPriority w:val="39"/>
    <w:pPr>
      <w:widowControl/>
      <w:tabs>
        <w:tab w:val="right" w:leader="dot" w:pos="9241"/>
      </w:tabs>
      <w:suppressAutoHyphens/>
      <w:bidi w:val="0"/>
      <w:spacing w:before="0" w:after="0"/>
      <w:ind w:firstLine="200"/>
      <w:jc w:val="left"/>
    </w:pPr>
    <w:rPr>
      <w:rFonts w:ascii="宋体" w:hAnsi="宋体" w:eastAsia="宋体" w:cs="宋体"/>
      <w:color w:val="auto"/>
      <w:kern w:val="0"/>
      <w:sz w:val="21"/>
      <w:szCs w:val="21"/>
      <w:lang w:val="en-US" w:eastAsia="zh-CN" w:bidi="ar-SA"/>
    </w:rPr>
  </w:style>
  <w:style w:type="paragraph" w:customStyle="1" w:styleId="50">
    <w:name w:val="目次第4级"/>
    <w:qFormat/>
    <w:uiPriority w:val="39"/>
    <w:pPr>
      <w:widowControl/>
      <w:tabs>
        <w:tab w:val="right" w:leader="dot" w:pos="9241"/>
      </w:tabs>
      <w:suppressAutoHyphens/>
      <w:bidi w:val="0"/>
      <w:spacing w:before="0" w:after="0"/>
      <w:ind w:firstLine="300"/>
      <w:jc w:val="left"/>
    </w:pPr>
    <w:rPr>
      <w:rFonts w:ascii="宋体" w:hAnsi="宋体" w:eastAsia="宋体" w:cs="宋体"/>
      <w:color w:val="auto"/>
      <w:kern w:val="0"/>
      <w:sz w:val="21"/>
      <w:szCs w:val="21"/>
      <w:lang w:val="en-US" w:eastAsia="zh-CN" w:bidi="ar-SA"/>
    </w:rPr>
  </w:style>
  <w:style w:type="paragraph" w:customStyle="1" w:styleId="51">
    <w:name w:val="目次第5级"/>
    <w:qFormat/>
    <w:uiPriority w:val="39"/>
    <w:pPr>
      <w:widowControl/>
      <w:tabs>
        <w:tab w:val="right" w:leader="dot" w:pos="9241"/>
      </w:tabs>
      <w:suppressAutoHyphens/>
      <w:bidi w:val="0"/>
      <w:spacing w:before="0" w:after="0"/>
      <w:ind w:firstLine="400"/>
      <w:jc w:val="left"/>
    </w:pPr>
    <w:rPr>
      <w:rFonts w:ascii="宋体" w:hAnsi="宋体" w:eastAsia="宋体" w:cs="宋体"/>
      <w:color w:val="auto"/>
      <w:kern w:val="0"/>
      <w:sz w:val="21"/>
      <w:szCs w:val="21"/>
      <w:lang w:val="en-US" w:eastAsia="zh-CN" w:bidi="ar-SA"/>
    </w:rPr>
  </w:style>
  <w:style w:type="paragraph" w:customStyle="1" w:styleId="52">
    <w:name w:val="目次第6级"/>
    <w:qFormat/>
    <w:uiPriority w:val="39"/>
    <w:pPr>
      <w:widowControl/>
      <w:tabs>
        <w:tab w:val="right" w:leader="dot" w:pos="9241"/>
      </w:tabs>
      <w:suppressAutoHyphens/>
      <w:bidi w:val="0"/>
      <w:spacing w:before="0" w:after="0"/>
      <w:ind w:firstLine="500"/>
      <w:jc w:val="left"/>
    </w:pPr>
    <w:rPr>
      <w:rFonts w:ascii="宋体" w:hAnsi="宋体" w:eastAsia="宋体" w:cs="宋体"/>
      <w:color w:val="auto"/>
      <w:kern w:val="0"/>
      <w:sz w:val="21"/>
      <w:szCs w:val="21"/>
      <w:lang w:val="en-US" w:eastAsia="zh-CN" w:bidi="ar-SA"/>
    </w:rPr>
  </w:style>
  <w:style w:type="paragraph" w:customStyle="1" w:styleId="53">
    <w:name w:val="目次第7级"/>
    <w:qFormat/>
    <w:uiPriority w:val="39"/>
    <w:pPr>
      <w:widowControl/>
      <w:tabs>
        <w:tab w:val="right" w:leader="dot" w:pos="9241"/>
      </w:tabs>
      <w:suppressAutoHyphens/>
      <w:bidi w:val="0"/>
      <w:spacing w:before="0" w:after="0"/>
      <w:ind w:firstLine="600"/>
      <w:jc w:val="left"/>
    </w:pPr>
    <w:rPr>
      <w:rFonts w:ascii="宋体" w:hAnsi="宋体" w:eastAsia="宋体" w:cs="宋体"/>
      <w:color w:val="auto"/>
      <w:kern w:val="0"/>
      <w:sz w:val="21"/>
      <w:szCs w:val="21"/>
      <w:lang w:val="en-US" w:eastAsia="zh-CN" w:bidi="ar-SA"/>
    </w:rPr>
  </w:style>
  <w:style w:type="paragraph" w:customStyle="1" w:styleId="54">
    <w:name w:val="目次第8级"/>
    <w:qFormat/>
    <w:uiPriority w:val="39"/>
    <w:pPr>
      <w:widowControl/>
      <w:tabs>
        <w:tab w:val="right" w:leader="dot" w:pos="9241"/>
      </w:tabs>
      <w:suppressAutoHyphens/>
      <w:bidi w:val="0"/>
      <w:spacing w:before="0" w:after="0"/>
      <w:ind w:firstLine="700"/>
      <w:jc w:val="left"/>
    </w:pPr>
    <w:rPr>
      <w:rFonts w:ascii="宋体" w:hAnsi="宋体" w:eastAsia="宋体" w:cs="宋体"/>
      <w:color w:val="auto"/>
      <w:kern w:val="0"/>
      <w:sz w:val="21"/>
      <w:szCs w:val="21"/>
      <w:lang w:val="en-US" w:eastAsia="zh-CN" w:bidi="ar-SA"/>
    </w:rPr>
  </w:style>
  <w:style w:type="paragraph" w:customStyle="1" w:styleId="55">
    <w:name w:val="目次、索引正文"/>
    <w:qFormat/>
    <w:uiPriority w:val="0"/>
    <w:pPr>
      <w:widowControl/>
      <w:suppressAutoHyphens/>
      <w:bidi w:val="0"/>
      <w:spacing w:before="0" w:after="0" w:line="320" w:lineRule="exact"/>
      <w:jc w:val="both"/>
    </w:pPr>
    <w:rPr>
      <w:rFonts w:ascii="宋体" w:hAnsi="宋体" w:eastAsia="宋体" w:cs="宋体"/>
      <w:color w:val="auto"/>
      <w:kern w:val="0"/>
      <w:sz w:val="21"/>
      <w:szCs w:val="20"/>
      <w:lang w:val="en-US" w:eastAsia="zh-CN" w:bidi="ar-SA"/>
    </w:rPr>
  </w:style>
  <w:style w:type="paragraph" w:customStyle="1" w:styleId="56">
    <w:name w:val="文档名称标题"/>
    <w:qFormat/>
    <w:uiPriority w:val="0"/>
    <w:pPr>
      <w:widowControl/>
      <w:suppressAutoHyphens/>
      <w:bidi w:val="0"/>
      <w:spacing w:before="640" w:after="560" w:line="460" w:lineRule="exact"/>
      <w:jc w:val="center"/>
    </w:pPr>
    <w:rPr>
      <w:rFonts w:ascii="黑体" w:hAnsi="黑体" w:eastAsia="黑体" w:cs="Times New Roman"/>
      <w:color w:val="auto"/>
      <w:kern w:val="0"/>
      <w:sz w:val="32"/>
      <w:szCs w:val="32"/>
      <w:lang w:val="en-US" w:eastAsia="zh-CN" w:bidi="ar-SA"/>
    </w:rPr>
  </w:style>
  <w:style w:type="paragraph" w:customStyle="1" w:styleId="57">
    <w:name w:val="章节页面标题"/>
    <w:qFormat/>
    <w:uiPriority w:val="0"/>
    <w:pPr>
      <w:widowControl/>
      <w:suppressAutoHyphens/>
      <w:bidi w:val="0"/>
      <w:spacing w:before="640" w:after="560" w:line="460" w:lineRule="exact"/>
      <w:jc w:val="center"/>
      <w:outlineLvl w:val="0"/>
    </w:pPr>
    <w:rPr>
      <w:rFonts w:ascii="黑体" w:hAnsi="黑体" w:eastAsia="黑体" w:cs="Times New Roman"/>
      <w:color w:val="auto"/>
      <w:kern w:val="0"/>
      <w:sz w:val="32"/>
      <w:szCs w:val="32"/>
      <w:lang w:val="en-US" w:eastAsia="zh-CN" w:bidi="ar-SA"/>
    </w:rPr>
  </w:style>
  <w:style w:type="paragraph" w:customStyle="1" w:styleId="58">
    <w:name w:val="附录页面标题"/>
    <w:qFormat/>
    <w:uiPriority w:val="0"/>
    <w:pPr>
      <w:widowControl/>
      <w:suppressAutoHyphens/>
      <w:bidi w:val="0"/>
      <w:spacing w:before="640" w:after="280"/>
      <w:contextualSpacing/>
      <w:jc w:val="center"/>
    </w:pPr>
    <w:rPr>
      <w:rFonts w:ascii="黑体" w:hAnsi="黑体" w:eastAsia="黑体" w:cs="黑体"/>
      <w:color w:val="auto"/>
      <w:kern w:val="0"/>
      <w:sz w:val="21"/>
      <w:szCs w:val="21"/>
      <w:lang w:val="en-US" w:eastAsia="zh-CN" w:bidi="ar-SA"/>
    </w:rPr>
  </w:style>
  <w:style w:type="paragraph" w:customStyle="1" w:styleId="59">
    <w:name w:val="其他页面标题"/>
    <w:qFormat/>
    <w:uiPriority w:val="0"/>
    <w:pPr>
      <w:widowControl/>
      <w:suppressAutoHyphens/>
      <w:bidi w:val="0"/>
      <w:spacing w:before="640" w:after="200"/>
      <w:jc w:val="center"/>
      <w:outlineLvl w:val="0"/>
    </w:pPr>
    <w:rPr>
      <w:rFonts w:ascii="黑体" w:hAnsi="黑体" w:eastAsia="黑体" w:cs="Times New Roman"/>
      <w:color w:val="auto"/>
      <w:kern w:val="0"/>
      <w:sz w:val="21"/>
      <w:szCs w:val="21"/>
      <w:lang w:val="en-US" w:eastAsia="zh-CN" w:bidi="ar-SA"/>
    </w:rPr>
  </w:style>
  <w:style w:type="paragraph" w:customStyle="1" w:styleId="60">
    <w:name w:val="段落"/>
    <w:qFormat/>
    <w:uiPriority w:val="0"/>
    <w:pPr>
      <w:widowControl/>
      <w:suppressAutoHyphens/>
      <w:bidi w:val="0"/>
      <w:spacing w:before="0" w:after="0"/>
      <w:ind w:firstLine="420"/>
      <w:jc w:val="left"/>
    </w:pPr>
    <w:rPr>
      <w:rFonts w:ascii="宋体" w:hAnsi="宋体" w:eastAsia="宋体" w:cs="Times New Roman"/>
      <w:color w:val="auto"/>
      <w:kern w:val="0"/>
      <w:sz w:val="21"/>
      <w:szCs w:val="20"/>
      <w:lang w:val="en-US" w:eastAsia="zh-CN" w:bidi="ar-SA"/>
    </w:rPr>
  </w:style>
  <w:style w:type="paragraph" w:customStyle="1" w:styleId="61">
    <w:name w:val="一级首章标题"/>
    <w:qFormat/>
    <w:uiPriority w:val="0"/>
    <w:pPr>
      <w:widowControl/>
      <w:suppressAutoHyphens/>
      <w:bidi w:val="0"/>
      <w:snapToGrid w:val="0"/>
      <w:spacing w:before="0" w:after="100"/>
      <w:jc w:val="both"/>
    </w:pPr>
    <w:rPr>
      <w:rFonts w:ascii="黑体" w:hAnsi="黑体" w:eastAsia="黑体" w:cs="Times New Roman"/>
      <w:color w:val="auto"/>
      <w:kern w:val="0"/>
      <w:sz w:val="21"/>
      <w:szCs w:val="20"/>
      <w:lang w:val="en-US" w:eastAsia="zh-CN" w:bidi="ar-SA"/>
    </w:rPr>
  </w:style>
  <w:style w:type="paragraph" w:customStyle="1" w:styleId="62">
    <w:name w:val="二级首章标题"/>
    <w:qFormat/>
    <w:uiPriority w:val="0"/>
    <w:pPr>
      <w:widowControl/>
      <w:suppressAutoHyphens/>
      <w:bidi w:val="0"/>
      <w:snapToGrid w:val="0"/>
      <w:spacing w:before="0" w:after="50"/>
      <w:jc w:val="both"/>
    </w:pPr>
    <w:rPr>
      <w:rFonts w:ascii="黑体" w:hAnsi="黑体" w:eastAsia="黑体" w:cs="Times New Roman"/>
      <w:color w:val="auto"/>
      <w:kern w:val="0"/>
      <w:sz w:val="21"/>
      <w:szCs w:val="20"/>
      <w:lang w:val="en-US" w:eastAsia="zh-CN" w:bidi="ar-SA"/>
    </w:rPr>
  </w:style>
  <w:style w:type="paragraph" w:customStyle="1" w:styleId="63">
    <w:name w:val="一级章标题"/>
    <w:qFormat/>
    <w:uiPriority w:val="0"/>
    <w:pPr>
      <w:widowControl/>
      <w:suppressAutoHyphens/>
      <w:bidi w:val="0"/>
      <w:snapToGrid w:val="0"/>
      <w:spacing w:before="312" w:after="312"/>
      <w:jc w:val="both"/>
    </w:pPr>
    <w:rPr>
      <w:rFonts w:ascii="黑体" w:hAnsi="黑体" w:eastAsia="黑体" w:cs="Times New Roman"/>
      <w:color w:val="auto"/>
      <w:kern w:val="0"/>
      <w:sz w:val="21"/>
      <w:szCs w:val="20"/>
      <w:lang w:val="en-US" w:eastAsia="zh-CN" w:bidi="ar-SA"/>
    </w:rPr>
  </w:style>
  <w:style w:type="paragraph" w:customStyle="1" w:styleId="64">
    <w:name w:val="章节条款"/>
    <w:qFormat/>
    <w:uiPriority w:val="0"/>
    <w:pPr>
      <w:widowControl/>
      <w:suppressAutoHyphens/>
      <w:bidi w:val="0"/>
      <w:snapToGrid w:val="0"/>
      <w:spacing w:before="50" w:after="50"/>
      <w:jc w:val="both"/>
    </w:pPr>
    <w:rPr>
      <w:rFonts w:ascii="黑体" w:hAnsi="黑体" w:eastAsia="黑体" w:cs="Times New Roman"/>
      <w:color w:val="auto"/>
      <w:kern w:val="0"/>
      <w:sz w:val="21"/>
      <w:szCs w:val="20"/>
      <w:lang w:val="en-US" w:eastAsia="zh-CN" w:bidi="ar-SA"/>
    </w:rPr>
  </w:style>
  <w:style w:type="paragraph" w:customStyle="1" w:styleId="65">
    <w:name w:val="章标题-无条题"/>
    <w:qFormat/>
    <w:uiPriority w:val="0"/>
    <w:pPr>
      <w:widowControl/>
      <w:suppressAutoHyphens/>
      <w:bidi w:val="0"/>
      <w:spacing w:before="0" w:after="0"/>
      <w:jc w:val="left"/>
    </w:pPr>
    <w:rPr>
      <w:rFonts w:ascii="宋体" w:hAnsi="宋体" w:eastAsia="宋体" w:cs="Times New Roman"/>
      <w:color w:val="auto"/>
      <w:kern w:val="0"/>
      <w:sz w:val="20"/>
      <w:szCs w:val="20"/>
      <w:lang w:val="en-US" w:eastAsia="zh-CN" w:bidi="ar-SA"/>
    </w:rPr>
  </w:style>
  <w:style w:type="paragraph" w:customStyle="1" w:styleId="66">
    <w:name w:val="附录章标题-有条题"/>
    <w:qFormat/>
    <w:uiPriority w:val="0"/>
    <w:pPr>
      <w:widowControl/>
      <w:suppressAutoHyphens/>
      <w:bidi w:val="0"/>
      <w:snapToGrid w:val="0"/>
      <w:spacing w:before="50" w:after="50"/>
      <w:jc w:val="left"/>
    </w:pPr>
    <w:rPr>
      <w:rFonts w:ascii="宋体" w:hAnsi="宋体" w:eastAsia="宋体" w:cs="Times New Roman"/>
      <w:color w:val="auto"/>
      <w:kern w:val="0"/>
      <w:sz w:val="20"/>
      <w:szCs w:val="20"/>
      <w:lang w:val="en-US" w:eastAsia="zh-CN" w:bidi="ar-SA"/>
    </w:rPr>
  </w:style>
  <w:style w:type="paragraph" w:customStyle="1" w:styleId="67">
    <w:name w:val="表标题"/>
    <w:qFormat/>
    <w:uiPriority w:val="0"/>
    <w:pPr>
      <w:widowControl/>
      <w:suppressAutoHyphens/>
      <w:bidi w:val="0"/>
      <w:spacing w:before="50" w:after="50"/>
      <w:jc w:val="center"/>
    </w:pPr>
    <w:rPr>
      <w:rFonts w:ascii="黑体" w:hAnsi="黑体" w:eastAsia="黑体" w:cs="Times New Roman"/>
      <w:color w:val="auto"/>
      <w:kern w:val="0"/>
      <w:sz w:val="21"/>
      <w:szCs w:val="20"/>
      <w:lang w:val="en-US" w:eastAsia="zh-CN" w:bidi="ar-SA"/>
    </w:rPr>
  </w:style>
  <w:style w:type="paragraph" w:customStyle="1" w:styleId="68">
    <w:name w:val="图标题"/>
    <w:qFormat/>
    <w:uiPriority w:val="0"/>
    <w:pPr>
      <w:widowControl/>
      <w:suppressAutoHyphens/>
      <w:bidi w:val="0"/>
      <w:spacing w:before="50" w:after="50"/>
      <w:jc w:val="center"/>
    </w:pPr>
    <w:rPr>
      <w:rFonts w:ascii="黑体" w:hAnsi="黑体" w:eastAsia="黑体" w:cs="Times New Roman"/>
      <w:color w:val="auto"/>
      <w:kern w:val="0"/>
      <w:sz w:val="21"/>
      <w:szCs w:val="20"/>
      <w:lang w:val="en-US" w:eastAsia="zh-CN" w:bidi="ar-SA"/>
    </w:rPr>
  </w:style>
  <w:style w:type="paragraph" w:customStyle="1" w:styleId="69">
    <w:name w:val="公式居中"/>
    <w:next w:val="2"/>
    <w:qFormat/>
    <w:uiPriority w:val="0"/>
    <w:pPr>
      <w:widowControl/>
      <w:tabs>
        <w:tab w:val="center" w:pos="4620"/>
        <w:tab w:val="right" w:pos="6510"/>
        <w:tab w:val="right" w:leader="middleDot" w:pos="9240"/>
      </w:tabs>
      <w:suppressAutoHyphens/>
      <w:bidi w:val="0"/>
      <w:snapToGrid w:val="0"/>
      <w:spacing w:before="0" w:after="0"/>
      <w:jc w:val="center"/>
      <w:textAlignment w:val="center"/>
    </w:pPr>
    <w:rPr>
      <w:rFonts w:ascii="Times New Roman" w:hAnsi="Times New Roman" w:eastAsia="宋体" w:cs="Times New Roman"/>
      <w:color w:val="auto"/>
      <w:kern w:val="2"/>
      <w:sz w:val="20"/>
      <w:szCs w:val="20"/>
      <w:lang w:val="en-US" w:eastAsia="zh-CN" w:bidi="ar-SA"/>
    </w:rPr>
  </w:style>
  <w:style w:type="paragraph" w:customStyle="1" w:styleId="70">
    <w:name w:val="终结线"/>
    <w:qFormat/>
    <w:uiPriority w:val="0"/>
    <w:pPr>
      <w:widowControl/>
      <w:tabs>
        <w:tab w:val="center" w:pos="4620"/>
        <w:tab w:val="right" w:pos="6510"/>
        <w:tab w:val="right" w:leader="middleDot" w:pos="9240"/>
      </w:tabs>
      <w:suppressAutoHyphens/>
      <w:bidi w:val="0"/>
      <w:spacing w:before="0" w:after="0"/>
      <w:jc w:val="center"/>
      <w:textAlignment w:val="center"/>
    </w:pPr>
    <w:rPr>
      <w:rFonts w:ascii="Times New Roman" w:hAnsi="Times New Roman" w:eastAsia="宋体" w:cs="Times New Roman"/>
      <w:color w:val="auto"/>
      <w:kern w:val="0"/>
      <w:sz w:val="20"/>
      <w:szCs w:val="20"/>
      <w:lang w:val="en-US" w:eastAsia="zh-CN" w:bidi="ar-SA"/>
    </w:rPr>
  </w:style>
  <w:style w:type="paragraph" w:customStyle="1" w:styleId="71">
    <w:name w:val="修订1"/>
    <w:unhideWhenUsed/>
    <w:qFormat/>
    <w:uiPriority w:val="99"/>
    <w:pPr>
      <w:widowControl/>
      <w:suppressAutoHyphens/>
      <w:bidi w:val="0"/>
      <w:spacing w:before="0" w:after="0"/>
      <w:jc w:val="left"/>
    </w:pPr>
    <w:rPr>
      <w:rFonts w:cs="notosanscjksc" w:asciiTheme="minorHAnsi" w:hAnsiTheme="minorHAnsi" w:eastAsiaTheme="minorEastAsia"/>
      <w:color w:val="auto"/>
      <w:kern w:val="2"/>
      <w:sz w:val="21"/>
      <w:szCs w:val="24"/>
      <w:lang w:val="en-US" w:eastAsia="zh-CN" w:bidi="ar-SA"/>
    </w:rPr>
  </w:style>
  <w:style w:type="paragraph" w:customStyle="1" w:styleId="72">
    <w:name w:val="段"/>
    <w:qFormat/>
    <w:uiPriority w:val="0"/>
    <w:pPr>
      <w:widowControl/>
      <w:suppressAutoHyphens/>
      <w:bidi w:val="0"/>
      <w:spacing w:before="0" w:after="0"/>
      <w:ind w:firstLine="200"/>
      <w:jc w:val="both"/>
    </w:pPr>
    <w:rPr>
      <w:rFonts w:ascii="宋体" w:hAnsi="宋体" w:eastAsia="宋体" w:cs="Times New Roman"/>
      <w:color w:val="auto"/>
      <w:kern w:val="0"/>
      <w:sz w:val="21"/>
      <w:szCs w:val="20"/>
      <w:lang w:val="en-US" w:eastAsia="zh-CN" w:bidi="ar-SA"/>
    </w:rPr>
  </w:style>
  <w:style w:type="paragraph" w:customStyle="1" w:styleId="73">
    <w:name w:val="前言、引言标题"/>
    <w:next w:val="1"/>
    <w:qFormat/>
    <w:uiPriority w:val="0"/>
    <w:pPr>
      <w:widowControl/>
      <w:numPr>
        <w:ilvl w:val="0"/>
        <w:numId w:val="1"/>
      </w:numPr>
      <w:shd w:val="clear" w:color="FFFFFF" w:fill="FFFFFF"/>
      <w:suppressAutoHyphens/>
      <w:bidi w:val="0"/>
      <w:spacing w:before="640" w:after="560"/>
      <w:jc w:val="center"/>
      <w:outlineLvl w:val="0"/>
    </w:pPr>
    <w:rPr>
      <w:rFonts w:ascii="黑体" w:hAnsi="黑体" w:eastAsia="黑体" w:cs="Times New Roman"/>
      <w:color w:val="auto"/>
      <w:kern w:val="0"/>
      <w:sz w:val="32"/>
      <w:szCs w:val="20"/>
      <w:lang w:val="en-US" w:eastAsia="zh-CN" w:bidi="ar-SA"/>
    </w:rPr>
  </w:style>
  <w:style w:type="paragraph" w:customStyle="1" w:styleId="74">
    <w:name w:val="章标题"/>
    <w:next w:val="72"/>
    <w:qFormat/>
    <w:uiPriority w:val="0"/>
    <w:pPr>
      <w:widowControl/>
      <w:numPr>
        <w:ilvl w:val="1"/>
        <w:numId w:val="1"/>
      </w:numPr>
      <w:suppressAutoHyphens/>
      <w:bidi w:val="0"/>
      <w:spacing w:before="50" w:after="50"/>
      <w:jc w:val="both"/>
      <w:outlineLvl w:val="1"/>
    </w:pPr>
    <w:rPr>
      <w:rFonts w:ascii="黑体" w:hAnsi="黑体" w:eastAsia="黑体" w:cs="Times New Roman"/>
      <w:color w:val="auto"/>
      <w:kern w:val="0"/>
      <w:sz w:val="21"/>
      <w:szCs w:val="20"/>
      <w:lang w:val="en-US" w:eastAsia="zh-CN" w:bidi="ar-SA"/>
    </w:rPr>
  </w:style>
  <w:style w:type="paragraph" w:customStyle="1" w:styleId="75">
    <w:name w:val="一级条标题"/>
    <w:next w:val="72"/>
    <w:qFormat/>
    <w:uiPriority w:val="0"/>
    <w:pPr>
      <w:widowControl/>
      <w:numPr>
        <w:ilvl w:val="2"/>
        <w:numId w:val="1"/>
      </w:numPr>
      <w:suppressAutoHyphens/>
      <w:bidi w:val="0"/>
      <w:spacing w:before="0" w:after="0"/>
      <w:jc w:val="left"/>
      <w:outlineLvl w:val="2"/>
    </w:pPr>
    <w:rPr>
      <w:rFonts w:ascii="Times New Roman" w:hAnsi="Times New Roman" w:eastAsia="黑体" w:cs="Times New Roman"/>
      <w:color w:val="auto"/>
      <w:kern w:val="0"/>
      <w:sz w:val="21"/>
      <w:szCs w:val="20"/>
      <w:lang w:val="en-US" w:eastAsia="zh-CN" w:bidi="ar-SA"/>
    </w:rPr>
  </w:style>
  <w:style w:type="paragraph" w:customStyle="1" w:styleId="76">
    <w:name w:val="二级条标题"/>
    <w:basedOn w:val="75"/>
    <w:next w:val="72"/>
    <w:qFormat/>
    <w:uiPriority w:val="0"/>
    <w:pPr>
      <w:numPr>
        <w:ilvl w:val="3"/>
        <w:numId w:val="1"/>
      </w:numPr>
      <w:outlineLvl w:val="3"/>
    </w:pPr>
  </w:style>
  <w:style w:type="paragraph" w:customStyle="1" w:styleId="77">
    <w:name w:val="三级条标题"/>
    <w:basedOn w:val="76"/>
    <w:next w:val="72"/>
    <w:qFormat/>
    <w:uiPriority w:val="0"/>
    <w:pPr>
      <w:numPr>
        <w:ilvl w:val="4"/>
        <w:numId w:val="1"/>
      </w:numPr>
      <w:outlineLvl w:val="4"/>
    </w:pPr>
  </w:style>
  <w:style w:type="paragraph" w:customStyle="1" w:styleId="78">
    <w:name w:val="四级条标题"/>
    <w:basedOn w:val="77"/>
    <w:next w:val="72"/>
    <w:qFormat/>
    <w:uiPriority w:val="0"/>
    <w:pPr>
      <w:numPr>
        <w:ilvl w:val="5"/>
        <w:numId w:val="1"/>
      </w:numPr>
      <w:outlineLvl w:val="5"/>
    </w:pPr>
  </w:style>
  <w:style w:type="paragraph" w:customStyle="1" w:styleId="79">
    <w:name w:val="五级条标题"/>
    <w:basedOn w:val="78"/>
    <w:next w:val="72"/>
    <w:qFormat/>
    <w:uiPriority w:val="0"/>
    <w:pPr>
      <w:numPr>
        <w:ilvl w:val="6"/>
        <w:numId w:val="1"/>
      </w:numPr>
      <w:outlineLvl w:val="6"/>
    </w:pPr>
  </w:style>
  <w:style w:type="paragraph" w:customStyle="1" w:styleId="80">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22</Pages>
  <Words>7392</Words>
  <Characters>9231</Characters>
  <Paragraphs>518</Paragraphs>
  <TotalTime>2</TotalTime>
  <ScaleCrop>false</ScaleCrop>
  <LinksUpToDate>false</LinksUpToDate>
  <CharactersWithSpaces>9685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2025-09-27T00:53:00Z</dcterms:created>
  <dc:creator>sam</dc:creator>
  <cp:lastModifiedBy>tomyang</cp:lastModifiedBy>
  <cp:lastPrinted>2025-09-16T08:12:00Z</cp:lastPrinted>
  <dcterms:modified xsi:type="dcterms:W3CDTF">2025-10-13T07:41:53Z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37D0F374D1D14C8A8BB66D12DDA48F85_13</vt:lpwstr>
  </property>
  <property fmtid="{D5CDD505-2E9C-101B-9397-08002B2CF9AE}" pid="3" name="KSOProductBuildVer">
    <vt:lpwstr>2052-12.1.0.22529</vt:lpwstr>
  </property>
  <property fmtid="{D5CDD505-2E9C-101B-9397-08002B2CF9AE}" pid="4" name="KSOTemplateDocerSaveRecord">
    <vt:lpwstr>eyJoZGlkIjoiNWVjMzE1ZjEzNmMyMTIyMGY0ZGEwYjM4NGZmZDg5MGUifQ==</vt:lpwstr>
  </property>
</Properties>
</file>