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4EC11">
      <w:pPr>
        <w:jc w:val="center"/>
        <w:rPr>
          <w:rFonts w:ascii="Calibri" w:hAnsi="Calibri" w:eastAsia="宋体" w:cs="Times New Roman"/>
          <w:b/>
          <w:sz w:val="32"/>
          <w:szCs w:val="32"/>
        </w:rPr>
      </w:pPr>
      <w:r>
        <w:rPr>
          <w:rFonts w:hint="eastAsia" w:ascii="Calibri" w:hAnsi="Calibri" w:eastAsia="宋体" w:cs="Times New Roman"/>
          <w:b/>
          <w:sz w:val="32"/>
          <w:szCs w:val="32"/>
        </w:rPr>
        <w:t>海南省地方标准</w:t>
      </w:r>
    </w:p>
    <w:p w14:paraId="7075924C">
      <w:pPr>
        <w:jc w:val="center"/>
        <w:rPr>
          <w:rFonts w:hint="eastAsia"/>
          <w:b/>
          <w:sz w:val="32"/>
          <w:szCs w:val="32"/>
        </w:rPr>
      </w:pPr>
      <w:r>
        <w:rPr>
          <w:rFonts w:hint="eastAsia"/>
          <w:b/>
          <w:sz w:val="32"/>
          <w:szCs w:val="32"/>
        </w:rPr>
        <w:t>《</w:t>
      </w:r>
      <w:r>
        <w:rPr>
          <w:rFonts w:hint="eastAsia"/>
          <w:b/>
          <w:sz w:val="32"/>
          <w:szCs w:val="32"/>
          <w:lang w:val="en-US" w:eastAsia="zh-CN"/>
        </w:rPr>
        <w:t>纸莎草种苗繁育技术规程</w:t>
      </w:r>
      <w:r>
        <w:rPr>
          <w:rFonts w:hint="eastAsia"/>
          <w:b/>
          <w:sz w:val="32"/>
          <w:szCs w:val="32"/>
        </w:rPr>
        <w:t>》编制说明</w:t>
      </w:r>
    </w:p>
    <w:p w14:paraId="4F6F0575">
      <w:pPr>
        <w:jc w:val="center"/>
        <w:rPr>
          <w:rFonts w:hint="eastAsia"/>
          <w:b/>
          <w:sz w:val="32"/>
          <w:szCs w:val="32"/>
        </w:rPr>
      </w:pPr>
      <w:r>
        <w:rPr>
          <w:rFonts w:hint="eastAsia"/>
          <w:b/>
          <w:sz w:val="32"/>
          <w:szCs w:val="32"/>
        </w:rPr>
        <w:t>（征求意见稿）</w:t>
      </w:r>
    </w:p>
    <w:p w14:paraId="5E00597E">
      <w:pPr>
        <w:ind w:firstLine="551" w:firstLineChars="196"/>
        <w:rPr>
          <w:b/>
          <w:sz w:val="28"/>
          <w:szCs w:val="28"/>
        </w:rPr>
      </w:pPr>
      <w:r>
        <w:rPr>
          <w:rFonts w:hint="eastAsia"/>
          <w:b/>
          <w:sz w:val="28"/>
          <w:szCs w:val="28"/>
        </w:rPr>
        <w:t>1. 工作简况</w:t>
      </w:r>
    </w:p>
    <w:p w14:paraId="45271C78">
      <w:pPr>
        <w:ind w:firstLine="482" w:firstLineChars="200"/>
        <w:rPr>
          <w:b/>
          <w:sz w:val="24"/>
          <w:szCs w:val="24"/>
        </w:rPr>
      </w:pPr>
      <w:r>
        <w:rPr>
          <w:rFonts w:hint="eastAsia"/>
          <w:b/>
          <w:sz w:val="24"/>
          <w:szCs w:val="24"/>
        </w:rPr>
        <w:t>1.1任务来源</w:t>
      </w:r>
    </w:p>
    <w:p w14:paraId="344E6A27">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highlight w:val="none"/>
        </w:rPr>
        <w:t>根据海南省质量技术监督局《关于下达2017年第五批地方标准制定项目计划的通知》（琼质技监标[2017]49号）文件，</w:t>
      </w:r>
      <w:r>
        <w:rPr>
          <w:rFonts w:hint="eastAsia" w:ascii="Calibri" w:hAnsi="Calibri" w:eastAsia="宋体" w:cs="Times New Roman"/>
          <w:sz w:val="24"/>
          <w:szCs w:val="24"/>
        </w:rPr>
        <w:t>海南省地方标准《</w:t>
      </w:r>
      <w:r>
        <w:rPr>
          <w:rFonts w:hint="eastAsia" w:ascii="Calibri" w:hAnsi="Calibri" w:eastAsia="宋体" w:cs="Times New Roman"/>
          <w:sz w:val="24"/>
          <w:szCs w:val="24"/>
          <w:lang w:val="en-US" w:eastAsia="zh-CN"/>
        </w:rPr>
        <w:t>纸莎草种苗繁育技术规程</w:t>
      </w:r>
      <w:r>
        <w:rPr>
          <w:rFonts w:hint="eastAsia" w:ascii="Calibri" w:hAnsi="Calibri" w:eastAsia="宋体" w:cs="Times New Roman"/>
          <w:sz w:val="24"/>
          <w:szCs w:val="24"/>
        </w:rPr>
        <w:t>》</w:t>
      </w:r>
      <w:r>
        <w:rPr>
          <w:rFonts w:hint="eastAsia" w:ascii="Calibri" w:hAnsi="Calibri" w:eastAsia="宋体" w:cs="Times New Roman"/>
          <w:sz w:val="24"/>
          <w:szCs w:val="24"/>
          <w:highlight w:val="none"/>
        </w:rPr>
        <w:t>（</w:t>
      </w:r>
      <w:r>
        <w:rPr>
          <w:rFonts w:hint="eastAsia" w:ascii="Calibri" w:hAnsi="Calibri" w:eastAsia="宋体" w:cs="Times New Roman"/>
          <w:sz w:val="24"/>
          <w:szCs w:val="24"/>
          <w:highlight w:val="none"/>
          <w:lang w:val="en-US" w:eastAsia="zh-CN"/>
        </w:rPr>
        <w:t>2</w:t>
      </w:r>
      <w:r>
        <w:rPr>
          <w:rFonts w:hint="eastAsia" w:ascii="Calibri" w:hAnsi="Calibri" w:eastAsia="宋体" w:cs="Times New Roman"/>
          <w:color w:val="000000" w:themeColor="text1"/>
          <w:sz w:val="24"/>
          <w:szCs w:val="24"/>
          <w:highlight w:val="none"/>
          <w:lang w:val="en-US" w:eastAsia="zh-CN"/>
          <w14:textFill>
            <w14:solidFill>
              <w14:schemeClr w14:val="tx1"/>
            </w14:solidFill>
          </w14:textFill>
        </w:rPr>
        <w:t>017-Z057</w:t>
      </w:r>
      <w:r>
        <w:rPr>
          <w:rFonts w:hint="eastAsia" w:ascii="Calibri" w:hAnsi="Calibri" w:eastAsia="宋体" w:cs="Times New Roman"/>
          <w:color w:val="000000" w:themeColor="text1"/>
          <w:sz w:val="24"/>
          <w:szCs w:val="24"/>
          <w:highlight w:val="none"/>
          <w14:textFill>
            <w14:solidFill>
              <w14:schemeClr w14:val="tx1"/>
            </w14:solidFill>
          </w14:textFill>
        </w:rPr>
        <w:t>）</w:t>
      </w:r>
      <w:r>
        <w:rPr>
          <w:rFonts w:hint="eastAsia" w:ascii="Calibri" w:hAnsi="Calibri" w:eastAsia="宋体" w:cs="Times New Roman"/>
          <w:sz w:val="24"/>
          <w:szCs w:val="24"/>
        </w:rPr>
        <w:t>由中国热带农业科学院热带作物品种资源研究所负责起草。</w:t>
      </w:r>
    </w:p>
    <w:p w14:paraId="192C0ABD">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1.2</w:t>
      </w:r>
      <w:r>
        <w:rPr>
          <w:rFonts w:hint="eastAsia"/>
          <w:b/>
          <w:sz w:val="24"/>
          <w:szCs w:val="24"/>
        </w:rPr>
        <w:t>标准制定的意义</w:t>
      </w:r>
    </w:p>
    <w:p w14:paraId="66797772">
      <w:p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rPr>
        <w:t>纸莎草[</w:t>
      </w:r>
      <w:r>
        <w:rPr>
          <w:rFonts w:hint="eastAsia" w:ascii="Calibri" w:hAnsi="Calibri" w:eastAsia="宋体" w:cs="Times New Roman"/>
          <w:i/>
          <w:iCs/>
          <w:sz w:val="24"/>
          <w:szCs w:val="24"/>
        </w:rPr>
        <w:t>Cyperus papyrus</w:t>
      </w:r>
      <w:r>
        <w:rPr>
          <w:rFonts w:hint="eastAsia" w:ascii="Calibri" w:hAnsi="Calibri" w:eastAsia="宋体" w:cs="Times New Roman"/>
          <w:i/>
          <w:iCs/>
          <w:sz w:val="24"/>
          <w:szCs w:val="24"/>
          <w:lang w:val="en-US" w:eastAsia="zh-CN"/>
        </w:rPr>
        <w:t xml:space="preserve"> </w:t>
      </w:r>
      <w:r>
        <w:rPr>
          <w:rFonts w:hint="eastAsia" w:ascii="Calibri" w:hAnsi="Calibri" w:eastAsia="宋体" w:cs="Times New Roman"/>
          <w:i w:val="0"/>
          <w:iCs w:val="0"/>
          <w:sz w:val="24"/>
          <w:szCs w:val="24"/>
          <w:lang w:val="en-US" w:eastAsia="zh-CN"/>
        </w:rPr>
        <w:t>L.</w:t>
      </w:r>
      <w:r>
        <w:rPr>
          <w:rFonts w:hint="eastAsia" w:ascii="Calibri" w:hAnsi="Calibri" w:eastAsia="宋体" w:cs="Times New Roman"/>
          <w:sz w:val="24"/>
          <w:szCs w:val="24"/>
        </w:rPr>
        <w:t>]又叫旱伞草、水竹、伞草、水棕竹、风车草等，是莎草科莎草属植物，</w:t>
      </w:r>
      <w:r>
        <w:rPr>
          <w:rFonts w:hint="eastAsia" w:ascii="Calibri" w:hAnsi="Calibri" w:eastAsia="宋体" w:cs="Times New Roman"/>
          <w:sz w:val="24"/>
          <w:szCs w:val="24"/>
          <w:lang w:val="en-US" w:eastAsia="zh-CN"/>
        </w:rPr>
        <w:t>为</w:t>
      </w:r>
      <w:r>
        <w:rPr>
          <w:rFonts w:hint="eastAsia" w:ascii="Calibri" w:hAnsi="Calibri" w:eastAsia="宋体" w:cs="Times New Roman"/>
          <w:sz w:val="24"/>
          <w:szCs w:val="24"/>
        </w:rPr>
        <w:t>生物量最大的挺水植物之一</w:t>
      </w:r>
      <w:r>
        <w:rPr>
          <w:rFonts w:hint="eastAsia" w:ascii="Calibri" w:hAnsi="Calibri" w:eastAsia="宋体" w:cs="Times New Roman"/>
          <w:sz w:val="24"/>
          <w:szCs w:val="24"/>
          <w:lang w:eastAsia="zh-CN"/>
        </w:rPr>
        <w:t>。纸莎草原产于尼罗河三角洲地区，是古埃及文明的重要组成部分。</w:t>
      </w:r>
      <w:r>
        <w:rPr>
          <w:rFonts w:hint="eastAsia" w:ascii="Calibri" w:hAnsi="Calibri" w:eastAsia="宋体" w:cs="Times New Roman"/>
          <w:sz w:val="24"/>
          <w:szCs w:val="24"/>
          <w:lang w:val="en-US" w:eastAsia="zh-CN"/>
        </w:rPr>
        <w:t>因其茎部富有纤维，公元</w:t>
      </w:r>
      <w:r>
        <w:rPr>
          <w:rFonts w:hint="default" w:ascii="Times New Roman" w:hAnsi="Times New Roman"/>
          <w:sz w:val="24"/>
          <w:lang w:val="en-US" w:eastAsia="zh-CN"/>
        </w:rPr>
        <w:t>8</w:t>
      </w:r>
      <w:r>
        <w:rPr>
          <w:rFonts w:hint="eastAsia" w:ascii="Calibri" w:hAnsi="Calibri" w:eastAsia="宋体" w:cs="Times New Roman"/>
          <w:sz w:val="24"/>
          <w:szCs w:val="24"/>
          <w:lang w:val="en-US" w:eastAsia="zh-CN"/>
        </w:rPr>
        <w:t>世纪前被用于造纸。纸莎草叶的形状姿态优美，茎具白色纵条纹，绿白相间，极具观赏价值，是一种常见的切叶材料，同时也是重要的水体景观植物。纸莎草富含倍半萜 、甾体和脂肪酸等活性成分，具有抗血小板聚集、抗癌、抗炎、神经保护、预防心脑血管疾病等方面的药理活性。研究表明，纸莎草能很好地去除污水中的N、P、DOM等，对氨态氮和硝态氮均有较高的吸收率，同时还能显著降低鱼塘的水体温度、pH，因而也常常用于净化水质，处理污水及。研究指出，纸莎草具有有效吸附重金属的作用，广东省和海南省许多工地都种植该草来净化水质，降低水中的重金属含量。因而，纸莎草集药用、观赏和净化水体多功能于一体，随着近些年对湿地水生植物研究越来越多，纸莎草需求也越来越大，在工业、农业、养殖业、医学等领域产业均有较大的发展前景。</w:t>
      </w:r>
    </w:p>
    <w:p w14:paraId="45999BFB">
      <w:pPr>
        <w:spacing w:line="360" w:lineRule="auto"/>
        <w:ind w:firstLine="480" w:firstLineChars="200"/>
        <w:rPr>
          <w:rFonts w:hint="eastAsia" w:ascii="Calibri" w:hAnsi="Calibri" w:eastAsia="宋体" w:cs="Times New Roman"/>
          <w:sz w:val="24"/>
          <w:szCs w:val="24"/>
          <w:lang w:val="en-US" w:eastAsia="zh-CN"/>
        </w:rPr>
      </w:pPr>
      <w:r>
        <w:rPr>
          <w:rFonts w:hint="default" w:ascii="Calibri" w:hAnsi="Calibri" w:eastAsia="宋体" w:cs="Times New Roman"/>
          <w:sz w:val="24"/>
          <w:szCs w:val="24"/>
          <w:lang w:val="en-US" w:eastAsia="zh-CN"/>
        </w:rPr>
        <w:t>莎草科植物全世界有80个属，4000个种，</w:t>
      </w:r>
      <w:r>
        <w:rPr>
          <w:rFonts w:hint="eastAsia" w:ascii="Calibri" w:hAnsi="Calibri" w:eastAsia="宋体" w:cs="Times New Roman"/>
          <w:sz w:val="24"/>
          <w:szCs w:val="24"/>
          <w:lang w:val="en-US" w:eastAsia="zh-CN"/>
        </w:rPr>
        <w:t>其中</w:t>
      </w:r>
      <w:r>
        <w:rPr>
          <w:rFonts w:hint="default" w:ascii="Calibri" w:hAnsi="Calibri" w:eastAsia="宋体" w:cs="Times New Roman"/>
          <w:sz w:val="24"/>
          <w:szCs w:val="24"/>
          <w:lang w:val="en-US" w:eastAsia="zh-CN"/>
        </w:rPr>
        <w:t>中国有31个属，670个种。现今</w:t>
      </w:r>
      <w:r>
        <w:rPr>
          <w:rFonts w:hint="eastAsia" w:ascii="Calibri" w:hAnsi="Calibri" w:eastAsia="宋体" w:cs="Times New Roman"/>
          <w:sz w:val="24"/>
          <w:szCs w:val="24"/>
          <w:lang w:val="en-US" w:eastAsia="zh-CN"/>
        </w:rPr>
        <w:t>纸莎草</w:t>
      </w:r>
      <w:r>
        <w:rPr>
          <w:rFonts w:hint="default" w:ascii="Calibri" w:hAnsi="Calibri" w:eastAsia="宋体" w:cs="Times New Roman"/>
          <w:sz w:val="24"/>
          <w:szCs w:val="24"/>
          <w:lang w:val="en-US" w:eastAsia="zh-CN"/>
        </w:rPr>
        <w:t>野生分布</w:t>
      </w:r>
      <w:r>
        <w:rPr>
          <w:rFonts w:hint="eastAsia" w:ascii="Calibri" w:hAnsi="Calibri" w:eastAsia="宋体" w:cs="Times New Roman"/>
          <w:sz w:val="24"/>
          <w:szCs w:val="24"/>
          <w:lang w:val="en-US" w:eastAsia="zh-CN"/>
        </w:rPr>
        <w:t>主要</w:t>
      </w:r>
      <w:r>
        <w:rPr>
          <w:rFonts w:hint="default" w:ascii="Calibri" w:hAnsi="Calibri" w:eastAsia="宋体" w:cs="Times New Roman"/>
          <w:sz w:val="24"/>
          <w:szCs w:val="24"/>
          <w:lang w:val="en-US" w:eastAsia="zh-CN"/>
        </w:rPr>
        <w:t>存在于刚果、马达加斯加岛、乌干达、埃塞俄比亚和西西里岛。在我国主要分布在广东、广西、海南、云南、浙江等地区。海南海口、文昌、琼中、保亭等地有分布。</w:t>
      </w:r>
      <w:r>
        <w:rPr>
          <w:rFonts w:hint="eastAsia" w:ascii="Calibri" w:hAnsi="Calibri" w:eastAsia="宋体" w:cs="Times New Roman"/>
          <w:sz w:val="24"/>
          <w:szCs w:val="24"/>
          <w:lang w:val="en-US" w:eastAsia="zh-CN"/>
        </w:rPr>
        <w:t>随着“绿水青山就是金山银山”理念逐渐深入民心，以及海南自由贸易港的稳步建设，纸莎草在净化水质以及湿地景观方面的作用越来越突出。中国热带农业科学院和</w:t>
      </w:r>
      <w:bookmarkStart w:id="0" w:name="OLE_LINK1"/>
      <w:r>
        <w:rPr>
          <w:rFonts w:hint="eastAsia" w:ascii="Calibri" w:hAnsi="Calibri" w:eastAsia="宋体" w:cs="Times New Roman"/>
          <w:sz w:val="24"/>
          <w:szCs w:val="24"/>
          <w:lang w:val="en-US" w:eastAsia="zh-CN"/>
        </w:rPr>
        <w:t>佛山市高明区田园水生植物</w:t>
      </w:r>
      <w:bookmarkEnd w:id="0"/>
      <w:r>
        <w:rPr>
          <w:rFonts w:hint="eastAsia" w:ascii="Calibri" w:hAnsi="Calibri" w:eastAsia="宋体" w:cs="Times New Roman"/>
          <w:sz w:val="24"/>
          <w:szCs w:val="24"/>
          <w:lang w:val="en-US" w:eastAsia="zh-CN"/>
        </w:rPr>
        <w:t>场前期对纸莎草的种苗培育、栽培管理技术以及生产推广方面做了大量研究工作，并取得了可推广的技术成果。</w:t>
      </w:r>
    </w:p>
    <w:p w14:paraId="178B0D2D">
      <w:pPr>
        <w:spacing w:line="360" w:lineRule="auto"/>
        <w:ind w:firstLine="480" w:firstLineChars="200"/>
        <w:rPr>
          <w:rFonts w:ascii="Calibri" w:hAnsi="Calibri" w:eastAsia="宋体" w:cs="Times New Roman"/>
          <w:sz w:val="24"/>
          <w:szCs w:val="24"/>
        </w:rPr>
      </w:pPr>
      <w:r>
        <w:rPr>
          <w:rFonts w:hint="default" w:ascii="Calibri" w:hAnsi="Calibri" w:eastAsia="宋体" w:cs="Times New Roman"/>
          <w:sz w:val="24"/>
          <w:szCs w:val="24"/>
          <w:lang w:val="en-US" w:eastAsia="zh-CN"/>
        </w:rPr>
        <w:t>随着我国提出“建设社会主义新农村、美丽乡村”这些概念，农村的建设问题被提上日程，我国农业种植使用大量的农药、化肥等化学用品，这些用品中含有大量的Ｎ和Ｐ等富营养化物质，通过灌溉的形式便会产生大量的农田污水，这些污染物会对周边的土壤、植被、河流、湖泊、地下水等造成污染和破坏。</w:t>
      </w:r>
      <w:r>
        <w:rPr>
          <w:rFonts w:hint="eastAsia" w:ascii="Calibri" w:hAnsi="Calibri" w:eastAsia="宋体" w:cs="Times New Roman"/>
          <w:sz w:val="24"/>
          <w:szCs w:val="24"/>
          <w:lang w:val="en-US" w:eastAsia="zh-CN"/>
        </w:rPr>
        <w:t>海南作为国家重要的南繁育种基地，保持良好的生态环境至关重要。2019年，在全国保护环境大力推进的背景下，海南省颁布了《海南省湿地保护条例》，旨在加强湿地保护，促进生态平衡和可持续发展。纸莎草突出的观赏价值和净化水质的功能将在湿地保护中发挥着越来越重要的角色，纸莎草产业也将得到突破性的发展。综上，纸莎草种苗及相关培育技术的地方标准的制定意义重大。</w:t>
      </w:r>
    </w:p>
    <w:p w14:paraId="5B97CAC2">
      <w:pPr>
        <w:spacing w:line="360" w:lineRule="auto"/>
        <w:ind w:firstLine="482" w:firstLineChars="200"/>
        <w:rPr>
          <w:b/>
          <w:sz w:val="24"/>
          <w:szCs w:val="24"/>
        </w:rPr>
      </w:pPr>
      <w:r>
        <w:rPr>
          <w:rFonts w:hint="eastAsia"/>
          <w:b/>
          <w:sz w:val="24"/>
          <w:szCs w:val="24"/>
        </w:rPr>
        <w:t>1.3协作单位</w:t>
      </w:r>
    </w:p>
    <w:p w14:paraId="702B5160">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本文件起草单位为农业农村部热带作物种子种苗质量监督检验测试中心，现挂靠中国热带农业科学院依托其下属的热带作物品种资源研究所。协作单位为</w:t>
      </w:r>
      <w:bookmarkStart w:id="1" w:name="OLE_LINK2"/>
      <w:r>
        <w:rPr>
          <w:rFonts w:hint="eastAsia" w:ascii="Calibri" w:hAnsi="Calibri" w:eastAsia="宋体" w:cs="Times New Roman"/>
          <w:sz w:val="24"/>
          <w:szCs w:val="24"/>
        </w:rPr>
        <w:t>佛山市高明区田园水生植物</w:t>
      </w:r>
      <w:r>
        <w:rPr>
          <w:rFonts w:hint="eastAsia" w:ascii="Calibri" w:hAnsi="Calibri" w:eastAsia="宋体" w:cs="Times New Roman"/>
          <w:sz w:val="24"/>
          <w:szCs w:val="24"/>
          <w:lang w:val="en-US" w:eastAsia="zh-CN"/>
        </w:rPr>
        <w:t>场</w:t>
      </w:r>
      <w:bookmarkEnd w:id="1"/>
      <w:r>
        <w:rPr>
          <w:rFonts w:hint="eastAsia" w:ascii="Calibri" w:hAnsi="Calibri" w:eastAsia="宋体" w:cs="Times New Roman"/>
          <w:sz w:val="24"/>
          <w:szCs w:val="24"/>
          <w:lang w:val="en-US" w:eastAsia="zh-CN"/>
        </w:rPr>
        <w:t>，</w:t>
      </w:r>
      <w:r>
        <w:rPr>
          <w:rFonts w:hint="eastAsia" w:ascii="Calibri" w:hAnsi="Calibri" w:eastAsia="宋体" w:cs="Times New Roman"/>
          <w:sz w:val="24"/>
          <w:szCs w:val="24"/>
        </w:rPr>
        <w:t>主要提供所需检测材料及相关技术咨询。</w:t>
      </w:r>
    </w:p>
    <w:p w14:paraId="387FF0F1">
      <w:pPr>
        <w:spacing w:line="360" w:lineRule="auto"/>
        <w:ind w:firstLine="482" w:firstLineChars="200"/>
        <w:rPr>
          <w:b/>
          <w:sz w:val="24"/>
          <w:szCs w:val="24"/>
        </w:rPr>
      </w:pPr>
      <w:r>
        <w:rPr>
          <w:rFonts w:hint="eastAsia"/>
          <w:b/>
          <w:sz w:val="24"/>
          <w:szCs w:val="24"/>
        </w:rPr>
        <w:t>1.4主要工作过程</w:t>
      </w:r>
    </w:p>
    <w:p w14:paraId="63B24B59">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项目承担单位在标准制定过程中，主要完成了以下工作任务：</w:t>
      </w:r>
    </w:p>
    <w:p w14:paraId="5EF9C702">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1.4.1 成立标准起草小组</w:t>
      </w:r>
    </w:p>
    <w:p w14:paraId="7AB3F53A">
      <w:pPr>
        <w:spacing w:line="360" w:lineRule="auto"/>
        <w:ind w:firstLine="555"/>
        <w:rPr>
          <w:rFonts w:hint="eastAsia" w:ascii="Calibri" w:hAnsi="Calibri" w:eastAsia="宋体" w:cs="Times New Roman"/>
          <w:sz w:val="24"/>
          <w:szCs w:val="24"/>
        </w:rPr>
      </w:pPr>
      <w:r>
        <w:rPr>
          <w:rFonts w:hint="eastAsia" w:ascii="Calibri" w:hAnsi="Calibri" w:eastAsia="宋体" w:cs="Times New Roman"/>
          <w:sz w:val="24"/>
          <w:szCs w:val="24"/>
        </w:rPr>
        <w:t>成立标准起草工作小组，组长为项目负责人，主要参与起草人7人，并进行任务分工（详见表1），以保证标准顺利起草完成。</w:t>
      </w:r>
    </w:p>
    <w:p w14:paraId="688933FE">
      <w:pPr>
        <w:spacing w:line="560" w:lineRule="exact"/>
        <w:ind w:firstLine="555"/>
        <w:jc w:val="center"/>
        <w:rPr>
          <w:rFonts w:cs="Times New Roman" w:asciiTheme="minorEastAsia" w:hAnsiTheme="minorEastAsia"/>
          <w:b/>
          <w:sz w:val="24"/>
          <w:szCs w:val="24"/>
        </w:rPr>
      </w:pPr>
      <w:r>
        <w:rPr>
          <w:rFonts w:hint="eastAsia" w:cs="Times New Roman" w:asciiTheme="minorEastAsia" w:hAnsiTheme="minorEastAsia"/>
          <w:b/>
          <w:sz w:val="24"/>
          <w:szCs w:val="24"/>
        </w:rPr>
        <w:t>表1  标准主要起草人员</w:t>
      </w:r>
    </w:p>
    <w:tbl>
      <w:tblPr>
        <w:tblStyle w:val="6"/>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855"/>
        <w:gridCol w:w="1291"/>
        <w:gridCol w:w="927"/>
        <w:gridCol w:w="2667"/>
        <w:gridCol w:w="2348"/>
      </w:tblGrid>
      <w:tr w14:paraId="0BE3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738" w:type="dxa"/>
            <w:shd w:val="clear" w:color="auto" w:fill="auto"/>
            <w:vAlign w:val="center"/>
          </w:tcPr>
          <w:p w14:paraId="23BF79B6">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序号</w:t>
            </w:r>
          </w:p>
        </w:tc>
        <w:tc>
          <w:tcPr>
            <w:tcW w:w="855" w:type="dxa"/>
            <w:shd w:val="clear" w:color="auto" w:fill="auto"/>
            <w:vAlign w:val="center"/>
          </w:tcPr>
          <w:p w14:paraId="5DAC2470">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姓名</w:t>
            </w:r>
          </w:p>
        </w:tc>
        <w:tc>
          <w:tcPr>
            <w:tcW w:w="1291" w:type="dxa"/>
            <w:shd w:val="clear" w:color="auto" w:fill="auto"/>
            <w:vAlign w:val="center"/>
          </w:tcPr>
          <w:p w14:paraId="41AE0184">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职称</w:t>
            </w:r>
          </w:p>
        </w:tc>
        <w:tc>
          <w:tcPr>
            <w:tcW w:w="927" w:type="dxa"/>
            <w:shd w:val="clear" w:color="auto" w:fill="auto"/>
            <w:vAlign w:val="center"/>
          </w:tcPr>
          <w:p w14:paraId="1AC319C5">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学位</w:t>
            </w:r>
          </w:p>
        </w:tc>
        <w:tc>
          <w:tcPr>
            <w:tcW w:w="2667" w:type="dxa"/>
            <w:shd w:val="clear" w:color="auto" w:fill="auto"/>
            <w:vAlign w:val="center"/>
          </w:tcPr>
          <w:p w14:paraId="321772A0">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所在单位</w:t>
            </w:r>
          </w:p>
        </w:tc>
        <w:tc>
          <w:tcPr>
            <w:tcW w:w="2348" w:type="dxa"/>
            <w:shd w:val="clear" w:color="auto" w:fill="auto"/>
            <w:vAlign w:val="center"/>
          </w:tcPr>
          <w:p w14:paraId="21611FF7">
            <w:pPr>
              <w:adjustRightInd w:val="0"/>
              <w:snapToGrid w:val="0"/>
              <w:jc w:val="center"/>
              <w:rPr>
                <w:rFonts w:cs="Times New Roman" w:asciiTheme="minorEastAsia" w:hAnsiTheme="minorEastAsia"/>
                <w:color w:val="000000"/>
                <w:szCs w:val="21"/>
              </w:rPr>
            </w:pPr>
            <w:r>
              <w:rPr>
                <w:rFonts w:cs="Times New Roman" w:asciiTheme="minorEastAsia" w:hAnsiTheme="minorEastAsia"/>
                <w:color w:val="000000"/>
                <w:szCs w:val="21"/>
              </w:rPr>
              <w:t>任务分工</w:t>
            </w:r>
          </w:p>
        </w:tc>
      </w:tr>
      <w:tr w14:paraId="7A48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8" w:type="dxa"/>
            <w:shd w:val="clear" w:color="auto" w:fill="auto"/>
            <w:vAlign w:val="center"/>
          </w:tcPr>
          <w:p w14:paraId="70BC3129">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1</w:t>
            </w:r>
          </w:p>
        </w:tc>
        <w:tc>
          <w:tcPr>
            <w:tcW w:w="855" w:type="dxa"/>
            <w:shd w:val="clear" w:color="auto" w:fill="auto"/>
            <w:vAlign w:val="center"/>
          </w:tcPr>
          <w:p w14:paraId="18D647EB">
            <w:pPr>
              <w:adjustRightInd w:val="0"/>
              <w:snapToGrid w:val="0"/>
              <w:jc w:val="center"/>
              <w:rPr>
                <w:rFonts w:hint="default" w:cs="Times New Roman" w:asciiTheme="minorEastAsia" w:hAnsiTheme="minorEastAsia"/>
                <w:color w:val="000000"/>
                <w:szCs w:val="21"/>
              </w:rPr>
            </w:pPr>
            <w:r>
              <w:rPr>
                <w:rFonts w:hint="default" w:cs="Times New Roman" w:asciiTheme="minorEastAsia" w:hAnsiTheme="minorEastAsia"/>
                <w:color w:val="000000"/>
                <w:szCs w:val="21"/>
              </w:rPr>
              <w:t>陈  媚</w:t>
            </w:r>
          </w:p>
        </w:tc>
        <w:tc>
          <w:tcPr>
            <w:tcW w:w="1291" w:type="dxa"/>
            <w:shd w:val="clear" w:color="auto" w:fill="auto"/>
            <w:vAlign w:val="center"/>
          </w:tcPr>
          <w:p w14:paraId="7EBB2172">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助理</w:t>
            </w:r>
            <w:r>
              <w:rPr>
                <w:rFonts w:hint="eastAsia" w:cs="Times New Roman" w:asciiTheme="minorEastAsia" w:hAnsiTheme="minorEastAsia"/>
                <w:color w:val="000000"/>
                <w:szCs w:val="21"/>
              </w:rPr>
              <w:t>研究员</w:t>
            </w:r>
          </w:p>
        </w:tc>
        <w:tc>
          <w:tcPr>
            <w:tcW w:w="927" w:type="dxa"/>
            <w:shd w:val="clear" w:color="auto" w:fill="auto"/>
            <w:vAlign w:val="center"/>
          </w:tcPr>
          <w:p w14:paraId="7219BF26">
            <w:pPr>
              <w:adjustRightInd w:val="0"/>
              <w:snapToGrid w:val="0"/>
              <w:jc w:val="center"/>
              <w:rPr>
                <w:rFonts w:hint="eastAsia" w:cs="Times New Roman" w:asciiTheme="minorEastAsia" w:hAnsiTheme="minorEastAsia" w:eastAsiaTheme="minorEastAsia"/>
                <w:color w:val="000000"/>
                <w:szCs w:val="21"/>
                <w:lang w:eastAsia="zh-CN"/>
              </w:rPr>
            </w:pPr>
            <w:r>
              <w:rPr>
                <w:rFonts w:hint="eastAsia" w:cs="Times New Roman" w:asciiTheme="minorEastAsia" w:hAnsiTheme="minorEastAsia"/>
                <w:color w:val="000000"/>
                <w:szCs w:val="21"/>
                <w:lang w:val="en-US" w:eastAsia="zh-CN"/>
              </w:rPr>
              <w:t>学士</w:t>
            </w:r>
          </w:p>
        </w:tc>
        <w:tc>
          <w:tcPr>
            <w:tcW w:w="2667" w:type="dxa"/>
            <w:shd w:val="clear" w:color="auto" w:fill="auto"/>
            <w:vAlign w:val="center"/>
          </w:tcPr>
          <w:p w14:paraId="334EB58A">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065F9AD5">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组织、协调、标准起草</w:t>
            </w:r>
          </w:p>
        </w:tc>
      </w:tr>
      <w:tr w14:paraId="14B9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14:paraId="431D3468">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2</w:t>
            </w:r>
          </w:p>
        </w:tc>
        <w:tc>
          <w:tcPr>
            <w:tcW w:w="855" w:type="dxa"/>
            <w:shd w:val="clear" w:color="auto" w:fill="auto"/>
            <w:vAlign w:val="center"/>
          </w:tcPr>
          <w:p w14:paraId="62A809CF">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张如莲</w:t>
            </w:r>
          </w:p>
        </w:tc>
        <w:tc>
          <w:tcPr>
            <w:tcW w:w="1291" w:type="dxa"/>
            <w:shd w:val="clear" w:color="auto" w:fill="auto"/>
            <w:vAlign w:val="center"/>
          </w:tcPr>
          <w:p w14:paraId="6192AB64">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研究员</w:t>
            </w:r>
          </w:p>
        </w:tc>
        <w:tc>
          <w:tcPr>
            <w:tcW w:w="927" w:type="dxa"/>
            <w:shd w:val="clear" w:color="auto" w:fill="auto"/>
            <w:vAlign w:val="center"/>
          </w:tcPr>
          <w:p w14:paraId="411663AF">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2A080D81">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3E12139E">
            <w:pPr>
              <w:adjustRightInd w:val="0"/>
              <w:snapToGrid w:val="0"/>
              <w:jc w:val="left"/>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技术指导</w:t>
            </w:r>
          </w:p>
        </w:tc>
      </w:tr>
      <w:tr w14:paraId="4A39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14:paraId="5BCD6E17">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3</w:t>
            </w:r>
          </w:p>
        </w:tc>
        <w:tc>
          <w:tcPr>
            <w:tcW w:w="855" w:type="dxa"/>
            <w:shd w:val="clear" w:color="auto" w:fill="auto"/>
            <w:vAlign w:val="center"/>
          </w:tcPr>
          <w:p w14:paraId="58D2021E">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刘迪发</w:t>
            </w:r>
          </w:p>
        </w:tc>
        <w:tc>
          <w:tcPr>
            <w:tcW w:w="1291" w:type="dxa"/>
            <w:shd w:val="clear" w:color="auto" w:fill="auto"/>
            <w:vAlign w:val="center"/>
          </w:tcPr>
          <w:p w14:paraId="342BDEEB">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副研究员</w:t>
            </w:r>
          </w:p>
        </w:tc>
        <w:tc>
          <w:tcPr>
            <w:tcW w:w="927" w:type="dxa"/>
            <w:shd w:val="clear" w:color="auto" w:fill="auto"/>
            <w:vAlign w:val="center"/>
          </w:tcPr>
          <w:p w14:paraId="1A3B8F58">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6594972B">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6556035A">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种苗检测</w:t>
            </w:r>
          </w:p>
        </w:tc>
      </w:tr>
      <w:tr w14:paraId="56AB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8" w:type="dxa"/>
            <w:shd w:val="clear" w:color="auto" w:fill="auto"/>
            <w:vAlign w:val="center"/>
          </w:tcPr>
          <w:p w14:paraId="72FF1508">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4</w:t>
            </w:r>
          </w:p>
        </w:tc>
        <w:tc>
          <w:tcPr>
            <w:tcW w:w="855" w:type="dxa"/>
            <w:shd w:val="clear" w:color="auto" w:fill="auto"/>
            <w:vAlign w:val="center"/>
          </w:tcPr>
          <w:p w14:paraId="0AC81ACF">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徐 丽</w:t>
            </w:r>
          </w:p>
        </w:tc>
        <w:tc>
          <w:tcPr>
            <w:tcW w:w="1291" w:type="dxa"/>
            <w:shd w:val="clear" w:color="auto" w:fill="auto"/>
            <w:vAlign w:val="center"/>
          </w:tcPr>
          <w:p w14:paraId="60A38A4E">
            <w:pPr>
              <w:adjustRightInd w:val="0"/>
              <w:snapToGrid w:val="0"/>
              <w:jc w:val="center"/>
              <w:rPr>
                <w:rFonts w:cs="Times New Roman" w:asciiTheme="minorEastAsia" w:hAnsiTheme="minorEastAsia"/>
                <w:color w:val="000000"/>
                <w:szCs w:val="21"/>
              </w:rPr>
            </w:pPr>
            <w:bookmarkStart w:id="2" w:name="OLE_LINK6"/>
            <w:r>
              <w:rPr>
                <w:rFonts w:hint="eastAsia" w:cs="Times New Roman" w:asciiTheme="minorEastAsia" w:hAnsiTheme="minorEastAsia"/>
                <w:color w:val="000000"/>
                <w:szCs w:val="21"/>
                <w:lang w:val="en-US" w:eastAsia="zh-CN"/>
              </w:rPr>
              <w:t>副研究员</w:t>
            </w:r>
            <w:bookmarkEnd w:id="2"/>
          </w:p>
        </w:tc>
        <w:tc>
          <w:tcPr>
            <w:tcW w:w="927" w:type="dxa"/>
            <w:shd w:val="clear" w:color="auto" w:fill="auto"/>
            <w:vAlign w:val="center"/>
          </w:tcPr>
          <w:p w14:paraId="356AD9C1">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3922F233">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2403F2B9">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资料收集整理</w:t>
            </w:r>
          </w:p>
        </w:tc>
      </w:tr>
      <w:tr w14:paraId="7450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dxa"/>
            <w:shd w:val="clear" w:color="auto" w:fill="auto"/>
            <w:vAlign w:val="center"/>
          </w:tcPr>
          <w:p w14:paraId="63CDC23D">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5</w:t>
            </w:r>
          </w:p>
        </w:tc>
        <w:tc>
          <w:tcPr>
            <w:tcW w:w="855" w:type="dxa"/>
            <w:shd w:val="clear" w:color="auto" w:fill="auto"/>
            <w:vAlign w:val="center"/>
          </w:tcPr>
          <w:p w14:paraId="3F3206E1">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符贵春</w:t>
            </w:r>
          </w:p>
        </w:tc>
        <w:tc>
          <w:tcPr>
            <w:tcW w:w="1291" w:type="dxa"/>
            <w:shd w:val="clear" w:color="auto" w:fill="auto"/>
            <w:vAlign w:val="center"/>
          </w:tcPr>
          <w:p w14:paraId="0C47528E">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研究实习员</w:t>
            </w:r>
          </w:p>
        </w:tc>
        <w:tc>
          <w:tcPr>
            <w:tcW w:w="927" w:type="dxa"/>
            <w:shd w:val="clear" w:color="auto" w:fill="auto"/>
            <w:vAlign w:val="center"/>
          </w:tcPr>
          <w:p w14:paraId="6AB398FB">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学士</w:t>
            </w:r>
          </w:p>
        </w:tc>
        <w:tc>
          <w:tcPr>
            <w:tcW w:w="2667" w:type="dxa"/>
            <w:shd w:val="clear" w:color="auto" w:fill="auto"/>
            <w:vAlign w:val="center"/>
          </w:tcPr>
          <w:p w14:paraId="7A99C20E">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030A02E0">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种苗检测</w:t>
            </w:r>
          </w:p>
        </w:tc>
      </w:tr>
      <w:tr w14:paraId="47F9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8" w:type="dxa"/>
            <w:shd w:val="clear" w:color="auto" w:fill="auto"/>
            <w:vAlign w:val="center"/>
          </w:tcPr>
          <w:p w14:paraId="0CFBB3A7">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6</w:t>
            </w:r>
          </w:p>
        </w:tc>
        <w:tc>
          <w:tcPr>
            <w:tcW w:w="855" w:type="dxa"/>
            <w:shd w:val="clear" w:color="auto" w:fill="auto"/>
            <w:vAlign w:val="center"/>
          </w:tcPr>
          <w:p w14:paraId="06A1EFB9">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高  玲</w:t>
            </w:r>
          </w:p>
        </w:tc>
        <w:tc>
          <w:tcPr>
            <w:tcW w:w="1291" w:type="dxa"/>
            <w:shd w:val="clear" w:color="auto" w:fill="auto"/>
            <w:vAlign w:val="center"/>
          </w:tcPr>
          <w:p w14:paraId="1B4DA7CC">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副研究员</w:t>
            </w:r>
          </w:p>
        </w:tc>
        <w:tc>
          <w:tcPr>
            <w:tcW w:w="927" w:type="dxa"/>
            <w:shd w:val="clear" w:color="auto" w:fill="auto"/>
            <w:vAlign w:val="center"/>
          </w:tcPr>
          <w:p w14:paraId="2C06673F">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硕士</w:t>
            </w:r>
          </w:p>
        </w:tc>
        <w:tc>
          <w:tcPr>
            <w:tcW w:w="2667" w:type="dxa"/>
            <w:shd w:val="clear" w:color="auto" w:fill="auto"/>
            <w:vAlign w:val="center"/>
          </w:tcPr>
          <w:p w14:paraId="4A4C6D28">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热带作物品种资源研究所</w:t>
            </w:r>
          </w:p>
        </w:tc>
        <w:tc>
          <w:tcPr>
            <w:tcW w:w="2348" w:type="dxa"/>
            <w:shd w:val="clear" w:color="auto" w:fill="auto"/>
            <w:vAlign w:val="center"/>
          </w:tcPr>
          <w:p w14:paraId="46096A84">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rPr>
              <w:t>种苗检测与数据整理</w:t>
            </w:r>
          </w:p>
        </w:tc>
      </w:tr>
      <w:tr w14:paraId="75AD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8" w:type="dxa"/>
            <w:shd w:val="clear" w:color="auto" w:fill="auto"/>
            <w:vAlign w:val="center"/>
          </w:tcPr>
          <w:p w14:paraId="2A27EFAD">
            <w:pPr>
              <w:adjustRightInd w:val="0"/>
              <w:snapToGrid w:val="0"/>
              <w:jc w:val="center"/>
              <w:rPr>
                <w:rFonts w:cs="Times New Roman" w:asciiTheme="minorEastAsia" w:hAnsiTheme="minorEastAsia"/>
                <w:color w:val="000000"/>
                <w:szCs w:val="21"/>
              </w:rPr>
            </w:pPr>
            <w:r>
              <w:rPr>
                <w:rFonts w:hint="eastAsia" w:cs="Times New Roman" w:asciiTheme="minorEastAsia" w:hAnsiTheme="minorEastAsia"/>
                <w:color w:val="000000"/>
                <w:szCs w:val="21"/>
              </w:rPr>
              <w:t>7</w:t>
            </w:r>
          </w:p>
        </w:tc>
        <w:tc>
          <w:tcPr>
            <w:tcW w:w="855" w:type="dxa"/>
            <w:shd w:val="clear" w:color="auto" w:fill="auto"/>
            <w:vAlign w:val="center"/>
          </w:tcPr>
          <w:p w14:paraId="5538CB1E">
            <w:pPr>
              <w:adjustRightInd w:val="0"/>
              <w:snapToGrid w:val="0"/>
              <w:jc w:val="center"/>
              <w:rPr>
                <w:rFonts w:cs="Times New Roman" w:asciiTheme="minorEastAsia" w:hAnsiTheme="minorEastAsia"/>
                <w:color w:val="000000"/>
                <w:szCs w:val="21"/>
              </w:rPr>
            </w:pPr>
            <w:r>
              <w:rPr>
                <w:rFonts w:hint="eastAsia" w:ascii="宋体" w:hAnsi="宋体"/>
                <w:highlight w:val="none"/>
                <w:lang w:val="en-US" w:eastAsia="zh-CN"/>
              </w:rPr>
              <w:t>梁康华</w:t>
            </w:r>
          </w:p>
        </w:tc>
        <w:tc>
          <w:tcPr>
            <w:tcW w:w="1291" w:type="dxa"/>
            <w:shd w:val="clear" w:color="auto" w:fill="auto"/>
            <w:vAlign w:val="center"/>
          </w:tcPr>
          <w:p w14:paraId="67AB9C43">
            <w:pPr>
              <w:adjustRightInd w:val="0"/>
              <w:snapToGrid w:val="0"/>
              <w:jc w:val="center"/>
              <w:rPr>
                <w:rFonts w:hint="default"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总经理</w:t>
            </w:r>
          </w:p>
        </w:tc>
        <w:tc>
          <w:tcPr>
            <w:tcW w:w="927" w:type="dxa"/>
            <w:shd w:val="clear" w:color="auto" w:fill="auto"/>
            <w:vAlign w:val="center"/>
          </w:tcPr>
          <w:p w14:paraId="7B133795">
            <w:pPr>
              <w:adjustRightInd w:val="0"/>
              <w:snapToGrid w:val="0"/>
              <w:jc w:val="center"/>
              <w:rPr>
                <w:rFonts w:hint="eastAsia" w:cs="Times New Roman" w:asciiTheme="minorEastAsia" w:hAnsiTheme="minorEastAsia" w:eastAsiaTheme="minorEastAsia"/>
                <w:color w:val="000000"/>
                <w:szCs w:val="21"/>
                <w:lang w:val="en-US" w:eastAsia="zh-CN"/>
              </w:rPr>
            </w:pPr>
            <w:r>
              <w:rPr>
                <w:rFonts w:hint="eastAsia" w:cs="Times New Roman" w:asciiTheme="minorEastAsia" w:hAnsiTheme="minorEastAsia"/>
                <w:color w:val="000000"/>
                <w:szCs w:val="21"/>
                <w:lang w:val="en-US" w:eastAsia="zh-CN"/>
              </w:rPr>
              <w:t>无</w:t>
            </w:r>
          </w:p>
        </w:tc>
        <w:tc>
          <w:tcPr>
            <w:tcW w:w="2667" w:type="dxa"/>
            <w:shd w:val="clear" w:color="auto" w:fill="auto"/>
            <w:vAlign w:val="center"/>
          </w:tcPr>
          <w:p w14:paraId="39285B2D">
            <w:pPr>
              <w:adjustRightInd w:val="0"/>
              <w:snapToGrid w:val="0"/>
              <w:jc w:val="left"/>
              <w:rPr>
                <w:rFonts w:cs="Times New Roman" w:asciiTheme="minorEastAsia" w:hAnsiTheme="minorEastAsia"/>
                <w:color w:val="000000"/>
                <w:szCs w:val="21"/>
              </w:rPr>
            </w:pPr>
            <w:r>
              <w:rPr>
                <w:rFonts w:hint="eastAsia" w:ascii="宋体" w:hAnsi="宋体"/>
                <w:highlight w:val="none"/>
                <w:lang w:val="en-US" w:eastAsia="zh-CN"/>
              </w:rPr>
              <w:t>佛山市高明区田园水生植物场</w:t>
            </w:r>
          </w:p>
        </w:tc>
        <w:tc>
          <w:tcPr>
            <w:tcW w:w="2348" w:type="dxa"/>
            <w:shd w:val="clear" w:color="auto" w:fill="auto"/>
            <w:vAlign w:val="center"/>
          </w:tcPr>
          <w:p w14:paraId="77ACBF38">
            <w:pPr>
              <w:adjustRightInd w:val="0"/>
              <w:snapToGrid w:val="0"/>
              <w:jc w:val="left"/>
              <w:rPr>
                <w:rFonts w:cs="Times New Roman" w:asciiTheme="minorEastAsia" w:hAnsiTheme="minorEastAsia"/>
                <w:color w:val="000000"/>
                <w:szCs w:val="21"/>
              </w:rPr>
            </w:pPr>
            <w:r>
              <w:rPr>
                <w:rFonts w:hint="eastAsia" w:cs="Times New Roman" w:asciiTheme="minorEastAsia" w:hAnsiTheme="minorEastAsia"/>
                <w:color w:val="000000"/>
                <w:szCs w:val="21"/>
                <w:lang w:val="en-US" w:eastAsia="zh-CN"/>
              </w:rPr>
              <w:t>种苗繁育、</w:t>
            </w:r>
            <w:r>
              <w:rPr>
                <w:rFonts w:hint="eastAsia" w:cs="Times New Roman" w:asciiTheme="minorEastAsia" w:hAnsiTheme="minorEastAsia"/>
                <w:color w:val="000000"/>
                <w:szCs w:val="21"/>
              </w:rPr>
              <w:t>技术咨询等</w:t>
            </w:r>
          </w:p>
        </w:tc>
      </w:tr>
    </w:tbl>
    <w:p w14:paraId="45342513">
      <w:pPr>
        <w:spacing w:line="360" w:lineRule="auto"/>
        <w:ind w:firstLine="480" w:firstLineChars="200"/>
        <w:rPr>
          <w:rFonts w:ascii="Calibri" w:hAnsi="Calibri" w:eastAsia="宋体" w:cs="Times New Roman"/>
          <w:sz w:val="24"/>
          <w:szCs w:val="24"/>
        </w:rPr>
      </w:pPr>
      <w:r>
        <w:rPr>
          <w:rFonts w:hint="eastAsia" w:ascii="Calibri" w:hAnsi="Calibri" w:eastAsia="宋体" w:cs="Times New Roman"/>
          <w:sz w:val="24"/>
          <w:szCs w:val="24"/>
        </w:rPr>
        <w:t>1.4.2 资料收集</w:t>
      </w:r>
    </w:p>
    <w:p w14:paraId="671D32B5">
      <w:pPr>
        <w:spacing w:line="360" w:lineRule="auto"/>
        <w:ind w:firstLine="555"/>
        <w:rPr>
          <w:rFonts w:hint="eastAsia" w:ascii="Calibri" w:hAnsi="Calibri" w:eastAsia="宋体" w:cs="Times New Roman"/>
          <w:sz w:val="24"/>
          <w:szCs w:val="24"/>
        </w:rPr>
      </w:pPr>
      <w:r>
        <w:rPr>
          <w:rFonts w:hint="eastAsia" w:ascii="Calibri" w:hAnsi="Calibri" w:eastAsia="宋体" w:cs="Times New Roman"/>
          <w:sz w:val="24"/>
          <w:szCs w:val="24"/>
          <w:lang w:val="en-US" w:eastAsia="zh-CN"/>
        </w:rPr>
        <w:t>通过收集、查阅相关文献、网站信息，收集国际上以及国内纸莎草引种、繁殖、适应性、价值以及产业发展现状和存在问题等方面的研究。探讨了种苗生产过程中的关键技术和注意事项。学习了关于标准编写的标准（</w:t>
      </w:r>
      <w:r>
        <w:rPr>
          <w:rFonts w:hint="eastAsia" w:ascii="Calibri" w:hAnsi="Calibri" w:eastAsia="宋体" w:cs="Times New Roman"/>
          <w:sz w:val="24"/>
          <w:szCs w:val="24"/>
        </w:rPr>
        <w:t>GB/T1.1-2020</w:t>
      </w:r>
      <w:r>
        <w:rPr>
          <w:rFonts w:hint="eastAsia" w:ascii="Calibri" w:hAnsi="Calibri" w:eastAsia="宋体" w:cs="Times New Roman"/>
          <w:sz w:val="24"/>
          <w:szCs w:val="24"/>
          <w:lang w:val="en-US" w:eastAsia="zh-CN"/>
        </w:rPr>
        <w:t>），查阅了相关农业质量标准网、海南省监督管理局网站，查阅并整理了关于国家标准、行业标准及地方标准的制定工作程序，为标准起草提供了参考，以符合标准起草格式的要求。</w:t>
      </w:r>
    </w:p>
    <w:p w14:paraId="287667AA">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1.4.3 实地调研</w:t>
      </w:r>
    </w:p>
    <w:p w14:paraId="5317EA79">
      <w:pPr>
        <w:spacing w:line="360" w:lineRule="auto"/>
        <w:ind w:firstLine="555"/>
        <w:rPr>
          <w:rFonts w:ascii="Calibri" w:hAnsi="Calibri" w:eastAsia="宋体" w:cs="Times New Roman"/>
          <w:sz w:val="24"/>
          <w:szCs w:val="24"/>
        </w:rPr>
      </w:pPr>
      <w:bookmarkStart w:id="3" w:name="OLE_LINK5"/>
      <w:r>
        <w:rPr>
          <w:rFonts w:hint="eastAsia" w:ascii="Calibri" w:hAnsi="Calibri" w:eastAsia="宋体" w:cs="Times New Roman"/>
          <w:sz w:val="24"/>
          <w:szCs w:val="24"/>
        </w:rPr>
        <w:t>于20</w:t>
      </w:r>
      <w:r>
        <w:rPr>
          <w:rFonts w:hint="eastAsia" w:ascii="Calibri" w:hAnsi="Calibri" w:eastAsia="宋体" w:cs="Times New Roman"/>
          <w:sz w:val="24"/>
          <w:szCs w:val="24"/>
          <w:lang w:val="en-US" w:eastAsia="zh-CN"/>
        </w:rPr>
        <w:t>21</w:t>
      </w:r>
      <w:r>
        <w:rPr>
          <w:rFonts w:hint="eastAsia" w:ascii="Calibri" w:hAnsi="Calibri" w:eastAsia="宋体" w:cs="Times New Roman"/>
          <w:sz w:val="24"/>
          <w:szCs w:val="24"/>
        </w:rPr>
        <w:t>~20</w:t>
      </w:r>
      <w:r>
        <w:rPr>
          <w:rFonts w:hint="eastAsia" w:ascii="Calibri" w:hAnsi="Calibri" w:eastAsia="宋体" w:cs="Times New Roman"/>
          <w:sz w:val="24"/>
          <w:szCs w:val="24"/>
          <w:lang w:val="en-US" w:eastAsia="zh-CN"/>
        </w:rPr>
        <w:t>23到</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前往</w:t>
      </w:r>
      <w:bookmarkStart w:id="4" w:name="OLE_LINK3"/>
      <w:r>
        <w:rPr>
          <w:rFonts w:hint="eastAsia" w:ascii="Calibri" w:hAnsi="Calibri" w:eastAsia="宋体" w:cs="Times New Roman"/>
          <w:sz w:val="24"/>
          <w:szCs w:val="24"/>
        </w:rPr>
        <w:t>佛山市高明区田园水生植物场</w:t>
      </w:r>
      <w:bookmarkEnd w:id="4"/>
      <w:r>
        <w:rPr>
          <w:rFonts w:hint="eastAsia" w:ascii="Calibri" w:hAnsi="Calibri" w:eastAsia="宋体" w:cs="Times New Roman"/>
          <w:sz w:val="24"/>
          <w:szCs w:val="24"/>
        </w:rPr>
        <w:t>进行</w:t>
      </w:r>
      <w:r>
        <w:rPr>
          <w:rFonts w:hint="eastAsia" w:ascii="Calibri" w:hAnsi="Calibri" w:eastAsia="宋体" w:cs="Times New Roman"/>
          <w:sz w:val="24"/>
          <w:szCs w:val="24"/>
          <w:lang w:val="en-US" w:eastAsia="zh-CN"/>
        </w:rPr>
        <w:t>纸莎草</w:t>
      </w:r>
      <w:r>
        <w:rPr>
          <w:rFonts w:hint="eastAsia" w:ascii="Calibri" w:hAnsi="Calibri" w:eastAsia="宋体" w:cs="Times New Roman"/>
          <w:sz w:val="24"/>
          <w:szCs w:val="24"/>
        </w:rPr>
        <w:t>种苗实地调查</w:t>
      </w:r>
      <w:r>
        <w:rPr>
          <w:rFonts w:hint="eastAsia" w:ascii="Calibri" w:hAnsi="Calibri" w:eastAsia="宋体" w:cs="Times New Roman"/>
          <w:sz w:val="24"/>
          <w:szCs w:val="24"/>
          <w:lang w:eastAsia="zh-CN"/>
        </w:rPr>
        <w:t>，了解种苗的</w:t>
      </w:r>
      <w:r>
        <w:rPr>
          <w:rFonts w:hint="eastAsia" w:ascii="Calibri" w:hAnsi="Calibri" w:eastAsia="宋体" w:cs="Times New Roman"/>
          <w:sz w:val="24"/>
          <w:szCs w:val="24"/>
          <w:lang w:val="en-US" w:eastAsia="zh-CN"/>
        </w:rPr>
        <w:t>繁育技术、</w:t>
      </w:r>
      <w:r>
        <w:rPr>
          <w:rFonts w:hint="eastAsia" w:ascii="Calibri" w:hAnsi="Calibri" w:eastAsia="宋体" w:cs="Times New Roman"/>
          <w:sz w:val="24"/>
          <w:szCs w:val="24"/>
          <w:lang w:eastAsia="zh-CN"/>
        </w:rPr>
        <w:t>种植情况、种苗的质量及生产中存在的问题等</w:t>
      </w:r>
      <w:r>
        <w:rPr>
          <w:rFonts w:hint="eastAsia" w:ascii="Calibri" w:hAnsi="Calibri" w:eastAsia="宋体" w:cs="Times New Roman"/>
          <w:sz w:val="24"/>
          <w:szCs w:val="24"/>
        </w:rPr>
        <w:t>（图1）；</w:t>
      </w:r>
      <w:r>
        <w:rPr>
          <w:rFonts w:hint="eastAsia" w:ascii="Calibri" w:hAnsi="Calibri" w:eastAsia="宋体" w:cs="Times New Roman"/>
          <w:sz w:val="24"/>
          <w:szCs w:val="24"/>
          <w:lang w:val="en-US" w:eastAsia="zh-CN"/>
        </w:rPr>
        <w:t>2023</w:t>
      </w:r>
      <w:r>
        <w:rPr>
          <w:rFonts w:hint="eastAsia" w:ascii="Calibri" w:hAnsi="Calibri" w:eastAsia="宋体" w:cs="Times New Roman"/>
          <w:sz w:val="24"/>
          <w:szCs w:val="24"/>
        </w:rPr>
        <w:t>年</w:t>
      </w:r>
      <w:r>
        <w:rPr>
          <w:rFonts w:hint="eastAsia" w:ascii="Calibri" w:hAnsi="Calibri" w:eastAsia="宋体" w:cs="Times New Roman"/>
          <w:sz w:val="24"/>
          <w:szCs w:val="24"/>
          <w:lang w:val="en-US" w:eastAsia="zh-CN"/>
        </w:rPr>
        <w:t>调研海南的湿地公园、水生植物区，收集样品并采集相关数据，了解海南的资源分布、生产、种植情况（图2）。</w:t>
      </w:r>
      <w:bookmarkEnd w:id="3"/>
      <w:r>
        <w:rPr>
          <w:rFonts w:hint="eastAsia" w:ascii="Calibri" w:hAnsi="Calibri" w:eastAsia="宋体" w:cs="Times New Roman"/>
          <w:sz w:val="24"/>
          <w:szCs w:val="24"/>
          <w:lang w:val="en-US" w:eastAsia="zh-CN"/>
        </w:rPr>
        <w:t>前期的研究工作</w:t>
      </w:r>
      <w:r>
        <w:rPr>
          <w:rFonts w:hint="eastAsia" w:ascii="Calibri" w:hAnsi="Calibri" w:eastAsia="宋体" w:cs="Times New Roman"/>
          <w:sz w:val="24"/>
          <w:szCs w:val="24"/>
        </w:rPr>
        <w:t>为标准起草提供可靠的技术参考材料。</w:t>
      </w:r>
    </w:p>
    <w:p w14:paraId="1C7B4433">
      <w:pPr>
        <w:spacing w:line="360" w:lineRule="auto"/>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drawing>
          <wp:inline distT="0" distB="0" distL="114300" distR="114300">
            <wp:extent cx="1408430" cy="2127885"/>
            <wp:effectExtent l="0" t="0" r="1270" b="5715"/>
            <wp:docPr id="9" name="图片 9" descr="f61cdffd42a75f5b8bd6451f5589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61cdffd42a75f5b8bd6451f55896c0"/>
                    <pic:cNvPicPr>
                      <a:picLocks noChangeAspect="1"/>
                    </pic:cNvPicPr>
                  </pic:nvPicPr>
                  <pic:blipFill>
                    <a:blip r:embed="rId4"/>
                    <a:stretch>
                      <a:fillRect/>
                    </a:stretch>
                  </pic:blipFill>
                  <pic:spPr>
                    <a:xfrm>
                      <a:off x="0" y="0"/>
                      <a:ext cx="1408430" cy="2127885"/>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val="en-US" w:eastAsia="zh-CN"/>
        </w:rPr>
        <w:drawing>
          <wp:inline distT="0" distB="0" distL="114300" distR="114300">
            <wp:extent cx="1595120" cy="2127885"/>
            <wp:effectExtent l="0" t="0" r="5080" b="5715"/>
            <wp:docPr id="15" name="图片 15" descr="e693ecafd894c7055ee3bc4940af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693ecafd894c7055ee3bc4940afe95"/>
                    <pic:cNvPicPr>
                      <a:picLocks noChangeAspect="1"/>
                    </pic:cNvPicPr>
                  </pic:nvPicPr>
                  <pic:blipFill>
                    <a:blip r:embed="rId5"/>
                    <a:stretch>
                      <a:fillRect/>
                    </a:stretch>
                  </pic:blipFill>
                  <pic:spPr>
                    <a:xfrm>
                      <a:off x="0" y="0"/>
                      <a:ext cx="1595120" cy="2127885"/>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drawing>
          <wp:inline distT="0" distB="0" distL="114300" distR="114300">
            <wp:extent cx="1496060" cy="2129155"/>
            <wp:effectExtent l="0" t="0" r="2540" b="4445"/>
            <wp:docPr id="12" name="图片 12" descr="ace35f29b92bd44296df1cbeec49a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ce35f29b92bd44296df1cbeec49aee"/>
                    <pic:cNvPicPr>
                      <a:picLocks noChangeAspect="1"/>
                    </pic:cNvPicPr>
                  </pic:nvPicPr>
                  <pic:blipFill>
                    <a:blip r:embed="rId6"/>
                    <a:srcRect b="14467"/>
                    <a:stretch>
                      <a:fillRect/>
                    </a:stretch>
                  </pic:blipFill>
                  <pic:spPr>
                    <a:xfrm>
                      <a:off x="0" y="0"/>
                      <a:ext cx="1496060" cy="2129155"/>
                    </a:xfrm>
                    <a:prstGeom prst="rect">
                      <a:avLst/>
                    </a:prstGeom>
                  </pic:spPr>
                </pic:pic>
              </a:graphicData>
            </a:graphic>
          </wp:inline>
        </w:drawing>
      </w:r>
      <w:r>
        <w:rPr>
          <w:rFonts w:hint="eastAsia" w:ascii="Calibri" w:hAnsi="Calibri" w:eastAsia="宋体" w:cs="Times New Roman"/>
          <w:sz w:val="24"/>
          <w:szCs w:val="24"/>
          <w:lang w:val="en-US" w:eastAsia="zh-CN"/>
        </w:rPr>
        <w:t xml:space="preserve"> </w:t>
      </w:r>
    </w:p>
    <w:p w14:paraId="745D355A">
      <w:pPr>
        <w:spacing w:line="360" w:lineRule="auto"/>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 xml:space="preserve">图1 </w:t>
      </w:r>
      <w:bookmarkStart w:id="5" w:name="OLE_LINK4"/>
      <w:r>
        <w:rPr>
          <w:rFonts w:hint="eastAsia" w:ascii="Calibri" w:hAnsi="Calibri" w:eastAsia="宋体" w:cs="Times New Roman"/>
          <w:sz w:val="24"/>
          <w:szCs w:val="24"/>
        </w:rPr>
        <w:t>佛山市高明区田园水生植物场</w:t>
      </w:r>
      <w:bookmarkEnd w:id="5"/>
      <w:r>
        <w:rPr>
          <w:rFonts w:hint="eastAsia" w:ascii="Calibri" w:hAnsi="Calibri" w:eastAsia="宋体" w:cs="Times New Roman"/>
          <w:sz w:val="24"/>
          <w:szCs w:val="24"/>
          <w:lang w:val="en-US" w:eastAsia="zh-CN"/>
        </w:rPr>
        <w:t>调研种苗生产情况</w:t>
      </w:r>
    </w:p>
    <w:p w14:paraId="72BAF77E">
      <w:pPr>
        <w:spacing w:line="360" w:lineRule="auto"/>
        <w:jc w:val="center"/>
        <w:rPr>
          <w:rFonts w:hint="eastAsia" w:ascii="Calibri" w:hAnsi="Calibri" w:eastAsia="宋体" w:cs="Times New Roman"/>
          <w:sz w:val="24"/>
          <w:szCs w:val="24"/>
          <w:lang w:val="en-US" w:eastAsia="zh-CN"/>
        </w:rPr>
      </w:pPr>
    </w:p>
    <w:p w14:paraId="75D447A1">
      <w:pPr>
        <w:spacing w:line="360" w:lineRule="auto"/>
        <w:jc w:val="center"/>
        <w:rPr>
          <w:rFonts w:hint="eastAsia" w:ascii="Calibri" w:hAnsi="Calibri" w:eastAsia="宋体" w:cs="Times New Roman"/>
          <w:sz w:val="24"/>
          <w:szCs w:val="24"/>
          <w:lang w:val="en-US" w:eastAsia="zh-CN"/>
        </w:rPr>
      </w:pPr>
    </w:p>
    <w:p w14:paraId="44AFE3A8">
      <w:pPr>
        <w:spacing w:line="360" w:lineRule="auto"/>
        <w:jc w:val="center"/>
        <w:rPr>
          <w:rFonts w:hint="eastAsia" w:ascii="Calibri" w:hAnsi="Calibri" w:eastAsia="宋体" w:cs="Times New Roman"/>
          <w:sz w:val="24"/>
          <w:szCs w:val="24"/>
          <w:lang w:val="en-US" w:eastAsia="zh-CN"/>
        </w:rPr>
      </w:pPr>
    </w:p>
    <w:p w14:paraId="6FF181B6">
      <w:pPr>
        <w:spacing w:line="360" w:lineRule="auto"/>
        <w:jc w:val="center"/>
        <w:rPr>
          <w:rFonts w:hint="eastAsia" w:ascii="Calibri" w:hAnsi="Calibri" w:eastAsia="宋体" w:cs="Times New Roman"/>
          <w:sz w:val="24"/>
          <w:szCs w:val="24"/>
          <w:lang w:val="en-US" w:eastAsia="zh-CN"/>
        </w:rPr>
      </w:pPr>
    </w:p>
    <w:p w14:paraId="0688BFC0">
      <w:pPr>
        <w:spacing w:line="360" w:lineRule="auto"/>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drawing>
          <wp:inline distT="0" distB="0" distL="114300" distR="114300">
            <wp:extent cx="1920240" cy="1440180"/>
            <wp:effectExtent l="0" t="0" r="10160" b="7620"/>
            <wp:docPr id="1" name="图片 1" descr="d2893e908c869d75c9ccf1115a268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893e908c869d75c9ccf1115a268cc"/>
                    <pic:cNvPicPr>
                      <a:picLocks noChangeAspect="1"/>
                    </pic:cNvPicPr>
                  </pic:nvPicPr>
                  <pic:blipFill>
                    <a:blip r:embed="rId7"/>
                    <a:stretch>
                      <a:fillRect/>
                    </a:stretch>
                  </pic:blipFill>
                  <pic:spPr>
                    <a:xfrm>
                      <a:off x="0" y="0"/>
                      <a:ext cx="1920240"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43635" cy="1440180"/>
            <wp:effectExtent l="0" t="0" r="12065" b="7620"/>
            <wp:docPr id="2" name="图片 2" descr="微信图片_2024081823041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818230414副本"/>
                    <pic:cNvPicPr>
                      <a:picLocks noChangeAspect="1"/>
                    </pic:cNvPicPr>
                  </pic:nvPicPr>
                  <pic:blipFill>
                    <a:blip r:embed="rId8"/>
                    <a:stretch>
                      <a:fillRect/>
                    </a:stretch>
                  </pic:blipFill>
                  <pic:spPr>
                    <a:xfrm>
                      <a:off x="0" y="0"/>
                      <a:ext cx="1143635"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51255" cy="1440180"/>
            <wp:effectExtent l="0" t="0" r="4445" b="7620"/>
            <wp:docPr id="3" name="图片 3" descr="微信图片_2024081823051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818230513副本"/>
                    <pic:cNvPicPr>
                      <a:picLocks noChangeAspect="1"/>
                    </pic:cNvPicPr>
                  </pic:nvPicPr>
                  <pic:blipFill>
                    <a:blip r:embed="rId9"/>
                    <a:stretch>
                      <a:fillRect/>
                    </a:stretch>
                  </pic:blipFill>
                  <pic:spPr>
                    <a:xfrm>
                      <a:off x="0" y="0"/>
                      <a:ext cx="1151255" cy="1440180"/>
                    </a:xfrm>
                    <a:prstGeom prst="rect">
                      <a:avLst/>
                    </a:prstGeom>
                  </pic:spPr>
                </pic:pic>
              </a:graphicData>
            </a:graphic>
          </wp:inline>
        </w:drawing>
      </w:r>
    </w:p>
    <w:p w14:paraId="5FDFF7D0">
      <w:pPr>
        <w:spacing w:line="360" w:lineRule="auto"/>
        <w:jc w:val="center"/>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drawing>
          <wp:inline distT="0" distB="0" distL="114300" distR="114300">
            <wp:extent cx="1151255" cy="1440180"/>
            <wp:effectExtent l="0" t="0" r="4445" b="7620"/>
            <wp:docPr id="4" name="图片 4" descr="微信图片_20240818230518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818230518副本"/>
                    <pic:cNvPicPr>
                      <a:picLocks noChangeAspect="1"/>
                    </pic:cNvPicPr>
                  </pic:nvPicPr>
                  <pic:blipFill>
                    <a:blip r:embed="rId10"/>
                    <a:stretch>
                      <a:fillRect/>
                    </a:stretch>
                  </pic:blipFill>
                  <pic:spPr>
                    <a:xfrm>
                      <a:off x="0" y="0"/>
                      <a:ext cx="1151255"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61415" cy="1440180"/>
            <wp:effectExtent l="0" t="0" r="6985" b="7620"/>
            <wp:docPr id="5" name="图片 5" descr="微信图片_2024081823052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818230525副本"/>
                    <pic:cNvPicPr>
                      <a:picLocks noChangeAspect="1"/>
                    </pic:cNvPicPr>
                  </pic:nvPicPr>
                  <pic:blipFill>
                    <a:blip r:embed="rId11"/>
                    <a:stretch>
                      <a:fillRect/>
                    </a:stretch>
                  </pic:blipFill>
                  <pic:spPr>
                    <a:xfrm>
                      <a:off x="0" y="0"/>
                      <a:ext cx="1161415"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65860" cy="1440180"/>
            <wp:effectExtent l="0" t="0" r="2540" b="7620"/>
            <wp:docPr id="7" name="图片 7" descr="b3fc1e6e9eca9891c5b6f17a4ce1b0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3fc1e6e9eca9891c5b6f17a4ce1b02副本"/>
                    <pic:cNvPicPr>
                      <a:picLocks noChangeAspect="1"/>
                    </pic:cNvPicPr>
                  </pic:nvPicPr>
                  <pic:blipFill>
                    <a:blip r:embed="rId12"/>
                    <a:stretch>
                      <a:fillRect/>
                    </a:stretch>
                  </pic:blipFill>
                  <pic:spPr>
                    <a:xfrm>
                      <a:off x="0" y="0"/>
                      <a:ext cx="1165860" cy="1440180"/>
                    </a:xfrm>
                    <a:prstGeom prst="rect">
                      <a:avLst/>
                    </a:prstGeom>
                  </pic:spPr>
                </pic:pic>
              </a:graphicData>
            </a:graphic>
          </wp:inline>
        </w:drawing>
      </w:r>
      <w:r>
        <w:rPr>
          <w:rFonts w:hint="eastAsia" w:ascii="Calibri" w:hAnsi="Calibri" w:eastAsia="宋体" w:cs="Times New Roman"/>
          <w:sz w:val="24"/>
          <w:szCs w:val="24"/>
          <w:lang w:val="en-US" w:eastAsia="zh-CN"/>
        </w:rPr>
        <w:t xml:space="preserve"> </w:t>
      </w:r>
      <w:r>
        <w:rPr>
          <w:rFonts w:hint="default" w:ascii="Calibri" w:hAnsi="Calibri" w:eastAsia="宋体" w:cs="Times New Roman"/>
          <w:sz w:val="24"/>
          <w:szCs w:val="24"/>
          <w:lang w:val="en-US" w:eastAsia="zh-CN"/>
        </w:rPr>
        <w:drawing>
          <wp:inline distT="0" distB="0" distL="114300" distR="114300">
            <wp:extent cx="1155700" cy="1440180"/>
            <wp:effectExtent l="0" t="0" r="0" b="7620"/>
            <wp:docPr id="8" name="图片 8" descr="微信图片_2024081823054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818230542副本"/>
                    <pic:cNvPicPr>
                      <a:picLocks noChangeAspect="1"/>
                    </pic:cNvPicPr>
                  </pic:nvPicPr>
                  <pic:blipFill>
                    <a:blip r:embed="rId13"/>
                    <a:stretch>
                      <a:fillRect/>
                    </a:stretch>
                  </pic:blipFill>
                  <pic:spPr>
                    <a:xfrm>
                      <a:off x="0" y="0"/>
                      <a:ext cx="1155700" cy="1440180"/>
                    </a:xfrm>
                    <a:prstGeom prst="rect">
                      <a:avLst/>
                    </a:prstGeom>
                  </pic:spPr>
                </pic:pic>
              </a:graphicData>
            </a:graphic>
          </wp:inline>
        </w:drawing>
      </w:r>
    </w:p>
    <w:p w14:paraId="19F07138">
      <w:pPr>
        <w:spacing w:line="360" w:lineRule="auto"/>
        <w:jc w:val="center"/>
        <w:rPr>
          <w:rFonts w:ascii="Calibri" w:hAnsi="Calibri" w:eastAsia="宋体" w:cs="Times New Roman"/>
          <w:sz w:val="24"/>
          <w:szCs w:val="24"/>
        </w:rPr>
      </w:pPr>
      <w:r>
        <w:rPr>
          <w:rFonts w:hint="eastAsia" w:ascii="Calibri" w:hAnsi="Calibri" w:eastAsia="宋体" w:cs="Times New Roman"/>
          <w:sz w:val="24"/>
          <w:szCs w:val="24"/>
          <w:lang w:val="en-US" w:eastAsia="zh-CN"/>
        </w:rPr>
        <w:t>图2 湿地、水生植物区资源调查及数据采集</w:t>
      </w:r>
    </w:p>
    <w:p w14:paraId="2556842F">
      <w:pPr>
        <w:spacing w:line="360" w:lineRule="auto"/>
        <w:ind w:firstLine="555"/>
        <w:rPr>
          <w:rFonts w:ascii="Calibri" w:hAnsi="Calibri" w:eastAsia="宋体" w:cs="Times New Roman"/>
          <w:sz w:val="24"/>
          <w:szCs w:val="24"/>
          <w:highlight w:val="none"/>
        </w:rPr>
      </w:pPr>
      <w:r>
        <w:rPr>
          <w:rFonts w:hint="eastAsia" w:ascii="Calibri" w:hAnsi="Calibri" w:eastAsia="宋体" w:cs="Times New Roman"/>
          <w:sz w:val="24"/>
          <w:szCs w:val="24"/>
          <w:highlight w:val="none"/>
        </w:rPr>
        <w:t>1.4.4 起草征求意见稿和征求意见</w:t>
      </w:r>
    </w:p>
    <w:p w14:paraId="594EE98D">
      <w:pPr>
        <w:spacing w:line="360" w:lineRule="auto"/>
        <w:ind w:firstLine="480" w:firstLineChars="200"/>
        <w:rPr>
          <w:sz w:val="24"/>
          <w:highlight w:val="none"/>
        </w:rPr>
      </w:pPr>
      <w:r>
        <w:rPr>
          <w:rFonts w:hint="eastAsia" w:ascii="Calibri" w:hAnsi="Calibri" w:eastAsia="宋体" w:cs="Times New Roman"/>
          <w:sz w:val="24"/>
          <w:szCs w:val="24"/>
          <w:highlight w:val="none"/>
        </w:rPr>
        <w:t>在查阅资料及实地调研的基础之上，对收集的数据进行整理分析，根据地方标准的编写要求进行标准起草，</w:t>
      </w:r>
      <w:r>
        <w:rPr>
          <w:rFonts w:hint="eastAsia" w:ascii="Calibri" w:hAnsi="Calibri" w:eastAsia="宋体" w:cs="Times New Roman"/>
          <w:sz w:val="24"/>
          <w:szCs w:val="24"/>
          <w:highlight w:val="none"/>
        </w:rPr>
        <w:t>发函</w:t>
      </w:r>
      <w:r>
        <w:rPr>
          <w:rFonts w:hint="eastAsia" w:ascii="Calibri" w:hAnsi="Calibri" w:eastAsia="宋体" w:cs="Times New Roman"/>
          <w:sz w:val="24"/>
          <w:szCs w:val="24"/>
          <w:highlight w:val="none"/>
          <w:lang w:val="en-US" w:eastAsia="zh-CN"/>
        </w:rPr>
        <w:t>给</w:t>
      </w:r>
      <w:r>
        <w:rPr>
          <w:rFonts w:hint="eastAsia" w:ascii="Calibri" w:hAnsi="Calibri" w:eastAsia="宋体" w:cs="Times New Roman"/>
          <w:sz w:val="24"/>
          <w:szCs w:val="24"/>
          <w:highlight w:val="none"/>
        </w:rPr>
        <w:t>教学、科研、生产、检验</w:t>
      </w:r>
      <w:r>
        <w:rPr>
          <w:rFonts w:hint="eastAsia" w:ascii="Calibri" w:hAnsi="Calibri" w:eastAsia="宋体" w:cs="Times New Roman"/>
          <w:sz w:val="24"/>
          <w:szCs w:val="24"/>
          <w:highlight w:val="none"/>
          <w:lang w:val="en-US" w:eastAsia="zh-CN"/>
        </w:rPr>
        <w:t>等领域</w:t>
      </w:r>
      <w:r>
        <w:rPr>
          <w:rFonts w:hint="eastAsia"/>
          <w:sz w:val="24"/>
          <w:highlight w:val="none"/>
        </w:rPr>
        <w:t>专家</w:t>
      </w:r>
      <w:r>
        <w:rPr>
          <w:rFonts w:hint="eastAsia"/>
          <w:sz w:val="24"/>
          <w:highlight w:val="none"/>
          <w:lang w:val="en-US" w:eastAsia="zh-CN"/>
        </w:rPr>
        <w:t>征求意见</w:t>
      </w:r>
      <w:r>
        <w:rPr>
          <w:rFonts w:hint="eastAsia"/>
          <w:sz w:val="24"/>
          <w:highlight w:val="none"/>
          <w:lang w:eastAsia="zh-CN"/>
        </w:rPr>
        <w:t>；</w:t>
      </w:r>
      <w:r>
        <w:rPr>
          <w:rFonts w:hint="eastAsia"/>
          <w:sz w:val="24"/>
          <w:highlight w:val="none"/>
          <w:lang w:val="en-US" w:eastAsia="zh-CN"/>
        </w:rPr>
        <w:t>同时，在单位网站进行网络征求意见，及时整理汇总与处理相关意见。根据函审与网络意见进行完善，形成“送审稿”</w:t>
      </w:r>
      <w:r>
        <w:rPr>
          <w:rFonts w:hint="eastAsia"/>
          <w:sz w:val="24"/>
          <w:highlight w:val="none"/>
        </w:rPr>
        <w:t>。</w:t>
      </w:r>
    </w:p>
    <w:p w14:paraId="3F0A7A5D">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2. 标准编制原则和确定标准主要内容的论据</w:t>
      </w:r>
    </w:p>
    <w:p w14:paraId="31FFFA3C">
      <w:pPr>
        <w:spacing w:line="360" w:lineRule="auto"/>
        <w:ind w:firstLine="555"/>
        <w:rPr>
          <w:rFonts w:asciiTheme="minorEastAsia" w:hAnsiTheme="minorEastAsia"/>
          <w:sz w:val="24"/>
          <w:szCs w:val="24"/>
        </w:rPr>
      </w:pPr>
      <w:r>
        <w:rPr>
          <w:rFonts w:hint="eastAsia" w:asciiTheme="minorEastAsia" w:hAnsiTheme="minorEastAsia"/>
          <w:sz w:val="24"/>
          <w:szCs w:val="24"/>
        </w:rPr>
        <w:t>2.1 编制的原则</w:t>
      </w:r>
    </w:p>
    <w:p w14:paraId="4806CE1A">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2.1.1 总体原则</w:t>
      </w:r>
    </w:p>
    <w:p w14:paraId="6DE109B7">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在标准的编制过程中，遵循以下总体原则：第一，充分考虑《</w:t>
      </w:r>
      <w:r>
        <w:rPr>
          <w:rFonts w:hint="eastAsia" w:ascii="Calibri" w:hAnsi="Calibri" w:eastAsia="宋体" w:cs="Times New Roman"/>
          <w:sz w:val="24"/>
          <w:szCs w:val="24"/>
          <w:lang w:val="en-US" w:eastAsia="zh-CN"/>
        </w:rPr>
        <w:t>纸莎草种苗繁育技术规程</w:t>
      </w:r>
      <w:r>
        <w:rPr>
          <w:rFonts w:hint="eastAsia" w:ascii="Calibri" w:hAnsi="Calibri" w:eastAsia="宋体" w:cs="Times New Roman"/>
          <w:sz w:val="24"/>
          <w:szCs w:val="24"/>
        </w:rPr>
        <w:t>》的最新的种苗繁育</w:t>
      </w:r>
      <w:r>
        <w:rPr>
          <w:rFonts w:hint="eastAsia" w:ascii="Calibri" w:hAnsi="Calibri" w:eastAsia="宋体" w:cs="Times New Roman"/>
          <w:sz w:val="24"/>
          <w:szCs w:val="24"/>
          <w:lang w:val="en-US" w:eastAsia="zh-CN"/>
        </w:rPr>
        <w:t>技术</w:t>
      </w:r>
      <w:r>
        <w:rPr>
          <w:rFonts w:hint="eastAsia" w:ascii="Calibri" w:hAnsi="Calibri" w:eastAsia="宋体" w:cs="Times New Roman"/>
          <w:sz w:val="24"/>
          <w:szCs w:val="24"/>
        </w:rPr>
        <w:t>，了解当前种苗市场情况，认真分析所涉及领域的种苗生产者、种植者和使用者的需求；第二，</w:t>
      </w:r>
      <w:r>
        <w:rPr>
          <w:rFonts w:hint="eastAsia" w:ascii="Calibri" w:hAnsi="Calibri" w:eastAsia="宋体" w:cs="Times New Roman"/>
          <w:sz w:val="24"/>
          <w:szCs w:val="24"/>
          <w:lang w:val="en-US" w:eastAsia="zh-CN"/>
        </w:rPr>
        <w:t>充分考虑海南的气候条件、运输条件</w:t>
      </w:r>
      <w:r>
        <w:rPr>
          <w:rFonts w:hint="eastAsia" w:ascii="Calibri" w:hAnsi="Calibri" w:eastAsia="宋体" w:cs="Times New Roman"/>
          <w:sz w:val="24"/>
          <w:szCs w:val="24"/>
        </w:rPr>
        <w:t>。</w:t>
      </w:r>
    </w:p>
    <w:p w14:paraId="384473C1">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2.1.2规范性要素的选择原则</w:t>
      </w:r>
      <w:bookmarkStart w:id="6" w:name="_GoBack"/>
      <w:bookmarkEnd w:id="6"/>
    </w:p>
    <w:p w14:paraId="3E57C244">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遵循标准化对象、文件使用者、目的导向原则。本标准的对象为</w:t>
      </w:r>
      <w:r>
        <w:rPr>
          <w:rFonts w:hint="eastAsia" w:ascii="Calibri" w:hAnsi="Calibri" w:eastAsia="宋体" w:cs="Times New Roman"/>
          <w:sz w:val="24"/>
          <w:szCs w:val="24"/>
          <w:lang w:val="en-US" w:eastAsia="zh-CN"/>
        </w:rPr>
        <w:t>纸莎草繁育技术</w:t>
      </w:r>
      <w:r>
        <w:rPr>
          <w:rFonts w:hint="eastAsia" w:ascii="Calibri" w:hAnsi="Calibri" w:eastAsia="宋体" w:cs="Times New Roman"/>
          <w:sz w:val="24"/>
          <w:szCs w:val="24"/>
        </w:rPr>
        <w:t>（</w:t>
      </w:r>
      <w:r>
        <w:rPr>
          <w:rFonts w:hint="eastAsia" w:ascii="Calibri" w:hAnsi="Calibri" w:eastAsia="宋体" w:cs="Times New Roman"/>
          <w:sz w:val="24"/>
          <w:szCs w:val="24"/>
          <w:lang w:val="en-US" w:eastAsia="zh-CN"/>
        </w:rPr>
        <w:t>技术</w:t>
      </w:r>
      <w:r>
        <w:rPr>
          <w:rFonts w:hint="eastAsia" w:ascii="Calibri" w:hAnsi="Calibri" w:eastAsia="宋体" w:cs="Times New Roman"/>
          <w:sz w:val="24"/>
          <w:szCs w:val="24"/>
        </w:rPr>
        <w:t>标准）；文件使用者涉及种苗生产者</w:t>
      </w:r>
      <w:r>
        <w:rPr>
          <w:rFonts w:hint="eastAsia" w:ascii="Calibri" w:hAnsi="Calibri" w:eastAsia="宋体" w:cs="Times New Roman"/>
          <w:sz w:val="24"/>
          <w:szCs w:val="24"/>
          <w:lang w:val="en-US" w:eastAsia="zh-CN"/>
        </w:rPr>
        <w:t>和</w:t>
      </w:r>
      <w:r>
        <w:rPr>
          <w:rFonts w:hint="eastAsia" w:ascii="Calibri" w:hAnsi="Calibri" w:eastAsia="宋体" w:cs="Times New Roman"/>
          <w:sz w:val="24"/>
          <w:szCs w:val="24"/>
        </w:rPr>
        <w:t>种植者；编制的目的是为了规范种苗</w:t>
      </w:r>
      <w:r>
        <w:rPr>
          <w:rFonts w:hint="eastAsia" w:ascii="Calibri" w:hAnsi="Calibri" w:eastAsia="宋体" w:cs="Times New Roman"/>
          <w:sz w:val="24"/>
          <w:szCs w:val="24"/>
          <w:lang w:val="en-US" w:eastAsia="zh-CN"/>
        </w:rPr>
        <w:t>繁育生产，提高种苗质量</w:t>
      </w:r>
      <w:r>
        <w:rPr>
          <w:rFonts w:hint="eastAsia" w:ascii="Calibri" w:hAnsi="Calibri" w:eastAsia="宋体" w:cs="Times New Roman"/>
          <w:sz w:val="24"/>
          <w:szCs w:val="24"/>
        </w:rPr>
        <w:t>。</w:t>
      </w:r>
    </w:p>
    <w:p w14:paraId="49090222">
      <w:pPr>
        <w:spacing w:line="360" w:lineRule="auto"/>
        <w:ind w:firstLine="555"/>
        <w:rPr>
          <w:rFonts w:hint="eastAsia" w:ascii="Calibri" w:hAnsi="Calibri" w:eastAsia="宋体" w:cs="Times New Roman"/>
          <w:sz w:val="24"/>
          <w:szCs w:val="24"/>
        </w:rPr>
      </w:pPr>
    </w:p>
    <w:p w14:paraId="41A50247">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2.1.3文件的表述原则</w:t>
      </w:r>
    </w:p>
    <w:p w14:paraId="40C82337">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文件的表述遵循了“一致性、协调性、易用性”的原则。依据国家有关法律、法规和国家标准管理办法，严格按《标准化工作导则第1部分：标准化文件的结构和起草规则》（GB/T 1.1-2020）、</w:t>
      </w:r>
      <w:r>
        <w:rPr>
          <w:rFonts w:hint="eastAsia" w:ascii="宋体" w:hAnsi="宋体" w:eastAsia="宋体" w:cs="Times New Roman"/>
          <w:sz w:val="24"/>
          <w:szCs w:val="24"/>
        </w:rPr>
        <w:t>《</w:t>
      </w:r>
      <w:r>
        <w:rPr>
          <w:rFonts w:ascii="宋体" w:hAnsi="宋体" w:eastAsia="宋体" w:cs="Times New Roman"/>
          <w:sz w:val="24"/>
          <w:szCs w:val="24"/>
        </w:rPr>
        <w:t>地方标准制定工作程序》（DB</w:t>
      </w:r>
      <w:r>
        <w:rPr>
          <w:rFonts w:hint="eastAsia" w:ascii="宋体" w:hAnsi="宋体" w:eastAsia="宋体" w:cs="Times New Roman"/>
          <w:sz w:val="24"/>
          <w:szCs w:val="24"/>
        </w:rPr>
        <w:t xml:space="preserve"> </w:t>
      </w:r>
      <w:r>
        <w:rPr>
          <w:rFonts w:ascii="宋体" w:hAnsi="宋体" w:eastAsia="宋体" w:cs="Times New Roman"/>
          <w:sz w:val="24"/>
          <w:szCs w:val="24"/>
        </w:rPr>
        <w:t>46/T 74</w:t>
      </w:r>
      <w:r>
        <w:rPr>
          <w:rFonts w:hint="eastAsia" w:ascii="宋体" w:hAnsi="宋体" w:eastAsia="宋体" w:cs="Times New Roman"/>
          <w:sz w:val="24"/>
          <w:szCs w:val="24"/>
        </w:rPr>
        <w:t>-2018</w:t>
      </w:r>
      <w:r>
        <w:rPr>
          <w:rFonts w:ascii="宋体" w:hAnsi="宋体" w:eastAsia="宋体" w:cs="Times New Roman"/>
          <w:sz w:val="24"/>
          <w:szCs w:val="24"/>
        </w:rPr>
        <w:t>）规定</w:t>
      </w:r>
      <w:r>
        <w:rPr>
          <w:rFonts w:hint="eastAsia" w:ascii="宋体" w:hAnsi="宋体" w:eastAsia="宋体" w:cs="Times New Roman"/>
          <w:sz w:val="24"/>
          <w:szCs w:val="24"/>
        </w:rPr>
        <w:t>进行编写。</w:t>
      </w:r>
      <w:r>
        <w:rPr>
          <w:rFonts w:hint="eastAsia" w:ascii="Calibri" w:hAnsi="Calibri" w:eastAsia="宋体" w:cs="Times New Roman"/>
          <w:sz w:val="24"/>
          <w:szCs w:val="24"/>
        </w:rPr>
        <w:t>同时参考了DB63/T 299 育苗技术规程</w:t>
      </w:r>
      <w:r>
        <w:rPr>
          <w:rFonts w:hint="eastAsia" w:ascii="Calibri" w:hAnsi="Calibri" w:eastAsia="宋体" w:cs="Times New Roman"/>
          <w:sz w:val="24"/>
          <w:szCs w:val="24"/>
          <w:lang w:eastAsia="zh-CN"/>
        </w:rPr>
        <w:t>、</w:t>
      </w:r>
      <w:r>
        <w:rPr>
          <w:rFonts w:hint="eastAsia" w:ascii="Calibri" w:hAnsi="Calibri" w:eastAsia="宋体" w:cs="Times New Roman"/>
          <w:sz w:val="24"/>
          <w:szCs w:val="24"/>
        </w:rPr>
        <w:t>DB63/T 湟水河流域水生植物繁育技术规程等。在结合查阅资料</w:t>
      </w:r>
      <w:r>
        <w:rPr>
          <w:rFonts w:hint="eastAsia" w:ascii="Calibri" w:hAnsi="Calibri" w:eastAsia="宋体" w:cs="Times New Roman"/>
          <w:sz w:val="24"/>
          <w:szCs w:val="24"/>
          <w:lang w:val="en-US" w:eastAsia="zh-CN"/>
        </w:rPr>
        <w:t>及充分调研</w:t>
      </w:r>
      <w:r>
        <w:rPr>
          <w:rFonts w:hint="eastAsia" w:ascii="Calibri" w:hAnsi="Calibri" w:eastAsia="宋体" w:cs="Times New Roman"/>
          <w:sz w:val="24"/>
          <w:szCs w:val="24"/>
        </w:rPr>
        <w:t>的基础之上，编制本标准。</w:t>
      </w:r>
    </w:p>
    <w:p w14:paraId="55B00C4E">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2.2 主要技术内容确定的依据</w:t>
      </w:r>
    </w:p>
    <w:p w14:paraId="7AA86B03">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 xml:space="preserve">2.2.1 </w:t>
      </w:r>
      <w:r>
        <w:rPr>
          <w:rFonts w:hint="eastAsia" w:ascii="Calibri" w:hAnsi="Calibri" w:eastAsia="宋体" w:cs="Times New Roman"/>
          <w:sz w:val="24"/>
          <w:szCs w:val="24"/>
          <w:lang w:val="en-US" w:eastAsia="zh-CN"/>
        </w:rPr>
        <w:t>技术内容</w:t>
      </w:r>
      <w:r>
        <w:rPr>
          <w:rFonts w:hint="eastAsia" w:ascii="Calibri" w:hAnsi="Calibri" w:eastAsia="宋体" w:cs="Times New Roman"/>
          <w:sz w:val="24"/>
          <w:szCs w:val="24"/>
        </w:rPr>
        <w:t>的确定</w:t>
      </w:r>
    </w:p>
    <w:p w14:paraId="740BAD17">
      <w:pPr>
        <w:spacing w:line="360" w:lineRule="auto"/>
        <w:ind w:firstLine="555"/>
        <w:rPr>
          <w:rFonts w:ascii="Calibri" w:hAnsi="Calibri" w:eastAsia="宋体" w:cs="Times New Roman"/>
          <w:sz w:val="24"/>
          <w:szCs w:val="24"/>
        </w:rPr>
      </w:pPr>
      <w:r>
        <w:rPr>
          <w:rFonts w:hint="eastAsia" w:ascii="Calibri" w:hAnsi="Calibri" w:eastAsia="宋体" w:cs="Times New Roman"/>
          <w:sz w:val="24"/>
          <w:szCs w:val="24"/>
        </w:rPr>
        <w:t>标准的名称界定为</w:t>
      </w:r>
      <w:r>
        <w:rPr>
          <w:rFonts w:hint="eastAsia" w:ascii="Calibri" w:hAnsi="Calibri" w:eastAsia="宋体" w:cs="Times New Roman"/>
          <w:sz w:val="24"/>
          <w:szCs w:val="24"/>
          <w:lang w:val="en-US" w:eastAsia="zh-CN"/>
        </w:rPr>
        <w:t>繁育技术</w:t>
      </w:r>
      <w:r>
        <w:rPr>
          <w:rFonts w:hint="eastAsia" w:ascii="Calibri" w:hAnsi="Calibri" w:eastAsia="宋体" w:cs="Times New Roman"/>
          <w:sz w:val="24"/>
          <w:szCs w:val="24"/>
        </w:rPr>
        <w:t>，在实际生产中，</w:t>
      </w:r>
      <w:r>
        <w:rPr>
          <w:rFonts w:hint="eastAsia" w:ascii="Calibri" w:hAnsi="Calibri" w:eastAsia="宋体" w:cs="Times New Roman"/>
          <w:sz w:val="24"/>
          <w:szCs w:val="24"/>
          <w:lang w:val="en-US" w:eastAsia="zh-CN"/>
        </w:rPr>
        <w:t>常用的育苗方法为分株繁殖，</w:t>
      </w:r>
      <w:r>
        <w:rPr>
          <w:rFonts w:hint="eastAsia" w:ascii="Calibri" w:hAnsi="Calibri" w:eastAsia="宋体" w:cs="Times New Roman"/>
          <w:sz w:val="24"/>
          <w:szCs w:val="24"/>
        </w:rPr>
        <w:t>因此，</w:t>
      </w:r>
      <w:r>
        <w:rPr>
          <w:rFonts w:hint="eastAsia" w:ascii="Calibri" w:hAnsi="Calibri" w:eastAsia="宋体" w:cs="Times New Roman"/>
          <w:sz w:val="24"/>
          <w:szCs w:val="24"/>
          <w:lang w:val="en-US" w:eastAsia="zh-CN"/>
        </w:rPr>
        <w:t>繁育技术规定为分株繁殖的繁育技术</w:t>
      </w:r>
      <w:r>
        <w:rPr>
          <w:rFonts w:hint="eastAsia" w:ascii="Calibri" w:hAnsi="Calibri" w:eastAsia="宋体" w:cs="Times New Roman"/>
          <w:sz w:val="24"/>
          <w:szCs w:val="24"/>
        </w:rPr>
        <w:t>。</w:t>
      </w:r>
    </w:p>
    <w:p w14:paraId="389F03F4">
      <w:pPr>
        <w:spacing w:line="360" w:lineRule="auto"/>
        <w:ind w:firstLine="555"/>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2.2.2 主要技术参数确定的依据</w:t>
      </w:r>
    </w:p>
    <w:p w14:paraId="2E290E4D">
      <w:pPr>
        <w:spacing w:line="360" w:lineRule="auto"/>
        <w:ind w:firstLine="555"/>
        <w:rPr>
          <w:rFonts w:ascii="Calibri" w:hAnsi="Calibri" w:eastAsia="宋体" w:cs="Times New Roman"/>
          <w:color w:val="000000" w:themeColor="text1"/>
          <w:sz w:val="24"/>
          <w:szCs w:val="24"/>
          <w14:textFill>
            <w14:solidFill>
              <w14:schemeClr w14:val="tx1"/>
            </w14:solidFill>
          </w14:textFill>
        </w:rPr>
      </w:pPr>
      <w:r>
        <w:rPr>
          <w:rFonts w:hint="eastAsia" w:ascii="Calibri" w:hAnsi="Calibri" w:eastAsia="宋体" w:cs="Times New Roman"/>
          <w:color w:val="000000" w:themeColor="text1"/>
          <w:sz w:val="24"/>
          <w:szCs w:val="24"/>
          <w14:textFill>
            <w14:solidFill>
              <w14:schemeClr w14:val="tx1"/>
            </w14:solidFill>
          </w14:textFill>
        </w:rPr>
        <w:t>通过对种苗繁育的跟踪调查，主要技术参数分为两部分，一是种苗的</w:t>
      </w:r>
      <w:r>
        <w:rPr>
          <w:rFonts w:hint="eastAsia" w:ascii="Calibri" w:hAnsi="Calibri" w:eastAsia="宋体" w:cs="Times New Roman"/>
          <w:color w:val="000000" w:themeColor="text1"/>
          <w:sz w:val="24"/>
          <w:szCs w:val="24"/>
          <w:lang w:val="en-US" w:eastAsia="zh-CN"/>
          <w14:textFill>
            <w14:solidFill>
              <w14:schemeClr w14:val="tx1"/>
            </w14:solidFill>
          </w14:textFill>
        </w:rPr>
        <w:t>分株定植技术</w:t>
      </w:r>
      <w:r>
        <w:rPr>
          <w:rFonts w:hint="eastAsia" w:ascii="Calibri" w:hAnsi="Calibri" w:eastAsia="宋体" w:cs="Times New Roman"/>
          <w:color w:val="000000" w:themeColor="text1"/>
          <w:sz w:val="24"/>
          <w:szCs w:val="24"/>
          <w14:textFill>
            <w14:solidFill>
              <w14:schemeClr w14:val="tx1"/>
            </w14:solidFill>
          </w14:textFill>
        </w:rPr>
        <w:t>，二是</w:t>
      </w:r>
      <w:r>
        <w:rPr>
          <w:rFonts w:hint="eastAsia" w:ascii="Calibri" w:hAnsi="Calibri" w:eastAsia="宋体" w:cs="Times New Roman"/>
          <w:color w:val="000000" w:themeColor="text1"/>
          <w:sz w:val="24"/>
          <w:szCs w:val="24"/>
          <w:lang w:val="en-US" w:eastAsia="zh-CN"/>
          <w14:textFill>
            <w14:solidFill>
              <w14:schemeClr w14:val="tx1"/>
            </w14:solidFill>
          </w14:textFill>
        </w:rPr>
        <w:t>幼</w:t>
      </w:r>
      <w:r>
        <w:rPr>
          <w:rFonts w:hint="eastAsia" w:ascii="Calibri" w:hAnsi="Calibri" w:eastAsia="宋体" w:cs="Times New Roman"/>
          <w:color w:val="000000" w:themeColor="text1"/>
          <w:sz w:val="24"/>
          <w:szCs w:val="24"/>
          <w14:textFill>
            <w14:solidFill>
              <w14:schemeClr w14:val="tx1"/>
            </w14:solidFill>
          </w14:textFill>
        </w:rPr>
        <w:t>苗</w:t>
      </w:r>
      <w:r>
        <w:rPr>
          <w:rFonts w:hint="eastAsia" w:ascii="Calibri" w:hAnsi="Calibri" w:eastAsia="宋体" w:cs="Times New Roman"/>
          <w:color w:val="000000" w:themeColor="text1"/>
          <w:sz w:val="24"/>
          <w:szCs w:val="24"/>
          <w:lang w:val="en-US" w:eastAsia="zh-CN"/>
          <w14:textFill>
            <w14:solidFill>
              <w14:schemeClr w14:val="tx1"/>
            </w14:solidFill>
          </w14:textFill>
        </w:rPr>
        <w:t>的水肥管理技术</w:t>
      </w:r>
      <w:r>
        <w:rPr>
          <w:rFonts w:hint="eastAsia" w:ascii="Calibri" w:hAnsi="Calibri" w:eastAsia="宋体" w:cs="Times New Roman"/>
          <w:color w:val="000000" w:themeColor="text1"/>
          <w:sz w:val="24"/>
          <w:szCs w:val="24"/>
          <w14:textFill>
            <w14:solidFill>
              <w14:schemeClr w14:val="tx1"/>
            </w14:solidFill>
          </w14:textFill>
        </w:rPr>
        <w:t>。</w:t>
      </w:r>
    </w:p>
    <w:p w14:paraId="7F0DC1DF">
      <w:pPr>
        <w:spacing w:line="360" w:lineRule="auto"/>
        <w:ind w:firstLine="556"/>
        <w:rPr>
          <w:rFonts w:hint="default" w:ascii="Calibri" w:hAnsi="Calibri" w:eastAsia="宋体" w:cs="Times New Roman"/>
          <w:color w:val="000000" w:themeColor="text1"/>
          <w:sz w:val="24"/>
          <w:szCs w:val="24"/>
          <w:lang w:val="en-US" w:eastAsia="zh-CN"/>
          <w14:textFill>
            <w14:solidFill>
              <w14:schemeClr w14:val="tx1"/>
            </w14:solidFill>
          </w14:textFill>
        </w:rPr>
      </w:pPr>
      <w:r>
        <w:rPr>
          <w:rFonts w:hint="eastAsia" w:ascii="Calibri" w:hAnsi="Calibri" w:eastAsia="宋体" w:cs="Times New Roman"/>
          <w:b/>
          <w:color w:val="000000" w:themeColor="text1"/>
          <w:sz w:val="24"/>
          <w:szCs w:val="24"/>
          <w14:textFill>
            <w14:solidFill>
              <w14:schemeClr w14:val="tx1"/>
            </w14:solidFill>
          </w14:textFill>
        </w:rPr>
        <w:t>基本要求：</w:t>
      </w:r>
      <w:r>
        <w:rPr>
          <w:rFonts w:hint="eastAsia" w:ascii="Calibri" w:hAnsi="Calibri" w:eastAsia="宋体" w:cs="Times New Roman"/>
          <w:color w:val="000000" w:themeColor="text1"/>
          <w:sz w:val="24"/>
          <w:szCs w:val="24"/>
          <w:lang w:val="en-US" w:eastAsia="zh-CN"/>
          <w14:textFill>
            <w14:solidFill>
              <w14:schemeClr w14:val="tx1"/>
            </w14:solidFill>
          </w14:textFill>
        </w:rPr>
        <w:t>用于分株的母株选择1年以上生长健壮的植株，用锋利的刀分成含有2~3个芽的小丛，定植于底肥充足的营养土中。定植后的管理技术主要包括70%~75%遮阴网的布置、人工除草、由浅及深的水位控制、由少到多的追肥、修剪枯枝残叶结合追肥进行以及病虫害防治等6方面的操作技术。</w:t>
      </w:r>
    </w:p>
    <w:p w14:paraId="2B4934B9">
      <w:pPr>
        <w:spacing w:line="560" w:lineRule="exact"/>
        <w:ind w:firstLine="640"/>
        <w:rPr>
          <w:rFonts w:asciiTheme="minorEastAsia" w:hAnsiTheme="minorEastAsia"/>
          <w:b/>
          <w:sz w:val="28"/>
          <w:szCs w:val="28"/>
        </w:rPr>
      </w:pPr>
      <w:r>
        <w:rPr>
          <w:rFonts w:hint="eastAsia" w:asciiTheme="minorEastAsia" w:hAnsiTheme="minorEastAsia"/>
          <w:b/>
          <w:sz w:val="28"/>
          <w:szCs w:val="28"/>
        </w:rPr>
        <w:t>3. 主要试验（或验证）的分析、综述报告，技术经济论证，预期的经济结果</w:t>
      </w:r>
    </w:p>
    <w:p w14:paraId="688DD943">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3.1 试验（或验证）的主体</w:t>
      </w:r>
    </w:p>
    <w:p w14:paraId="6148A97A">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标准起草单位为中国热带农业科学院热带作物品种资源研究所（农业农村部热带作物种子种苗质量监督检验测试中心），同时也是标准的使用单位；种苗生产单位为佛山市高明区田园水生植物场；海南省市场监督管理局为种苗质量管理的主体部门。</w:t>
      </w:r>
    </w:p>
    <w:p w14:paraId="62C7BE8E">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3.2 试验（或验证）的方法、手段</w:t>
      </w:r>
    </w:p>
    <w:p w14:paraId="3CBAC5C0">
      <w:pPr>
        <w:spacing w:line="560" w:lineRule="exact"/>
        <w:ind w:firstLine="645"/>
        <w:jc w:val="left"/>
        <w:rPr>
          <w:rFonts w:ascii="Calibri" w:hAnsi="Calibri" w:eastAsia="宋体" w:cs="Times New Roman"/>
          <w:sz w:val="24"/>
          <w:szCs w:val="24"/>
        </w:rPr>
      </w:pPr>
      <w:r>
        <w:rPr>
          <w:rFonts w:hint="eastAsia" w:ascii="Calibri" w:hAnsi="Calibri" w:eastAsia="宋体" w:cs="Times New Roman"/>
          <w:sz w:val="24"/>
          <w:szCs w:val="24"/>
        </w:rPr>
        <w:t>于2021~2023到年前往佛山市高明区田园水生植物场进行纸莎草种苗实地调查，了解种苗的繁育技术、种植情况、种苗的质量及生产中存在的问题等；2023年调研海南的湿地公园、水生植物区，收集样品并采集相关数据，了解海南的资源分布、生产、种植情况。</w:t>
      </w:r>
    </w:p>
    <w:p w14:paraId="0518CBC8">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w:t>
      </w:r>
      <w:r>
        <w:rPr>
          <w:rFonts w:hint="eastAsia" w:ascii="Calibri" w:hAnsi="Calibri" w:eastAsia="宋体" w:cs="Times New Roman"/>
          <w:sz w:val="24"/>
          <w:szCs w:val="24"/>
          <w:lang w:val="en-US" w:eastAsia="zh-CN"/>
        </w:rPr>
        <w:t>3</w:t>
      </w:r>
      <w:r>
        <w:rPr>
          <w:rFonts w:hint="eastAsia" w:ascii="Calibri" w:hAnsi="Calibri" w:eastAsia="宋体" w:cs="Times New Roman"/>
          <w:sz w:val="24"/>
          <w:szCs w:val="24"/>
        </w:rPr>
        <w:t xml:space="preserve"> 实施标准的可行性</w:t>
      </w:r>
    </w:p>
    <w:p w14:paraId="3CB29A6F">
      <w:pPr>
        <w:spacing w:line="560" w:lineRule="exact"/>
        <w:ind w:firstLine="645"/>
        <w:jc w:val="left"/>
        <w:rPr>
          <w:rFonts w:ascii="Calibri" w:hAnsi="Calibri" w:eastAsia="宋体" w:cs="Times New Roman"/>
          <w:sz w:val="24"/>
          <w:szCs w:val="24"/>
        </w:rPr>
      </w:pPr>
      <w:r>
        <w:rPr>
          <w:rFonts w:hint="eastAsia" w:ascii="Calibri" w:hAnsi="Calibri" w:eastAsia="宋体" w:cs="Times New Roman"/>
          <w:sz w:val="24"/>
          <w:szCs w:val="24"/>
        </w:rPr>
        <w:t>本标准规范性技术符合实际要求，操作简便、经济合理。</w:t>
      </w:r>
    </w:p>
    <w:p w14:paraId="22DD8EA7">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3.5 标准实施后预期产生的社会效益、经济效益或生态效益等</w:t>
      </w:r>
    </w:p>
    <w:p w14:paraId="5D6F30C0">
      <w:pPr>
        <w:spacing w:line="560" w:lineRule="exact"/>
        <w:jc w:val="left"/>
        <w:rPr>
          <w:rFonts w:hint="default" w:ascii="Calibri" w:hAnsi="Calibri" w:eastAsia="宋体" w:cs="Times New Roman"/>
          <w:sz w:val="24"/>
          <w:szCs w:val="24"/>
          <w:lang w:val="en-US"/>
        </w:rPr>
      </w:pPr>
      <w:r>
        <w:rPr>
          <w:rFonts w:hint="eastAsia" w:ascii="Calibri" w:hAnsi="Calibri" w:eastAsia="宋体" w:cs="Times New Roman"/>
          <w:sz w:val="24"/>
          <w:szCs w:val="24"/>
        </w:rPr>
        <w:t xml:space="preserve">    </w:t>
      </w:r>
      <w:r>
        <w:rPr>
          <w:rFonts w:hint="eastAsia" w:ascii="Calibri" w:hAnsi="Calibri" w:eastAsia="宋体" w:cs="Times New Roman"/>
          <w:sz w:val="24"/>
          <w:szCs w:val="24"/>
          <w:lang w:val="en-US" w:eastAsia="zh-CN"/>
        </w:rPr>
        <w:t>纸莎草种苗繁育技术标准</w:t>
      </w:r>
      <w:r>
        <w:rPr>
          <w:rFonts w:hint="eastAsia" w:ascii="Calibri" w:hAnsi="Calibri" w:eastAsia="宋体" w:cs="Times New Roman"/>
          <w:sz w:val="24"/>
          <w:szCs w:val="24"/>
        </w:rPr>
        <w:t>的制定可保证规模化生产种苗的质量，</w:t>
      </w:r>
      <w:r>
        <w:rPr>
          <w:rFonts w:hint="eastAsia" w:ascii="Calibri" w:hAnsi="Calibri" w:eastAsia="宋体" w:cs="Times New Roman"/>
          <w:sz w:val="24"/>
          <w:szCs w:val="24"/>
          <w:lang w:val="en-US" w:eastAsia="zh-CN"/>
        </w:rPr>
        <w:t>提升种苗的市场价值，促进产业的健康发展，为美丽海南的建设提供支持。</w:t>
      </w:r>
    </w:p>
    <w:p w14:paraId="36E11410">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4. 采用国际标准和国外先进标准的程度</w:t>
      </w:r>
    </w:p>
    <w:p w14:paraId="68189E7A">
      <w:pPr>
        <w:spacing w:line="560" w:lineRule="exact"/>
        <w:ind w:firstLine="555"/>
        <w:rPr>
          <w:rFonts w:ascii="Calibri" w:hAnsi="Calibri" w:eastAsia="宋体" w:cs="Times New Roman"/>
          <w:sz w:val="24"/>
          <w:szCs w:val="24"/>
        </w:rPr>
      </w:pPr>
      <w:r>
        <w:rPr>
          <w:rFonts w:hint="eastAsia" w:ascii="Calibri" w:hAnsi="Calibri" w:eastAsia="宋体" w:cs="Times New Roman"/>
          <w:sz w:val="24"/>
          <w:szCs w:val="24"/>
        </w:rPr>
        <w:t>无。</w:t>
      </w:r>
    </w:p>
    <w:p w14:paraId="582301C6">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5. 与有关的现行法律法规和强制性标准的关系</w:t>
      </w:r>
    </w:p>
    <w:p w14:paraId="56D689C3">
      <w:pPr>
        <w:spacing w:line="560" w:lineRule="exact"/>
        <w:ind w:firstLine="555"/>
        <w:rPr>
          <w:rFonts w:ascii="Calibri" w:hAnsi="Calibri" w:eastAsia="宋体" w:cs="Times New Roman"/>
          <w:sz w:val="24"/>
          <w:szCs w:val="24"/>
        </w:rPr>
      </w:pPr>
      <w:r>
        <w:rPr>
          <w:rFonts w:hint="eastAsia" w:ascii="Calibri" w:hAnsi="Calibri" w:eastAsia="宋体" w:cs="Times New Roman"/>
          <w:sz w:val="24"/>
          <w:szCs w:val="24"/>
        </w:rPr>
        <w:t>在标准的制定过程中严格贯彻国家有关方针、政策、法律和规章，经过国家市场技术监督管理局中国标准网检索，海南省市场监督管理局网站查询，标准的名称、内容及指标与现行法律法规和强制性的标准没有冲突，不存在包含、重复、交叉问题，与相关的各种基础标准相衔接，遵循了政策性和协调同一性的原则。</w:t>
      </w:r>
    </w:p>
    <w:p w14:paraId="7B350F0E">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6. 重大分歧意见的处理经过和依据</w:t>
      </w:r>
    </w:p>
    <w:p w14:paraId="0535FC35">
      <w:pPr>
        <w:spacing w:line="56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无。</w:t>
      </w:r>
    </w:p>
    <w:p w14:paraId="3CEDBA34">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7. 标准作为强制性或推荐性标准发布的意见</w:t>
      </w:r>
    </w:p>
    <w:p w14:paraId="5CD17B73">
      <w:pPr>
        <w:spacing w:line="560" w:lineRule="exact"/>
        <w:ind w:firstLine="640"/>
        <w:rPr>
          <w:rFonts w:ascii="Calibri" w:hAnsi="Calibri" w:eastAsia="宋体" w:cs="Times New Roman"/>
          <w:sz w:val="24"/>
          <w:szCs w:val="24"/>
        </w:rPr>
      </w:pPr>
      <w:r>
        <w:rPr>
          <w:rFonts w:hint="eastAsia" w:ascii="Calibri" w:hAnsi="Calibri" w:eastAsia="宋体" w:cs="Times New Roman"/>
          <w:sz w:val="24"/>
          <w:szCs w:val="24"/>
        </w:rPr>
        <w:t>本标准作为地方标准，并不涉及有关国家安全、保护人体健康和人身财产安全、环境质量要求等有关强制性地方标准或强制性条文等的八项要求之一。因此，建议作为推荐性标准颁布实施。</w:t>
      </w:r>
    </w:p>
    <w:p w14:paraId="214B07BB">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8. 贯彻标准的要求和措施建议</w:t>
      </w:r>
    </w:p>
    <w:p w14:paraId="422B1D49">
      <w:pPr>
        <w:spacing w:line="560" w:lineRule="exact"/>
        <w:rPr>
          <w:rFonts w:ascii="Calibri" w:hAnsi="Calibri" w:eastAsia="宋体" w:cs="Times New Roman"/>
          <w:sz w:val="24"/>
          <w:szCs w:val="24"/>
        </w:rPr>
      </w:pPr>
      <w:r>
        <w:rPr>
          <w:rFonts w:hint="eastAsia" w:ascii="Calibri" w:hAnsi="Calibri" w:eastAsia="宋体" w:cs="Times New Roman"/>
          <w:sz w:val="24"/>
          <w:szCs w:val="24"/>
        </w:rPr>
        <w:t xml:space="preserve">    建议本标准发布后，建议在海南</w:t>
      </w:r>
      <w:r>
        <w:rPr>
          <w:rFonts w:hint="eastAsia" w:ascii="Calibri" w:hAnsi="Calibri" w:eastAsia="宋体" w:cs="Times New Roman"/>
          <w:sz w:val="24"/>
          <w:szCs w:val="24"/>
          <w:lang w:val="en-US" w:eastAsia="zh-CN"/>
        </w:rPr>
        <w:t>海口</w:t>
      </w:r>
      <w:r>
        <w:rPr>
          <w:rFonts w:hint="eastAsia" w:ascii="Calibri" w:hAnsi="Calibri" w:eastAsia="宋体" w:cs="Times New Roman"/>
          <w:sz w:val="24"/>
          <w:szCs w:val="24"/>
        </w:rPr>
        <w:t>、</w:t>
      </w:r>
      <w:r>
        <w:rPr>
          <w:rFonts w:hint="eastAsia" w:ascii="Calibri" w:hAnsi="Calibri" w:eastAsia="宋体" w:cs="Times New Roman"/>
          <w:sz w:val="24"/>
          <w:szCs w:val="24"/>
          <w:lang w:val="en-US" w:eastAsia="zh-CN"/>
        </w:rPr>
        <w:t>三亚、陵水</w:t>
      </w:r>
      <w:r>
        <w:rPr>
          <w:rFonts w:hint="eastAsia" w:ascii="Calibri" w:hAnsi="Calibri" w:eastAsia="宋体" w:cs="Times New Roman"/>
          <w:sz w:val="24"/>
          <w:szCs w:val="24"/>
        </w:rPr>
        <w:t>等主要</w:t>
      </w:r>
      <w:r>
        <w:rPr>
          <w:rFonts w:hint="eastAsia" w:ascii="Calibri" w:hAnsi="Calibri" w:eastAsia="宋体" w:cs="Times New Roman"/>
          <w:sz w:val="24"/>
          <w:szCs w:val="24"/>
          <w:lang w:val="en-US" w:eastAsia="zh-CN"/>
        </w:rPr>
        <w:t>湿地区域</w:t>
      </w:r>
      <w:r>
        <w:rPr>
          <w:rFonts w:hint="eastAsia" w:ascii="Calibri" w:hAnsi="Calibri" w:eastAsia="宋体" w:cs="Times New Roman"/>
          <w:sz w:val="24"/>
          <w:szCs w:val="24"/>
        </w:rPr>
        <w:t>举办标准宣贯培训班，并联合技术专家讲解</w:t>
      </w:r>
      <w:r>
        <w:rPr>
          <w:rFonts w:hint="eastAsia" w:ascii="Calibri" w:hAnsi="Calibri" w:eastAsia="宋体" w:cs="Times New Roman"/>
          <w:sz w:val="24"/>
          <w:szCs w:val="24"/>
          <w:lang w:val="en-US" w:eastAsia="zh-CN"/>
        </w:rPr>
        <w:t>纸莎草</w:t>
      </w:r>
      <w:r>
        <w:rPr>
          <w:rFonts w:hint="eastAsia" w:ascii="Calibri" w:hAnsi="Calibri" w:eastAsia="宋体" w:cs="Times New Roman"/>
          <w:sz w:val="24"/>
          <w:szCs w:val="24"/>
        </w:rPr>
        <w:t>种植技术相关培训。</w:t>
      </w:r>
    </w:p>
    <w:p w14:paraId="1D42CF24">
      <w:pPr>
        <w:spacing w:line="560" w:lineRule="exact"/>
        <w:ind w:firstLine="640"/>
        <w:rPr>
          <w:rFonts w:hint="eastAsia" w:cs="Times New Roman" w:asciiTheme="minorEastAsia" w:hAnsiTheme="minorEastAsia"/>
          <w:b/>
          <w:sz w:val="28"/>
          <w:szCs w:val="28"/>
        </w:rPr>
      </w:pPr>
    </w:p>
    <w:p w14:paraId="2C599585">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9. 废止现行有关标准的建议</w:t>
      </w:r>
    </w:p>
    <w:p w14:paraId="6663C357">
      <w:pPr>
        <w:spacing w:line="56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无。</w:t>
      </w:r>
    </w:p>
    <w:p w14:paraId="687F2258">
      <w:pPr>
        <w:spacing w:line="560" w:lineRule="exact"/>
        <w:ind w:firstLine="640"/>
        <w:rPr>
          <w:rFonts w:cs="Times New Roman" w:asciiTheme="minorEastAsia" w:hAnsiTheme="minorEastAsia"/>
          <w:b/>
          <w:sz w:val="28"/>
          <w:szCs w:val="28"/>
        </w:rPr>
      </w:pPr>
      <w:r>
        <w:rPr>
          <w:rFonts w:hint="eastAsia" w:cs="Times New Roman" w:asciiTheme="minorEastAsia" w:hAnsiTheme="minorEastAsia"/>
          <w:b/>
          <w:sz w:val="28"/>
          <w:szCs w:val="28"/>
        </w:rPr>
        <w:t>10. 其它应于说明的事项</w:t>
      </w:r>
    </w:p>
    <w:p w14:paraId="305C9419">
      <w:pPr>
        <w:spacing w:line="560" w:lineRule="exact"/>
        <w:ind w:firstLine="480" w:firstLineChars="200"/>
        <w:jc w:val="left"/>
        <w:rPr>
          <w:rFonts w:ascii="Calibri" w:hAnsi="Calibri" w:eastAsia="宋体" w:cs="Times New Roman"/>
          <w:sz w:val="24"/>
          <w:szCs w:val="24"/>
        </w:rPr>
      </w:pPr>
      <w:r>
        <w:rPr>
          <w:rFonts w:hint="eastAsia" w:ascii="Calibri" w:hAnsi="Calibri" w:eastAsia="宋体" w:cs="Times New Roman"/>
          <w:sz w:val="24"/>
          <w:szCs w:val="24"/>
        </w:rPr>
        <w:t>无。</w:t>
      </w:r>
    </w:p>
    <w:p w14:paraId="41D6FA53">
      <w:pPr>
        <w:spacing w:line="460" w:lineRule="exact"/>
        <w:rPr>
          <w:rFonts w:hint="eastAsia" w:asciiTheme="minorEastAsia" w:hAnsiTheme="minorEastAsia"/>
          <w:b/>
          <w:sz w:val="28"/>
          <w:szCs w:val="28"/>
        </w:rPr>
      </w:pPr>
    </w:p>
    <w:p w14:paraId="7F3C8529">
      <w:pPr>
        <w:spacing w:line="460" w:lineRule="exact"/>
        <w:rPr>
          <w:rFonts w:asciiTheme="minorEastAsia" w:hAnsiTheme="minorEastAsia"/>
          <w:b/>
          <w:sz w:val="28"/>
          <w:szCs w:val="28"/>
        </w:rPr>
      </w:pPr>
      <w:r>
        <w:rPr>
          <w:rFonts w:hint="eastAsia" w:asciiTheme="minorEastAsia" w:hAnsiTheme="minorEastAsia"/>
          <w:b/>
          <w:sz w:val="28"/>
          <w:szCs w:val="28"/>
        </w:rPr>
        <w:t>参考文献：</w:t>
      </w:r>
    </w:p>
    <w:p w14:paraId="33671469">
      <w:pPr>
        <w:spacing w:line="460" w:lineRule="exact"/>
        <w:rPr>
          <w:rFonts w:hint="eastAsia" w:asciiTheme="minorEastAsia" w:hAnsiTheme="minorEastAsia"/>
          <w:szCs w:val="21"/>
        </w:rPr>
      </w:pPr>
      <w:r>
        <w:rPr>
          <w:rFonts w:hint="eastAsia" w:asciiTheme="minorEastAsia" w:hAnsiTheme="minorEastAsia"/>
          <w:szCs w:val="21"/>
          <w:lang w:val="en-US" w:eastAsia="zh-CN"/>
        </w:rPr>
        <w:t>1.</w:t>
      </w:r>
      <w:r>
        <w:rPr>
          <w:rFonts w:hint="eastAsia" w:asciiTheme="minorEastAsia" w:hAnsiTheme="minorEastAsia"/>
          <w:szCs w:val="21"/>
        </w:rPr>
        <w:t>中国科学院中国植物志编辑委员会中国植物志(第80卷)[M].北京市:科学出版化1959-2004 ．</w:t>
      </w:r>
    </w:p>
    <w:p w14:paraId="2A985DE8">
      <w:pPr>
        <w:spacing w:line="460" w:lineRule="exact"/>
        <w:rPr>
          <w:rFonts w:hint="eastAsia" w:asciiTheme="minorEastAsia" w:hAnsiTheme="minorEastAsia"/>
          <w:szCs w:val="21"/>
        </w:rPr>
      </w:pPr>
      <w:r>
        <w:rPr>
          <w:rFonts w:hint="eastAsia" w:asciiTheme="minorEastAsia" w:hAnsiTheme="minorEastAsia"/>
          <w:szCs w:val="21"/>
          <w:lang w:val="en-US" w:eastAsia="zh-CN"/>
        </w:rPr>
        <w:t>2.</w:t>
      </w:r>
      <w:r>
        <w:rPr>
          <w:rFonts w:hint="eastAsia" w:asciiTheme="minorEastAsia" w:hAnsiTheme="minorEastAsia"/>
          <w:szCs w:val="21"/>
        </w:rPr>
        <w:t>李冬林, 王 磊, 丁晶晶, 等. 水生植物的生态功能和资源应用[J]. 湿地科学, 2011, 9（3）：290-296.（3）：290-296.</w:t>
      </w:r>
    </w:p>
    <w:p w14:paraId="5C5504BB">
      <w:pPr>
        <w:spacing w:line="460" w:lineRule="exact"/>
        <w:rPr>
          <w:rFonts w:hint="eastAsia" w:asciiTheme="minorEastAsia" w:hAnsiTheme="minorEastAsia"/>
          <w:szCs w:val="21"/>
        </w:rPr>
      </w:pPr>
      <w:r>
        <w:rPr>
          <w:rFonts w:hint="eastAsia" w:asciiTheme="minorEastAsia" w:hAnsiTheme="minorEastAsia"/>
          <w:szCs w:val="21"/>
          <w:lang w:val="en-US" w:eastAsia="zh-CN"/>
        </w:rPr>
        <w:t>3.</w:t>
      </w:r>
      <w:r>
        <w:rPr>
          <w:rFonts w:hint="eastAsia" w:asciiTheme="minorEastAsia" w:hAnsiTheme="minorEastAsia"/>
          <w:szCs w:val="21"/>
        </w:rPr>
        <w:t xml:space="preserve"> Perbangkhem T, Polprasert C. Biomass production of papyrus（Cyperus papyrus）in constructed wetland treating low-strength domestic wastewater[J]. Bioresource Technology, 2010, 101（2）：833-835.</w:t>
      </w:r>
    </w:p>
    <w:p w14:paraId="3D25B239">
      <w:pPr>
        <w:spacing w:line="460" w:lineRule="exact"/>
        <w:rPr>
          <w:rFonts w:hint="eastAsia" w:asciiTheme="minorEastAsia" w:hAnsiTheme="minorEastAsia"/>
          <w:szCs w:val="21"/>
        </w:rPr>
      </w:pPr>
      <w:r>
        <w:rPr>
          <w:rFonts w:hint="eastAsia" w:asciiTheme="minorEastAsia" w:hAnsiTheme="minorEastAsia"/>
          <w:szCs w:val="21"/>
          <w:lang w:val="en-US" w:eastAsia="zh-CN"/>
        </w:rPr>
        <w:t>4.</w:t>
      </w:r>
      <w:r>
        <w:rPr>
          <w:rFonts w:hint="eastAsia" w:asciiTheme="minorEastAsia" w:hAnsiTheme="minorEastAsia"/>
          <w:szCs w:val="21"/>
        </w:rPr>
        <w:t xml:space="preserve"> Mnaya B, Asaeda T, Kiwango Y, et al. Primary production in papyrus（Cyperus papyrus L.）of Rubondo Island, Lake Victoria, Tanzania[J].Wetlands Ecology and Management, 2007, 15（4）：269-275.</w:t>
      </w:r>
    </w:p>
    <w:p w14:paraId="287111EA">
      <w:pPr>
        <w:spacing w:line="460" w:lineRule="exact"/>
        <w:rPr>
          <w:rFonts w:hint="eastAsia" w:asciiTheme="minorEastAsia" w:hAnsiTheme="minorEastAsia"/>
          <w:szCs w:val="21"/>
        </w:rPr>
      </w:pPr>
      <w:r>
        <w:rPr>
          <w:rFonts w:hint="eastAsia" w:asciiTheme="minorEastAsia" w:hAnsiTheme="minorEastAsia"/>
          <w:szCs w:val="21"/>
          <w:lang w:val="en-US" w:eastAsia="zh-CN"/>
        </w:rPr>
        <w:t>5.</w:t>
      </w:r>
      <w:r>
        <w:rPr>
          <w:rFonts w:hint="eastAsia" w:asciiTheme="minorEastAsia" w:hAnsiTheme="minorEastAsia"/>
          <w:szCs w:val="21"/>
        </w:rPr>
        <w:t>Fonkou T I, Balock S, Lekeufack M, et al. Potential of Cyperus papyrus in yard-scale horizontal flow constructed wetlands for wastewater treatment in Cameroon[J]. Universal Journal of Environmental Research andTechnology, 2011, 1(2)：160-168.</w:t>
      </w:r>
    </w:p>
    <w:p w14:paraId="18ECAF62">
      <w:pPr>
        <w:spacing w:line="460" w:lineRule="exact"/>
        <w:rPr>
          <w:rFonts w:hint="eastAsia" w:asciiTheme="minorEastAsia" w:hAnsiTheme="minorEastAsia"/>
          <w:szCs w:val="21"/>
        </w:rPr>
      </w:pPr>
      <w:r>
        <w:rPr>
          <w:rFonts w:hint="eastAsia" w:asciiTheme="minorEastAsia" w:hAnsiTheme="minorEastAsia"/>
          <w:szCs w:val="21"/>
          <w:lang w:val="en-US" w:eastAsia="zh-CN"/>
        </w:rPr>
        <w:t>6.</w:t>
      </w:r>
      <w:r>
        <w:rPr>
          <w:rFonts w:hint="eastAsia" w:asciiTheme="minorEastAsia" w:hAnsiTheme="minorEastAsia"/>
          <w:szCs w:val="21"/>
        </w:rPr>
        <w:t xml:space="preserve"> SHI Lei, WANG Bao-zhen, CAO Xiang-dong, et al. Performance of asubsurface-flow constructed wetland in Southern China[J]. Journal ofEnvironmental Sciences, 2004, 16(3): 476-481.</w:t>
      </w:r>
    </w:p>
    <w:p w14:paraId="1B2FB33A">
      <w:pPr>
        <w:spacing w:line="460" w:lineRule="exact"/>
        <w:rPr>
          <w:rFonts w:hint="eastAsia" w:asciiTheme="minorEastAsia" w:hAnsiTheme="minorEastAsia"/>
          <w:szCs w:val="21"/>
        </w:rPr>
      </w:pPr>
      <w:r>
        <w:rPr>
          <w:rFonts w:hint="eastAsia" w:asciiTheme="minorEastAsia" w:hAnsiTheme="minorEastAsia"/>
          <w:szCs w:val="21"/>
          <w:lang w:val="en-US" w:eastAsia="zh-CN"/>
        </w:rPr>
        <w:t>7.</w:t>
      </w:r>
      <w:r>
        <w:rPr>
          <w:rFonts w:hint="eastAsia" w:asciiTheme="minorEastAsia" w:hAnsiTheme="minorEastAsia"/>
          <w:szCs w:val="21"/>
        </w:rPr>
        <w:t xml:space="preserve"> Fernando G. Treatment of municipal wastewater by vertical subsurface flow constructed wetland: data collection on removal eciency using Phragmites australis and Cyperus papyrus[J].Data Brief, 2020, 30: 105584．</w:t>
      </w:r>
    </w:p>
    <w:p w14:paraId="7588BC17">
      <w:pPr>
        <w:spacing w:line="460" w:lineRule="exact"/>
        <w:rPr>
          <w:rFonts w:hint="eastAsia" w:asciiTheme="minorEastAsia" w:hAnsiTheme="minorEastAsia"/>
          <w:szCs w:val="21"/>
        </w:rPr>
      </w:pPr>
      <w:r>
        <w:rPr>
          <w:rFonts w:hint="eastAsia" w:asciiTheme="minorEastAsia" w:hAnsiTheme="minorEastAsia"/>
          <w:szCs w:val="21"/>
          <w:lang w:val="en-US" w:eastAsia="zh-CN"/>
        </w:rPr>
        <w:t>8.</w:t>
      </w:r>
      <w:r>
        <w:rPr>
          <w:rFonts w:hint="eastAsia" w:asciiTheme="minorEastAsia" w:hAnsiTheme="minorEastAsia"/>
          <w:szCs w:val="21"/>
        </w:rPr>
        <w:t xml:space="preserve"> Xiao SC，Tan NH，Tang L, et al. Effects of water eutrophication on the chemical constituents of underground part of Cyperus papyrus[J]. J Agro-Environ Sci( 农业环境科学学报), 2013, 32: 2264-2270．</w:t>
      </w:r>
    </w:p>
    <w:p w14:paraId="18BA980A">
      <w:pPr>
        <w:spacing w:line="460" w:lineRule="exact"/>
        <w:rPr>
          <w:rFonts w:hint="eastAsia" w:asciiTheme="minorEastAsia" w:hAnsiTheme="minorEastAsia"/>
          <w:szCs w:val="21"/>
        </w:rPr>
      </w:pPr>
      <w:r>
        <w:rPr>
          <w:rFonts w:hint="eastAsia" w:asciiTheme="minorEastAsia" w:hAnsiTheme="minorEastAsia"/>
          <w:szCs w:val="21"/>
          <w:lang w:val="en-US" w:eastAsia="zh-CN"/>
        </w:rPr>
        <w:t>9.</w:t>
      </w:r>
      <w:r>
        <w:rPr>
          <w:rFonts w:hint="eastAsia" w:asciiTheme="minorEastAsia" w:hAnsiTheme="minorEastAsia"/>
          <w:szCs w:val="21"/>
        </w:rPr>
        <w:t>中华人民共和国药典: 第一部)[M]. 北京：中国医药科学出版社，2015: 258．</w:t>
      </w:r>
    </w:p>
    <w:p w14:paraId="2D992CB1">
      <w:pPr>
        <w:spacing w:line="460" w:lineRule="exact"/>
        <w:rPr>
          <w:rFonts w:hint="eastAsia" w:asciiTheme="minorEastAsia" w:hAnsiTheme="minorEastAsia"/>
          <w:szCs w:val="21"/>
        </w:rPr>
      </w:pPr>
      <w:r>
        <w:rPr>
          <w:rFonts w:hint="eastAsia" w:asciiTheme="minorEastAsia" w:hAnsiTheme="minorEastAsia"/>
          <w:szCs w:val="21"/>
          <w:lang w:val="en-US" w:eastAsia="zh-CN"/>
        </w:rPr>
        <w:t>10.</w:t>
      </w:r>
      <w:r>
        <w:rPr>
          <w:rFonts w:hint="eastAsia" w:asciiTheme="minorEastAsia" w:hAnsiTheme="minorEastAsia"/>
          <w:szCs w:val="21"/>
        </w:rPr>
        <w:t>张勇,岳亮亮,李丽萍,等. 利用本土和外来植物修复“退塘还湿”鱼塘植物群落和改善水质的效果对比[J]. 湿地科学, 2018, 16 (03): 329-333. DOI:10.13248/j.cnki.wetlandsci.2018.03.007.</w:t>
      </w:r>
    </w:p>
    <w:p w14:paraId="0610AF5B">
      <w:pPr>
        <w:spacing w:line="460" w:lineRule="exact"/>
        <w:rPr>
          <w:rFonts w:hint="eastAsia" w:asciiTheme="minorEastAsia" w:hAnsiTheme="minorEastAsia"/>
          <w:szCs w:val="21"/>
        </w:rPr>
      </w:pPr>
      <w:r>
        <w:rPr>
          <w:rFonts w:hint="eastAsia" w:asciiTheme="minorEastAsia" w:hAnsiTheme="minorEastAsia"/>
          <w:szCs w:val="21"/>
          <w:lang w:val="en-US" w:eastAsia="zh-CN"/>
        </w:rPr>
        <w:t>11.</w:t>
      </w:r>
      <w:r>
        <w:rPr>
          <w:rFonts w:hint="eastAsia" w:asciiTheme="minorEastAsia" w:hAnsiTheme="minorEastAsia"/>
          <w:szCs w:val="21"/>
        </w:rPr>
        <w:t>廖世良,苏文航,黄彬彬,等. 水生植物对高峰森林公园水体的净化初探 [J]. 农业与技术, 2023,43 (03): 38-41. DOI:10.19754/j.nyyjs.20230215010.</w:t>
      </w:r>
    </w:p>
    <w:p w14:paraId="301277DA">
      <w:pPr>
        <w:spacing w:line="460" w:lineRule="exact"/>
        <w:rPr>
          <w:rFonts w:hint="eastAsia" w:asciiTheme="minorEastAsia" w:hAnsiTheme="minorEastAsia"/>
          <w:szCs w:val="21"/>
        </w:rPr>
      </w:pPr>
      <w:r>
        <w:rPr>
          <w:rFonts w:hint="eastAsia" w:asciiTheme="minorEastAsia" w:hAnsiTheme="minorEastAsia"/>
          <w:szCs w:val="21"/>
          <w:lang w:val="en-US" w:eastAsia="zh-CN"/>
        </w:rPr>
        <w:t>12.</w:t>
      </w:r>
      <w:r>
        <w:rPr>
          <w:rFonts w:hint="eastAsia" w:asciiTheme="minorEastAsia" w:hAnsiTheme="minorEastAsia"/>
          <w:szCs w:val="21"/>
        </w:rPr>
        <w:t>杨楠. 水生植物在美丽乡村建设中的应用研究[D]. 中南林业科技大学, 2019. ，</w:t>
      </w:r>
    </w:p>
    <w:p w14:paraId="4B0D1569">
      <w:pPr>
        <w:spacing w:line="460" w:lineRule="exact"/>
        <w:rPr>
          <w:rFonts w:hint="eastAsia" w:asciiTheme="minorEastAsia" w:hAnsiTheme="minorEastAsia"/>
          <w:szCs w:val="21"/>
        </w:rPr>
      </w:pPr>
      <w:r>
        <w:rPr>
          <w:rFonts w:hint="eastAsia" w:asciiTheme="minorEastAsia" w:hAnsiTheme="minorEastAsia"/>
          <w:szCs w:val="21"/>
          <w:lang w:val="en-US" w:eastAsia="zh-CN"/>
        </w:rPr>
        <w:t>13.</w:t>
      </w:r>
      <w:r>
        <w:rPr>
          <w:rFonts w:hint="eastAsia" w:asciiTheme="minorEastAsia" w:hAnsiTheme="minorEastAsia"/>
          <w:szCs w:val="21"/>
        </w:rPr>
        <w:t>段文兰,娄嘉豪,王蔷,等. 纸莎草的化学成分研究 [J]. 天然产物研究与开发, 2021, 33 (07): 1129-1136. DOI:10.16333/j.1001-6880.2021.7.007.</w:t>
      </w:r>
    </w:p>
    <w:p w14:paraId="60F1D893">
      <w:pPr>
        <w:spacing w:line="460" w:lineRule="exact"/>
        <w:rPr>
          <w:rFonts w:hint="eastAsia" w:asciiTheme="minorEastAsia" w:hAnsiTheme="minorEastAsia"/>
          <w:szCs w:val="21"/>
        </w:rPr>
      </w:pPr>
      <w:r>
        <w:rPr>
          <w:rFonts w:hint="eastAsia" w:asciiTheme="minorEastAsia" w:hAnsiTheme="minorEastAsia"/>
          <w:szCs w:val="21"/>
          <w:lang w:val="en-US" w:eastAsia="zh-CN"/>
        </w:rPr>
        <w:t>14.</w:t>
      </w:r>
      <w:r>
        <w:rPr>
          <w:rFonts w:hint="eastAsia" w:asciiTheme="minorEastAsia" w:hAnsiTheme="minorEastAsia"/>
          <w:szCs w:val="21"/>
        </w:rPr>
        <w:t>肖双成,谭宁华,汤利,等. 水体富营养化水平对纸莎草地下部化学成分的影响 [J]. 农业环境科学学报, 2013, 32 (11): 2264-2270.</w:t>
      </w:r>
    </w:p>
    <w:p w14:paraId="38AE4D52">
      <w:pPr>
        <w:spacing w:line="460" w:lineRule="exact"/>
        <w:rPr>
          <w:rFonts w:hint="eastAsia" w:asciiTheme="minorEastAsia" w:hAnsiTheme="minorEastAsia"/>
          <w:szCs w:val="21"/>
        </w:rPr>
      </w:pPr>
      <w:r>
        <w:rPr>
          <w:rFonts w:hint="eastAsia" w:asciiTheme="minorEastAsia" w:hAnsiTheme="minorEastAsia"/>
          <w:szCs w:val="21"/>
          <w:lang w:val="en-US" w:eastAsia="zh-CN"/>
        </w:rPr>
        <w:t>15.</w:t>
      </w:r>
      <w:r>
        <w:rPr>
          <w:rFonts w:hint="eastAsia" w:asciiTheme="minorEastAsia" w:hAnsiTheme="minorEastAsia"/>
          <w:szCs w:val="21"/>
        </w:rPr>
        <w:t xml:space="preserve"> Boonyarathanakornkit L, Che CT, Fong H, et al. Constituents of Croton crassifolius roots[J]. Planta Med, 1988, 54: 61-63．</w:t>
      </w:r>
    </w:p>
    <w:p w14:paraId="345C3F90">
      <w:pPr>
        <w:spacing w:line="460" w:lineRule="exact"/>
        <w:rPr>
          <w:rFonts w:hint="eastAsia" w:asciiTheme="minorEastAsia" w:hAnsiTheme="minorEastAsia"/>
          <w:szCs w:val="21"/>
        </w:rPr>
      </w:pPr>
      <w:r>
        <w:rPr>
          <w:rFonts w:hint="eastAsia" w:asciiTheme="minorEastAsia" w:hAnsiTheme="minorEastAsia"/>
          <w:szCs w:val="21"/>
        </w:rPr>
        <w:t>[16]Uppal SK，Chhabra BＲ，Kalsi PS． A biogenetically important hydrocarbon from Cyperus scariosus[J]. Phytochemistry, 1984, 23: 2367-2369．</w:t>
      </w:r>
    </w:p>
    <w:p w14:paraId="32E5A3DD">
      <w:pPr>
        <w:spacing w:line="460" w:lineRule="exact"/>
        <w:rPr>
          <w:rFonts w:asciiTheme="minorEastAsia" w:hAnsiTheme="minorEastAsia"/>
          <w:szCs w:val="21"/>
        </w:rPr>
      </w:pPr>
      <w:r>
        <w:rPr>
          <w:rFonts w:hint="eastAsia" w:asciiTheme="minorEastAsia" w:hAnsiTheme="minorEastAsia"/>
          <w:szCs w:val="21"/>
          <w:lang w:val="en-US" w:eastAsia="zh-CN"/>
        </w:rPr>
        <w:t>17.</w:t>
      </w:r>
      <w:r>
        <w:rPr>
          <w:rFonts w:hint="eastAsia" w:asciiTheme="minorEastAsia" w:hAnsiTheme="minorEastAsia"/>
          <w:szCs w:val="21"/>
        </w:rPr>
        <w:t>Hamad M T M H .Comparing the performance ofCyperus papyrusandTypha domingensisfor the removal of heavy metals, roxithromycin, levofloxacin and pathogenic bacteria from wastewater[J].Environmental Sciences Europe, 2023, 35(1).DOI:10.1186/s123</w:t>
      </w:r>
    </w:p>
    <w:p w14:paraId="158074C1">
      <w:pPr>
        <w:spacing w:line="360" w:lineRule="auto"/>
        <w:rPr>
          <w:rFonts w:ascii="Calibri" w:hAnsi="Calibri"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ZDY1NWFjZjZkNzNhOTRhMDYxMmFiODg4OTU3M2MifQ=="/>
  </w:docVars>
  <w:rsids>
    <w:rsidRoot w:val="0035719F"/>
    <w:rsid w:val="0002324D"/>
    <w:rsid w:val="00037334"/>
    <w:rsid w:val="00045E8F"/>
    <w:rsid w:val="00061C8E"/>
    <w:rsid w:val="00085AE9"/>
    <w:rsid w:val="000B4435"/>
    <w:rsid w:val="000C2351"/>
    <w:rsid w:val="000C53AD"/>
    <w:rsid w:val="000E09C1"/>
    <w:rsid w:val="000E6F99"/>
    <w:rsid w:val="000F2A3D"/>
    <w:rsid w:val="001045D0"/>
    <w:rsid w:val="0013726F"/>
    <w:rsid w:val="00143C2C"/>
    <w:rsid w:val="00176FCE"/>
    <w:rsid w:val="00187443"/>
    <w:rsid w:val="00187D68"/>
    <w:rsid w:val="001E7BAD"/>
    <w:rsid w:val="0020606C"/>
    <w:rsid w:val="00276479"/>
    <w:rsid w:val="002D3D4F"/>
    <w:rsid w:val="00300852"/>
    <w:rsid w:val="0035719F"/>
    <w:rsid w:val="003575B2"/>
    <w:rsid w:val="00366019"/>
    <w:rsid w:val="003B16FF"/>
    <w:rsid w:val="003B7E46"/>
    <w:rsid w:val="003D46F2"/>
    <w:rsid w:val="003F0698"/>
    <w:rsid w:val="0041764C"/>
    <w:rsid w:val="004249E4"/>
    <w:rsid w:val="00441A50"/>
    <w:rsid w:val="004834B2"/>
    <w:rsid w:val="00494D2A"/>
    <w:rsid w:val="004C3329"/>
    <w:rsid w:val="004F5497"/>
    <w:rsid w:val="005169FC"/>
    <w:rsid w:val="00532477"/>
    <w:rsid w:val="00554875"/>
    <w:rsid w:val="00554DB7"/>
    <w:rsid w:val="005552AF"/>
    <w:rsid w:val="0055698C"/>
    <w:rsid w:val="00562D31"/>
    <w:rsid w:val="00567134"/>
    <w:rsid w:val="00573C5C"/>
    <w:rsid w:val="005A5B39"/>
    <w:rsid w:val="005C5065"/>
    <w:rsid w:val="005E7259"/>
    <w:rsid w:val="0069418C"/>
    <w:rsid w:val="006F63F0"/>
    <w:rsid w:val="00701600"/>
    <w:rsid w:val="00722165"/>
    <w:rsid w:val="00733BF5"/>
    <w:rsid w:val="00740559"/>
    <w:rsid w:val="00750AB4"/>
    <w:rsid w:val="007542FB"/>
    <w:rsid w:val="00794EA8"/>
    <w:rsid w:val="007E2FDC"/>
    <w:rsid w:val="007E39B3"/>
    <w:rsid w:val="00816184"/>
    <w:rsid w:val="00836C3D"/>
    <w:rsid w:val="00860F4A"/>
    <w:rsid w:val="00875392"/>
    <w:rsid w:val="00896893"/>
    <w:rsid w:val="008C00F8"/>
    <w:rsid w:val="009273D6"/>
    <w:rsid w:val="009404F1"/>
    <w:rsid w:val="0094316D"/>
    <w:rsid w:val="00992345"/>
    <w:rsid w:val="009A42F3"/>
    <w:rsid w:val="009C2A1C"/>
    <w:rsid w:val="009F1623"/>
    <w:rsid w:val="00A223C0"/>
    <w:rsid w:val="00A37105"/>
    <w:rsid w:val="00A37E3F"/>
    <w:rsid w:val="00A52844"/>
    <w:rsid w:val="00A64593"/>
    <w:rsid w:val="00A8432B"/>
    <w:rsid w:val="00A869DC"/>
    <w:rsid w:val="00A87028"/>
    <w:rsid w:val="00AA0215"/>
    <w:rsid w:val="00AF4472"/>
    <w:rsid w:val="00B53933"/>
    <w:rsid w:val="00B82CB9"/>
    <w:rsid w:val="00BA5F6C"/>
    <w:rsid w:val="00BE28EC"/>
    <w:rsid w:val="00BE606E"/>
    <w:rsid w:val="00C1705E"/>
    <w:rsid w:val="00C21A9A"/>
    <w:rsid w:val="00C31E1E"/>
    <w:rsid w:val="00C3785F"/>
    <w:rsid w:val="00C4319A"/>
    <w:rsid w:val="00C55DC9"/>
    <w:rsid w:val="00C5711F"/>
    <w:rsid w:val="00C819E1"/>
    <w:rsid w:val="00CE486A"/>
    <w:rsid w:val="00D0558F"/>
    <w:rsid w:val="00D07F8F"/>
    <w:rsid w:val="00D2405D"/>
    <w:rsid w:val="00D30B33"/>
    <w:rsid w:val="00D33175"/>
    <w:rsid w:val="00D40D16"/>
    <w:rsid w:val="00D65843"/>
    <w:rsid w:val="00D70DA7"/>
    <w:rsid w:val="00D86267"/>
    <w:rsid w:val="00DA2617"/>
    <w:rsid w:val="00DA2EC7"/>
    <w:rsid w:val="00DE2201"/>
    <w:rsid w:val="00DF0BCE"/>
    <w:rsid w:val="00E16D46"/>
    <w:rsid w:val="00E25714"/>
    <w:rsid w:val="00E25C28"/>
    <w:rsid w:val="00E357DA"/>
    <w:rsid w:val="00EB3E0B"/>
    <w:rsid w:val="00F01079"/>
    <w:rsid w:val="00F3446B"/>
    <w:rsid w:val="00FA533E"/>
    <w:rsid w:val="00FC3318"/>
    <w:rsid w:val="00FF057F"/>
    <w:rsid w:val="0AC43BFC"/>
    <w:rsid w:val="0B046F76"/>
    <w:rsid w:val="0E005786"/>
    <w:rsid w:val="0E622A55"/>
    <w:rsid w:val="13200EFA"/>
    <w:rsid w:val="13C75949"/>
    <w:rsid w:val="26CB59F2"/>
    <w:rsid w:val="274A788A"/>
    <w:rsid w:val="2A1C2CB5"/>
    <w:rsid w:val="2ACB6489"/>
    <w:rsid w:val="35CD3496"/>
    <w:rsid w:val="38BE13DB"/>
    <w:rsid w:val="3962445C"/>
    <w:rsid w:val="435E19B5"/>
    <w:rsid w:val="46C65CAD"/>
    <w:rsid w:val="48D16F09"/>
    <w:rsid w:val="4A9F106C"/>
    <w:rsid w:val="4D105F28"/>
    <w:rsid w:val="530E3C91"/>
    <w:rsid w:val="58926E87"/>
    <w:rsid w:val="5B217DB3"/>
    <w:rsid w:val="5D4F2205"/>
    <w:rsid w:val="668A26E1"/>
    <w:rsid w:val="6F0438C1"/>
    <w:rsid w:val="724F3D08"/>
    <w:rsid w:val="74730553"/>
    <w:rsid w:val="749E6B7A"/>
    <w:rsid w:val="78202EB6"/>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apple-converted-space"/>
    <w:basedOn w:val="7"/>
    <w:qFormat/>
    <w:uiPriority w:val="0"/>
  </w:style>
  <w:style w:type="character" w:customStyle="1" w:styleId="9">
    <w:name w:val="批注框文本 Char"/>
    <w:basedOn w:val="7"/>
    <w:link w:val="3"/>
    <w:semiHidden/>
    <w:qFormat/>
    <w:uiPriority w:val="99"/>
    <w:rPr>
      <w:sz w:val="18"/>
      <w:szCs w:val="18"/>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段"/>
    <w:link w:val="1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3">
    <w:name w:val="段 Char"/>
    <w:link w:val="12"/>
    <w:qFormat/>
    <w:uiPriority w:val="0"/>
    <w:rPr>
      <w:rFonts w:ascii="宋体" w:hAnsi="Times New Roman" w:eastAsia="宋体" w:cs="Times New Roman"/>
      <w:kern w:val="0"/>
      <w:szCs w:val="20"/>
    </w:rPr>
  </w:style>
  <w:style w:type="character" w:customStyle="1" w:styleId="14">
    <w:name w:val="日期 Char"/>
    <w:basedOn w:val="7"/>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docProps/app.xml><?xml version="1.0" encoding="utf-8"?>
<Properties xmlns="http://schemas.openxmlformats.org/officeDocument/2006/extended-properties" xmlns:vt="http://schemas.openxmlformats.org/officeDocument/2006/docPropsVTypes">
  <Template>Normal</Template>
  <Pages>8</Pages>
  <Words>4123</Words>
  <Characters>5797</Characters>
  <Lines>153</Lines>
  <Paragraphs>43</Paragraphs>
  <TotalTime>0</TotalTime>
  <ScaleCrop>false</ScaleCrop>
  <LinksUpToDate>false</LinksUpToDate>
  <CharactersWithSpaces>6107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2020-05-12T02:12:00Z</dcterms:created>
  <dc:creator>Administrator</dc:creator>
  <cp:lastModifiedBy>玲</cp:lastModifiedBy>
  <dcterms:modified xsi:type="dcterms:W3CDTF">2024-08-23T00:41:21Z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841E8ADBA5B14DAEBE0D13B0DFEF5812_12</vt:lpwstr>
  </property>
</Properties>
</file>