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0BA" w:rsidRDefault="000640BA">
      <w:pPr>
        <w:spacing w:line="780" w:lineRule="exact"/>
        <w:jc w:val="center"/>
        <w:rPr>
          <w:rFonts w:ascii="黑体" w:eastAsia="黑体" w:hAnsi="黑体" w:cs="仿宋_GB2312"/>
          <w:b/>
          <w:bCs/>
          <w:sz w:val="48"/>
          <w:szCs w:val="44"/>
        </w:rPr>
      </w:pPr>
    </w:p>
    <w:p w:rsidR="000640BA" w:rsidRDefault="000640BA">
      <w:pPr>
        <w:spacing w:line="780" w:lineRule="exact"/>
        <w:jc w:val="center"/>
        <w:rPr>
          <w:rFonts w:ascii="黑体" w:eastAsia="黑体" w:hAnsi="黑体" w:cs="仿宋_GB2312"/>
          <w:b/>
          <w:bCs/>
          <w:sz w:val="48"/>
          <w:szCs w:val="44"/>
        </w:rPr>
      </w:pPr>
    </w:p>
    <w:p w:rsidR="000640BA" w:rsidRDefault="00167F57">
      <w:pPr>
        <w:spacing w:line="780" w:lineRule="exact"/>
        <w:jc w:val="center"/>
        <w:rPr>
          <w:rFonts w:ascii="黑体" w:eastAsia="黑体" w:hAnsi="黑体" w:cs="仿宋_GB2312"/>
          <w:b/>
          <w:bCs/>
          <w:sz w:val="48"/>
          <w:szCs w:val="44"/>
        </w:rPr>
      </w:pPr>
      <w:r>
        <w:rPr>
          <w:rFonts w:ascii="黑体" w:eastAsia="黑体" w:hAnsi="黑体" w:cs="仿宋_GB2312" w:hint="eastAsia"/>
          <w:b/>
          <w:bCs/>
          <w:sz w:val="48"/>
          <w:szCs w:val="44"/>
        </w:rPr>
        <w:t>海南省地方标准</w:t>
      </w:r>
    </w:p>
    <w:p w:rsidR="000640BA" w:rsidRDefault="00167F57">
      <w:pPr>
        <w:spacing w:line="780" w:lineRule="exact"/>
        <w:jc w:val="center"/>
        <w:rPr>
          <w:rFonts w:ascii="黑体" w:eastAsia="黑体" w:hAnsi="黑体"/>
          <w:b/>
          <w:bCs/>
          <w:sz w:val="72"/>
          <w:szCs w:val="44"/>
        </w:rPr>
      </w:pPr>
      <w:r>
        <w:rPr>
          <w:rFonts w:ascii="黑体" w:eastAsia="黑体" w:hAnsi="黑体" w:cs="仿宋_GB2312" w:hint="eastAsia"/>
          <w:b/>
          <w:bCs/>
          <w:sz w:val="72"/>
          <w:szCs w:val="44"/>
        </w:rPr>
        <w:t>《腰果种苗繁育技术规程》编制说明</w:t>
      </w:r>
    </w:p>
    <w:p w:rsidR="000640BA" w:rsidRDefault="00167F57">
      <w:pPr>
        <w:spacing w:beforeLines="50" w:before="120" w:afterLines="50" w:after="120" w:line="360" w:lineRule="auto"/>
        <w:jc w:val="center"/>
        <w:rPr>
          <w:rFonts w:ascii="黑体" w:eastAsia="黑体" w:hAnsi="黑体"/>
          <w:bCs/>
          <w:sz w:val="48"/>
          <w:szCs w:val="44"/>
        </w:rPr>
      </w:pPr>
      <w:r>
        <w:rPr>
          <w:rFonts w:ascii="黑体" w:eastAsia="黑体" w:hAnsi="黑体"/>
          <w:bCs/>
          <w:sz w:val="48"/>
          <w:szCs w:val="44"/>
        </w:rPr>
        <w:t>（征求意见稿）</w:t>
      </w:r>
    </w:p>
    <w:p w:rsidR="000640BA" w:rsidRDefault="000640BA">
      <w:pPr>
        <w:spacing w:beforeLines="50" w:before="120" w:afterLines="50" w:after="120" w:line="360" w:lineRule="auto"/>
        <w:jc w:val="center"/>
        <w:rPr>
          <w:rFonts w:ascii="黑体" w:eastAsia="黑体"/>
          <w:b/>
          <w:bCs/>
          <w:sz w:val="44"/>
          <w:szCs w:val="44"/>
        </w:rPr>
      </w:pPr>
    </w:p>
    <w:p w:rsidR="000640BA" w:rsidRDefault="000640BA">
      <w:pPr>
        <w:spacing w:beforeLines="50" w:before="120" w:afterLines="50" w:after="120" w:line="360" w:lineRule="auto"/>
        <w:jc w:val="center"/>
        <w:rPr>
          <w:rFonts w:ascii="黑体" w:eastAsia="黑体"/>
          <w:bCs/>
          <w:sz w:val="32"/>
        </w:rPr>
      </w:pPr>
    </w:p>
    <w:p w:rsidR="000640BA" w:rsidRDefault="000640BA">
      <w:pPr>
        <w:spacing w:beforeLines="50" w:before="120" w:afterLines="50" w:after="120" w:line="360" w:lineRule="auto"/>
        <w:rPr>
          <w:rFonts w:ascii="黑体" w:eastAsia="黑体"/>
          <w:bCs/>
          <w:sz w:val="32"/>
        </w:rPr>
      </w:pPr>
    </w:p>
    <w:p w:rsidR="000640BA" w:rsidRDefault="000640BA">
      <w:pPr>
        <w:spacing w:beforeLines="50" w:before="120" w:afterLines="50" w:after="120" w:line="360" w:lineRule="auto"/>
        <w:rPr>
          <w:rFonts w:ascii="黑体" w:eastAsia="黑体"/>
          <w:bCs/>
          <w:sz w:val="32"/>
        </w:rPr>
      </w:pPr>
    </w:p>
    <w:p w:rsidR="000640BA" w:rsidRDefault="000640BA">
      <w:pPr>
        <w:spacing w:beforeLines="50" w:before="120" w:afterLines="50" w:after="120" w:line="360" w:lineRule="auto"/>
        <w:rPr>
          <w:rFonts w:ascii="黑体" w:eastAsia="黑体"/>
          <w:bCs/>
          <w:sz w:val="32"/>
        </w:rPr>
      </w:pPr>
    </w:p>
    <w:p w:rsidR="000640BA" w:rsidRDefault="000640BA">
      <w:pPr>
        <w:spacing w:beforeLines="50" w:before="120" w:afterLines="50" w:after="120" w:line="360" w:lineRule="auto"/>
        <w:jc w:val="center"/>
        <w:rPr>
          <w:rFonts w:ascii="黑体" w:eastAsia="黑体"/>
          <w:bCs/>
          <w:sz w:val="32"/>
        </w:rPr>
      </w:pPr>
    </w:p>
    <w:p w:rsidR="000640BA" w:rsidRDefault="00167F57">
      <w:pPr>
        <w:spacing w:line="360" w:lineRule="auto"/>
        <w:jc w:val="center"/>
        <w:rPr>
          <w:rFonts w:cs="宋体"/>
          <w:color w:val="000000"/>
          <w:sz w:val="28"/>
          <w:szCs w:val="28"/>
        </w:rPr>
      </w:pPr>
      <w:r>
        <w:rPr>
          <w:rFonts w:cs="宋体" w:hint="eastAsia"/>
          <w:color w:val="000000"/>
          <w:sz w:val="28"/>
          <w:szCs w:val="28"/>
        </w:rPr>
        <w:t>海南省地方标准《腰果种苗繁育技术规程》起草工作组</w:t>
      </w:r>
    </w:p>
    <w:p w:rsidR="000640BA" w:rsidRDefault="00167F57">
      <w:pPr>
        <w:spacing w:line="360" w:lineRule="auto"/>
        <w:jc w:val="center"/>
        <w:rPr>
          <w:rFonts w:ascii="黑体" w:eastAsia="黑体"/>
          <w:bCs/>
          <w:sz w:val="32"/>
        </w:rPr>
      </w:pPr>
      <w:r>
        <w:rPr>
          <w:rFonts w:cs="宋体" w:hint="eastAsia"/>
          <w:color w:val="000000"/>
          <w:sz w:val="28"/>
          <w:szCs w:val="28"/>
        </w:rPr>
        <w:t>二○二四年</w:t>
      </w:r>
      <w:r w:rsidR="002965E2">
        <w:rPr>
          <w:rFonts w:cs="宋体" w:hint="eastAsia"/>
          <w:color w:val="000000"/>
          <w:sz w:val="28"/>
          <w:szCs w:val="28"/>
        </w:rPr>
        <w:t>六</w:t>
      </w:r>
      <w:r>
        <w:rPr>
          <w:rFonts w:cs="宋体" w:hint="eastAsia"/>
          <w:color w:val="000000"/>
          <w:sz w:val="28"/>
          <w:szCs w:val="28"/>
        </w:rPr>
        <w:t>月</w:t>
      </w:r>
    </w:p>
    <w:p w:rsidR="000640BA" w:rsidRDefault="00167F57">
      <w:pPr>
        <w:rPr>
          <w:rFonts w:hAnsi="宋体"/>
          <w:b/>
          <w:bCs/>
          <w:sz w:val="28"/>
        </w:rPr>
      </w:pPr>
      <w:r>
        <w:rPr>
          <w:rFonts w:hAnsi="宋体"/>
          <w:b/>
          <w:bCs/>
          <w:sz w:val="28"/>
        </w:rPr>
        <w:br w:type="page"/>
      </w:r>
    </w:p>
    <w:p w:rsidR="000640BA" w:rsidRDefault="00167F57">
      <w:pPr>
        <w:spacing w:beforeLines="50" w:before="120" w:after="0" w:line="360" w:lineRule="auto"/>
        <w:rPr>
          <w:rFonts w:ascii="黑体" w:eastAsia="黑体" w:hAnsi="黑体"/>
          <w:bCs/>
          <w:sz w:val="24"/>
          <w:szCs w:val="24"/>
        </w:rPr>
      </w:pPr>
      <w:r>
        <w:rPr>
          <w:rFonts w:ascii="黑体" w:eastAsia="黑体" w:hAnsi="黑体" w:hint="eastAsia"/>
          <w:bCs/>
          <w:sz w:val="24"/>
          <w:szCs w:val="24"/>
        </w:rPr>
        <w:lastRenderedPageBreak/>
        <w:t>一、项目简况</w:t>
      </w:r>
    </w:p>
    <w:p w:rsidR="000640BA" w:rsidRDefault="00167F57">
      <w:pPr>
        <w:spacing w:beforeLines="50" w:before="120" w:after="0" w:line="360" w:lineRule="auto"/>
        <w:rPr>
          <w:rFonts w:ascii="宋体" w:eastAsia="宋体" w:hAnsi="宋体"/>
          <w:bCs/>
          <w:sz w:val="24"/>
          <w:szCs w:val="24"/>
        </w:rPr>
      </w:pPr>
      <w:r>
        <w:rPr>
          <w:rFonts w:ascii="黑体" w:eastAsia="黑体" w:hAnsi="黑体" w:hint="eastAsia"/>
          <w:bCs/>
          <w:sz w:val="24"/>
          <w:szCs w:val="24"/>
        </w:rPr>
        <w:t>（一）标准名称：</w:t>
      </w:r>
      <w:r>
        <w:rPr>
          <w:rFonts w:ascii="宋体" w:eastAsia="宋体" w:hAnsi="宋体" w:hint="eastAsia"/>
          <w:bCs/>
          <w:sz w:val="24"/>
          <w:szCs w:val="24"/>
        </w:rPr>
        <w:t>腰果种苗繁育技术规程</w:t>
      </w:r>
    </w:p>
    <w:p w:rsidR="000640BA" w:rsidRDefault="00167F57">
      <w:pPr>
        <w:spacing w:beforeLines="50" w:before="120" w:after="0" w:line="360" w:lineRule="auto"/>
        <w:rPr>
          <w:rFonts w:ascii="宋体" w:eastAsia="宋体" w:hAnsi="宋体"/>
          <w:bCs/>
          <w:sz w:val="24"/>
          <w:szCs w:val="24"/>
        </w:rPr>
      </w:pPr>
      <w:r>
        <w:rPr>
          <w:rFonts w:ascii="黑体" w:eastAsia="黑体" w:hAnsi="黑体" w:hint="eastAsia"/>
          <w:bCs/>
          <w:sz w:val="24"/>
          <w:szCs w:val="24"/>
        </w:rPr>
        <w:t>（二）任务来源（项目计划号）：</w:t>
      </w:r>
      <w:r>
        <w:rPr>
          <w:rFonts w:ascii="宋体" w:eastAsia="宋体" w:hAnsi="宋体" w:hint="eastAsia"/>
          <w:bCs/>
          <w:sz w:val="24"/>
          <w:szCs w:val="24"/>
        </w:rPr>
        <w:t>2017年发布的“海南省质量技术监督局关于下达海南省2017年第五批地方标准制修订项目计划的通知”，项目计划号：2017-Z-063</w:t>
      </w:r>
    </w:p>
    <w:p w:rsidR="000640BA" w:rsidRDefault="00167F57">
      <w:pPr>
        <w:spacing w:beforeLines="50" w:before="120" w:after="0" w:line="360" w:lineRule="auto"/>
        <w:rPr>
          <w:rFonts w:ascii="宋体" w:eastAsia="宋体" w:hAnsi="宋体"/>
          <w:bCs/>
          <w:sz w:val="24"/>
          <w:szCs w:val="24"/>
        </w:rPr>
      </w:pPr>
      <w:r>
        <w:rPr>
          <w:rFonts w:ascii="黑体" w:eastAsia="黑体" w:hAnsi="黑体" w:hint="eastAsia"/>
          <w:bCs/>
          <w:sz w:val="24"/>
          <w:szCs w:val="24"/>
        </w:rPr>
        <w:t>（三）起草单位：</w:t>
      </w:r>
      <w:r>
        <w:rPr>
          <w:rFonts w:ascii="宋体" w:eastAsia="宋体" w:hAnsi="宋体" w:hint="eastAsia"/>
          <w:bCs/>
          <w:sz w:val="24"/>
          <w:szCs w:val="24"/>
        </w:rPr>
        <w:t>中国热带农业科学院热带作物品种资源研究所</w:t>
      </w:r>
    </w:p>
    <w:p w:rsidR="000640BA" w:rsidRDefault="00167F57">
      <w:pPr>
        <w:spacing w:beforeLines="50" w:before="120" w:after="0" w:line="360" w:lineRule="auto"/>
        <w:rPr>
          <w:rFonts w:ascii="宋体" w:eastAsia="宋体" w:hAnsi="宋体"/>
          <w:bCs/>
          <w:sz w:val="24"/>
          <w:szCs w:val="24"/>
        </w:rPr>
      </w:pPr>
      <w:r>
        <w:rPr>
          <w:rFonts w:ascii="黑体" w:eastAsia="黑体" w:hAnsi="黑体" w:hint="eastAsia"/>
          <w:bCs/>
          <w:sz w:val="24"/>
          <w:szCs w:val="24"/>
        </w:rPr>
        <w:t>（四）单位地址：</w:t>
      </w:r>
      <w:r>
        <w:rPr>
          <w:rFonts w:ascii="宋体" w:eastAsia="宋体" w:hAnsi="宋体" w:hint="eastAsia"/>
          <w:bCs/>
          <w:sz w:val="24"/>
          <w:szCs w:val="24"/>
        </w:rPr>
        <w:t>海南省海口市</w:t>
      </w:r>
      <w:proofErr w:type="gramStart"/>
      <w:r>
        <w:rPr>
          <w:rFonts w:ascii="宋体" w:eastAsia="宋体" w:hAnsi="宋体" w:hint="eastAsia"/>
          <w:bCs/>
          <w:sz w:val="24"/>
          <w:szCs w:val="24"/>
        </w:rPr>
        <w:t>龙华区</w:t>
      </w:r>
      <w:proofErr w:type="gramEnd"/>
      <w:r>
        <w:rPr>
          <w:rFonts w:ascii="宋体" w:eastAsia="宋体" w:hAnsi="宋体" w:hint="eastAsia"/>
          <w:bCs/>
          <w:sz w:val="24"/>
          <w:szCs w:val="24"/>
        </w:rPr>
        <w:t>学院路4号</w:t>
      </w:r>
    </w:p>
    <w:p w:rsidR="000640BA" w:rsidRDefault="00167F57">
      <w:pPr>
        <w:spacing w:beforeLines="50" w:before="120" w:after="0" w:line="360" w:lineRule="auto"/>
        <w:rPr>
          <w:rFonts w:ascii="宋体" w:eastAsia="宋体" w:hAnsi="宋体"/>
          <w:bCs/>
          <w:sz w:val="24"/>
          <w:szCs w:val="24"/>
        </w:rPr>
      </w:pPr>
      <w:r>
        <w:rPr>
          <w:rFonts w:ascii="黑体" w:eastAsia="黑体" w:hAnsi="黑体" w:hint="eastAsia"/>
          <w:bCs/>
          <w:sz w:val="24"/>
          <w:szCs w:val="24"/>
        </w:rPr>
        <w:t>（五）参与起草单位：</w:t>
      </w:r>
      <w:r>
        <w:rPr>
          <w:rFonts w:ascii="宋体" w:eastAsia="宋体" w:hAnsi="宋体" w:hint="eastAsia"/>
          <w:bCs/>
          <w:sz w:val="24"/>
          <w:szCs w:val="24"/>
        </w:rPr>
        <w:t>无</w:t>
      </w:r>
    </w:p>
    <w:p w:rsidR="000640BA" w:rsidRDefault="00167F57">
      <w:pPr>
        <w:spacing w:beforeLines="50" w:before="120" w:after="0" w:line="360" w:lineRule="auto"/>
        <w:rPr>
          <w:rFonts w:ascii="黑体" w:eastAsia="黑体" w:hAnsi="黑体"/>
          <w:bCs/>
          <w:sz w:val="24"/>
          <w:szCs w:val="24"/>
        </w:rPr>
      </w:pPr>
      <w:r>
        <w:rPr>
          <w:rFonts w:ascii="黑体" w:eastAsia="黑体" w:hAnsi="黑体" w:hint="eastAsia"/>
          <w:bCs/>
          <w:sz w:val="24"/>
          <w:szCs w:val="24"/>
        </w:rPr>
        <w:t>（六）标准起草人：</w:t>
      </w:r>
      <w:r>
        <w:rPr>
          <w:rFonts w:ascii="宋体" w:eastAsia="宋体" w:hAnsi="宋体" w:hint="eastAsia"/>
          <w:bCs/>
          <w:sz w:val="24"/>
          <w:szCs w:val="24"/>
        </w:rPr>
        <w:t>标准起草组人员共7人，主要从事腰果资源收集、育种、腰果种苗繁育和栽培、种苗检测等工作，具体分工见表1所示。</w:t>
      </w:r>
    </w:p>
    <w:p w:rsidR="000640BA" w:rsidRDefault="00167F57">
      <w:pPr>
        <w:spacing w:beforeLines="50" w:before="120" w:after="0" w:line="240" w:lineRule="auto"/>
        <w:jc w:val="center"/>
        <w:rPr>
          <w:rFonts w:ascii="宋体" w:eastAsia="宋体" w:hAnsi="宋体"/>
          <w:b/>
          <w:bCs/>
          <w:sz w:val="18"/>
          <w:szCs w:val="18"/>
        </w:rPr>
      </w:pPr>
      <w:r>
        <w:rPr>
          <w:rFonts w:ascii="宋体" w:eastAsia="宋体" w:hAnsi="宋体" w:hint="eastAsia"/>
          <w:b/>
          <w:bCs/>
          <w:sz w:val="18"/>
          <w:szCs w:val="18"/>
        </w:rPr>
        <w:t>表1标准起草人及任务分工</w:t>
      </w:r>
    </w:p>
    <w:tbl>
      <w:tblPr>
        <w:tblW w:w="9324"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993"/>
        <w:gridCol w:w="992"/>
        <w:gridCol w:w="1276"/>
        <w:gridCol w:w="2551"/>
        <w:gridCol w:w="2693"/>
      </w:tblGrid>
      <w:tr w:rsidR="000640BA">
        <w:trPr>
          <w:trHeight w:val="555"/>
        </w:trPr>
        <w:tc>
          <w:tcPr>
            <w:tcW w:w="819" w:type="dxa"/>
            <w:vAlign w:val="center"/>
          </w:tcPr>
          <w:p w:rsidR="000640BA" w:rsidRDefault="00167F57">
            <w:pPr>
              <w:widowControl w:val="0"/>
              <w:spacing w:after="0" w:line="240" w:lineRule="auto"/>
              <w:jc w:val="center"/>
              <w:rPr>
                <w:rFonts w:ascii="宋体" w:eastAsia="宋体" w:hAnsi="宋体" w:cs="Times New Roman"/>
                <w:b/>
                <w:sz w:val="18"/>
                <w:szCs w:val="18"/>
              </w:rPr>
            </w:pPr>
            <w:r>
              <w:rPr>
                <w:rFonts w:ascii="宋体" w:eastAsia="宋体" w:hAnsi="宋体" w:cs="Times New Roman" w:hint="eastAsia"/>
                <w:b/>
                <w:sz w:val="18"/>
                <w:szCs w:val="18"/>
              </w:rPr>
              <w:t>序号</w:t>
            </w:r>
          </w:p>
        </w:tc>
        <w:tc>
          <w:tcPr>
            <w:tcW w:w="993" w:type="dxa"/>
            <w:shd w:val="clear" w:color="auto" w:fill="auto"/>
            <w:vAlign w:val="center"/>
          </w:tcPr>
          <w:p w:rsidR="000640BA" w:rsidRDefault="00167F57">
            <w:pPr>
              <w:widowControl w:val="0"/>
              <w:spacing w:after="0" w:line="240" w:lineRule="auto"/>
              <w:jc w:val="center"/>
              <w:rPr>
                <w:rFonts w:ascii="宋体" w:eastAsia="宋体" w:hAnsi="宋体" w:cs="Times New Roman"/>
                <w:b/>
                <w:sz w:val="18"/>
                <w:szCs w:val="18"/>
              </w:rPr>
            </w:pPr>
            <w:r>
              <w:rPr>
                <w:rFonts w:ascii="宋体" w:eastAsia="宋体" w:hAnsi="宋体" w:cs="Times New Roman" w:hint="eastAsia"/>
                <w:b/>
                <w:sz w:val="18"/>
                <w:szCs w:val="18"/>
              </w:rPr>
              <w:t>姓名</w:t>
            </w:r>
          </w:p>
        </w:tc>
        <w:tc>
          <w:tcPr>
            <w:tcW w:w="992" w:type="dxa"/>
            <w:shd w:val="clear" w:color="auto" w:fill="auto"/>
            <w:vAlign w:val="center"/>
          </w:tcPr>
          <w:p w:rsidR="000640BA" w:rsidRDefault="00167F57">
            <w:pPr>
              <w:widowControl w:val="0"/>
              <w:spacing w:after="0" w:line="240" w:lineRule="auto"/>
              <w:jc w:val="center"/>
              <w:rPr>
                <w:rFonts w:ascii="宋体" w:eastAsia="宋体" w:hAnsi="宋体" w:cs="Times New Roman"/>
                <w:b/>
                <w:sz w:val="18"/>
                <w:szCs w:val="18"/>
              </w:rPr>
            </w:pPr>
            <w:r>
              <w:rPr>
                <w:rFonts w:ascii="宋体" w:eastAsia="宋体" w:hAnsi="宋体" w:cs="Times New Roman" w:hint="eastAsia"/>
                <w:b/>
                <w:sz w:val="18"/>
                <w:szCs w:val="18"/>
              </w:rPr>
              <w:t>性别</w:t>
            </w:r>
          </w:p>
        </w:tc>
        <w:tc>
          <w:tcPr>
            <w:tcW w:w="1276" w:type="dxa"/>
            <w:shd w:val="clear" w:color="auto" w:fill="auto"/>
            <w:vAlign w:val="center"/>
          </w:tcPr>
          <w:p w:rsidR="000640BA" w:rsidRDefault="00167F57">
            <w:pPr>
              <w:widowControl w:val="0"/>
              <w:spacing w:after="0" w:line="240" w:lineRule="auto"/>
              <w:jc w:val="center"/>
              <w:rPr>
                <w:rFonts w:ascii="宋体" w:eastAsia="宋体" w:hAnsi="宋体" w:cs="Times New Roman"/>
                <w:b/>
                <w:sz w:val="18"/>
                <w:szCs w:val="18"/>
              </w:rPr>
            </w:pPr>
            <w:r>
              <w:rPr>
                <w:rFonts w:ascii="宋体" w:eastAsia="宋体" w:hAnsi="宋体" w:cs="Times New Roman" w:hint="eastAsia"/>
                <w:b/>
                <w:sz w:val="18"/>
                <w:szCs w:val="18"/>
              </w:rPr>
              <w:t>职务/职称</w:t>
            </w:r>
          </w:p>
        </w:tc>
        <w:tc>
          <w:tcPr>
            <w:tcW w:w="2551" w:type="dxa"/>
            <w:shd w:val="clear" w:color="auto" w:fill="auto"/>
            <w:vAlign w:val="center"/>
          </w:tcPr>
          <w:p w:rsidR="000640BA" w:rsidRDefault="00167F57">
            <w:pPr>
              <w:widowControl w:val="0"/>
              <w:spacing w:after="0" w:line="240" w:lineRule="auto"/>
              <w:jc w:val="center"/>
              <w:rPr>
                <w:rFonts w:ascii="宋体" w:eastAsia="宋体" w:hAnsi="宋体" w:cs="Times New Roman"/>
                <w:b/>
                <w:sz w:val="18"/>
                <w:szCs w:val="18"/>
              </w:rPr>
            </w:pPr>
            <w:r>
              <w:rPr>
                <w:rFonts w:ascii="宋体" w:eastAsia="宋体" w:hAnsi="宋体" w:cs="Times New Roman" w:hint="eastAsia"/>
                <w:b/>
                <w:sz w:val="18"/>
                <w:szCs w:val="18"/>
              </w:rPr>
              <w:t>工作单位</w:t>
            </w:r>
          </w:p>
        </w:tc>
        <w:tc>
          <w:tcPr>
            <w:tcW w:w="2693" w:type="dxa"/>
            <w:shd w:val="clear" w:color="auto" w:fill="auto"/>
            <w:vAlign w:val="center"/>
          </w:tcPr>
          <w:p w:rsidR="000640BA" w:rsidRDefault="00167F57">
            <w:pPr>
              <w:widowControl w:val="0"/>
              <w:spacing w:after="0" w:line="240" w:lineRule="auto"/>
              <w:jc w:val="center"/>
              <w:rPr>
                <w:rFonts w:ascii="宋体" w:eastAsia="宋体" w:hAnsi="宋体" w:cs="Times New Roman"/>
                <w:b/>
                <w:sz w:val="18"/>
                <w:szCs w:val="18"/>
              </w:rPr>
            </w:pPr>
            <w:r>
              <w:rPr>
                <w:rFonts w:ascii="宋体" w:eastAsia="宋体" w:hAnsi="宋体" w:cs="Times New Roman" w:hint="eastAsia"/>
                <w:b/>
                <w:sz w:val="18"/>
                <w:szCs w:val="18"/>
              </w:rPr>
              <w:t>任务分工</w:t>
            </w:r>
          </w:p>
        </w:tc>
      </w:tr>
      <w:tr w:rsidR="000640BA">
        <w:trPr>
          <w:trHeight w:val="555"/>
        </w:trPr>
        <w:tc>
          <w:tcPr>
            <w:tcW w:w="819" w:type="dxa"/>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1</w:t>
            </w:r>
          </w:p>
        </w:tc>
        <w:tc>
          <w:tcPr>
            <w:tcW w:w="993"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黄海杰</w:t>
            </w:r>
          </w:p>
        </w:tc>
        <w:tc>
          <w:tcPr>
            <w:tcW w:w="992"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男</w:t>
            </w:r>
          </w:p>
        </w:tc>
        <w:tc>
          <w:tcPr>
            <w:tcW w:w="1276"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副研究员</w:t>
            </w:r>
          </w:p>
        </w:tc>
        <w:tc>
          <w:tcPr>
            <w:tcW w:w="2551"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宋体" w:hint="eastAsia"/>
                <w:kern w:val="0"/>
                <w:sz w:val="18"/>
                <w:szCs w:val="18"/>
              </w:rPr>
              <w:t>热带作物品种资源研究所</w:t>
            </w:r>
          </w:p>
        </w:tc>
        <w:tc>
          <w:tcPr>
            <w:tcW w:w="2693"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种苗繁育、数据调查、标准编写</w:t>
            </w:r>
          </w:p>
        </w:tc>
      </w:tr>
      <w:tr w:rsidR="000640BA">
        <w:trPr>
          <w:trHeight w:val="565"/>
        </w:trPr>
        <w:tc>
          <w:tcPr>
            <w:tcW w:w="819" w:type="dxa"/>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2</w:t>
            </w:r>
          </w:p>
        </w:tc>
        <w:tc>
          <w:tcPr>
            <w:tcW w:w="993"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王琴飞</w:t>
            </w:r>
          </w:p>
        </w:tc>
        <w:tc>
          <w:tcPr>
            <w:tcW w:w="992"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女</w:t>
            </w:r>
          </w:p>
        </w:tc>
        <w:tc>
          <w:tcPr>
            <w:tcW w:w="1276"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副研究员</w:t>
            </w:r>
          </w:p>
        </w:tc>
        <w:tc>
          <w:tcPr>
            <w:tcW w:w="2551" w:type="dxa"/>
            <w:shd w:val="clear" w:color="auto" w:fill="auto"/>
            <w:vAlign w:val="center"/>
          </w:tcPr>
          <w:p w:rsidR="000640BA" w:rsidRDefault="00167F57">
            <w:pPr>
              <w:widowControl w:val="0"/>
              <w:spacing w:after="0" w:line="240" w:lineRule="auto"/>
              <w:jc w:val="center"/>
              <w:rPr>
                <w:rFonts w:ascii="宋体" w:eastAsia="宋体" w:hAnsi="宋体" w:cs="宋体"/>
                <w:kern w:val="0"/>
                <w:sz w:val="18"/>
                <w:szCs w:val="18"/>
              </w:rPr>
            </w:pPr>
            <w:r>
              <w:rPr>
                <w:rFonts w:ascii="宋体" w:eastAsia="宋体" w:hAnsi="宋体" w:cs="宋体" w:hint="eastAsia"/>
                <w:kern w:val="0"/>
                <w:sz w:val="18"/>
                <w:szCs w:val="18"/>
              </w:rPr>
              <w:t>热带作物品种资源研究所</w:t>
            </w:r>
          </w:p>
        </w:tc>
        <w:tc>
          <w:tcPr>
            <w:tcW w:w="2693"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首席专家，标准编写、数据调查等</w:t>
            </w:r>
          </w:p>
        </w:tc>
      </w:tr>
      <w:tr w:rsidR="000640BA">
        <w:trPr>
          <w:trHeight w:val="565"/>
        </w:trPr>
        <w:tc>
          <w:tcPr>
            <w:tcW w:w="819" w:type="dxa"/>
            <w:vAlign w:val="center"/>
          </w:tcPr>
          <w:p w:rsidR="000640BA" w:rsidRDefault="00167F57">
            <w:pPr>
              <w:widowControl w:val="0"/>
              <w:spacing w:after="0" w:line="240" w:lineRule="auto"/>
              <w:jc w:val="center"/>
              <w:rPr>
                <w:rFonts w:ascii="宋体" w:eastAsia="宋体" w:hAnsi="宋体"/>
                <w:sz w:val="18"/>
                <w:szCs w:val="18"/>
              </w:rPr>
            </w:pPr>
            <w:r>
              <w:rPr>
                <w:rFonts w:ascii="宋体" w:eastAsia="宋体" w:hAnsi="宋体" w:hint="eastAsia"/>
                <w:sz w:val="18"/>
                <w:szCs w:val="18"/>
              </w:rPr>
              <w:t>3</w:t>
            </w:r>
          </w:p>
        </w:tc>
        <w:tc>
          <w:tcPr>
            <w:tcW w:w="993"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hint="eastAsia"/>
                <w:sz w:val="18"/>
                <w:szCs w:val="18"/>
              </w:rPr>
              <w:t>黄伟坚</w:t>
            </w:r>
          </w:p>
        </w:tc>
        <w:tc>
          <w:tcPr>
            <w:tcW w:w="992"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男</w:t>
            </w:r>
          </w:p>
        </w:tc>
        <w:tc>
          <w:tcPr>
            <w:tcW w:w="1276"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副研究员</w:t>
            </w:r>
          </w:p>
        </w:tc>
        <w:tc>
          <w:tcPr>
            <w:tcW w:w="2551" w:type="dxa"/>
            <w:shd w:val="clear" w:color="auto" w:fill="auto"/>
            <w:vAlign w:val="center"/>
          </w:tcPr>
          <w:p w:rsidR="000640BA" w:rsidRDefault="00167F57">
            <w:pPr>
              <w:widowControl w:val="0"/>
              <w:spacing w:after="0" w:line="240" w:lineRule="auto"/>
              <w:jc w:val="center"/>
              <w:rPr>
                <w:rFonts w:ascii="宋体" w:eastAsia="宋体" w:hAnsi="宋体" w:cs="宋体"/>
                <w:kern w:val="0"/>
                <w:sz w:val="18"/>
                <w:szCs w:val="18"/>
              </w:rPr>
            </w:pPr>
            <w:r>
              <w:rPr>
                <w:rFonts w:ascii="宋体" w:eastAsia="宋体" w:hAnsi="宋体" w:cs="宋体" w:hint="eastAsia"/>
                <w:kern w:val="0"/>
                <w:sz w:val="18"/>
                <w:szCs w:val="18"/>
              </w:rPr>
              <w:t>热带作物品种资源研究所</w:t>
            </w:r>
          </w:p>
        </w:tc>
        <w:tc>
          <w:tcPr>
            <w:tcW w:w="2693"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种苗繁育、试验验证</w:t>
            </w:r>
          </w:p>
        </w:tc>
      </w:tr>
      <w:tr w:rsidR="000640BA">
        <w:trPr>
          <w:trHeight w:val="565"/>
        </w:trPr>
        <w:tc>
          <w:tcPr>
            <w:tcW w:w="819" w:type="dxa"/>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4</w:t>
            </w:r>
          </w:p>
        </w:tc>
        <w:tc>
          <w:tcPr>
            <w:tcW w:w="993"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王明</w:t>
            </w:r>
          </w:p>
        </w:tc>
        <w:tc>
          <w:tcPr>
            <w:tcW w:w="992"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男</w:t>
            </w:r>
          </w:p>
        </w:tc>
        <w:tc>
          <w:tcPr>
            <w:tcW w:w="1276"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副研究员</w:t>
            </w:r>
          </w:p>
        </w:tc>
        <w:tc>
          <w:tcPr>
            <w:tcW w:w="2551" w:type="dxa"/>
            <w:shd w:val="clear" w:color="auto" w:fill="auto"/>
            <w:vAlign w:val="center"/>
          </w:tcPr>
          <w:p w:rsidR="000640BA" w:rsidRDefault="00167F57">
            <w:pPr>
              <w:widowControl w:val="0"/>
              <w:spacing w:after="0" w:line="240" w:lineRule="auto"/>
              <w:jc w:val="center"/>
              <w:rPr>
                <w:rFonts w:ascii="宋体" w:eastAsia="宋体" w:hAnsi="宋体" w:cs="宋体"/>
                <w:kern w:val="0"/>
                <w:sz w:val="18"/>
                <w:szCs w:val="18"/>
              </w:rPr>
            </w:pPr>
            <w:r>
              <w:rPr>
                <w:rFonts w:ascii="宋体" w:eastAsia="宋体" w:hAnsi="宋体" w:cs="宋体" w:hint="eastAsia"/>
                <w:kern w:val="0"/>
                <w:sz w:val="18"/>
                <w:szCs w:val="18"/>
              </w:rPr>
              <w:t>热带作物品种资源研究所</w:t>
            </w:r>
          </w:p>
        </w:tc>
        <w:tc>
          <w:tcPr>
            <w:tcW w:w="2693"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数据调查，种苗质量检测</w:t>
            </w:r>
          </w:p>
        </w:tc>
      </w:tr>
      <w:tr w:rsidR="000640BA">
        <w:trPr>
          <w:trHeight w:val="555"/>
        </w:trPr>
        <w:tc>
          <w:tcPr>
            <w:tcW w:w="819" w:type="dxa"/>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5</w:t>
            </w:r>
          </w:p>
        </w:tc>
        <w:tc>
          <w:tcPr>
            <w:tcW w:w="993"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张中润</w:t>
            </w:r>
          </w:p>
        </w:tc>
        <w:tc>
          <w:tcPr>
            <w:tcW w:w="992"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男</w:t>
            </w:r>
          </w:p>
        </w:tc>
        <w:tc>
          <w:tcPr>
            <w:tcW w:w="1276"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副研究员</w:t>
            </w:r>
          </w:p>
        </w:tc>
        <w:tc>
          <w:tcPr>
            <w:tcW w:w="2551" w:type="dxa"/>
            <w:shd w:val="clear" w:color="auto" w:fill="auto"/>
            <w:vAlign w:val="center"/>
          </w:tcPr>
          <w:p w:rsidR="000640BA" w:rsidRDefault="00167F57">
            <w:pPr>
              <w:widowControl w:val="0"/>
              <w:spacing w:after="0" w:line="240" w:lineRule="auto"/>
              <w:jc w:val="center"/>
              <w:rPr>
                <w:rFonts w:ascii="宋体" w:eastAsia="宋体" w:hAnsi="宋体" w:cs="宋体"/>
                <w:kern w:val="0"/>
                <w:sz w:val="18"/>
                <w:szCs w:val="18"/>
              </w:rPr>
            </w:pPr>
            <w:r>
              <w:rPr>
                <w:rFonts w:ascii="宋体" w:eastAsia="宋体" w:hAnsi="宋体" w:cs="宋体" w:hint="eastAsia"/>
                <w:kern w:val="0"/>
                <w:sz w:val="18"/>
                <w:szCs w:val="18"/>
              </w:rPr>
              <w:t>热带作物品种资源研究所</w:t>
            </w:r>
          </w:p>
        </w:tc>
        <w:tc>
          <w:tcPr>
            <w:tcW w:w="2693"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种苗繁育、数据调查</w:t>
            </w:r>
          </w:p>
        </w:tc>
      </w:tr>
      <w:tr w:rsidR="000640BA">
        <w:trPr>
          <w:trHeight w:val="565"/>
        </w:trPr>
        <w:tc>
          <w:tcPr>
            <w:tcW w:w="819" w:type="dxa"/>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6</w:t>
            </w:r>
          </w:p>
        </w:tc>
        <w:tc>
          <w:tcPr>
            <w:tcW w:w="993"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应东山</w:t>
            </w:r>
          </w:p>
        </w:tc>
        <w:tc>
          <w:tcPr>
            <w:tcW w:w="992"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男</w:t>
            </w:r>
          </w:p>
        </w:tc>
        <w:tc>
          <w:tcPr>
            <w:tcW w:w="1276"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副研究员</w:t>
            </w:r>
          </w:p>
        </w:tc>
        <w:tc>
          <w:tcPr>
            <w:tcW w:w="2551"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宋体" w:hint="eastAsia"/>
                <w:kern w:val="0"/>
                <w:sz w:val="18"/>
                <w:szCs w:val="18"/>
              </w:rPr>
              <w:t>热带作物品种资源研究所</w:t>
            </w:r>
          </w:p>
        </w:tc>
        <w:tc>
          <w:tcPr>
            <w:tcW w:w="2693"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数据调查、种苗质量检测</w:t>
            </w:r>
          </w:p>
        </w:tc>
      </w:tr>
      <w:tr w:rsidR="000640BA">
        <w:trPr>
          <w:trHeight w:val="555"/>
        </w:trPr>
        <w:tc>
          <w:tcPr>
            <w:tcW w:w="819" w:type="dxa"/>
            <w:vAlign w:val="center"/>
          </w:tcPr>
          <w:p w:rsidR="000640BA" w:rsidRDefault="00167F57">
            <w:pPr>
              <w:widowControl w:val="0"/>
              <w:spacing w:after="0" w:line="240" w:lineRule="auto"/>
              <w:jc w:val="center"/>
              <w:rPr>
                <w:rFonts w:ascii="宋体" w:eastAsia="宋体" w:hAnsi="宋体"/>
                <w:sz w:val="18"/>
                <w:szCs w:val="18"/>
              </w:rPr>
            </w:pPr>
            <w:r>
              <w:rPr>
                <w:rFonts w:ascii="宋体" w:eastAsia="宋体" w:hAnsi="宋体" w:hint="eastAsia"/>
                <w:sz w:val="18"/>
                <w:szCs w:val="18"/>
              </w:rPr>
              <w:t>7</w:t>
            </w:r>
          </w:p>
        </w:tc>
        <w:tc>
          <w:tcPr>
            <w:tcW w:w="993"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hint="eastAsia"/>
                <w:sz w:val="18"/>
                <w:szCs w:val="18"/>
              </w:rPr>
              <w:t>王鹏</w:t>
            </w:r>
          </w:p>
        </w:tc>
        <w:tc>
          <w:tcPr>
            <w:tcW w:w="992"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男</w:t>
            </w:r>
          </w:p>
        </w:tc>
        <w:tc>
          <w:tcPr>
            <w:tcW w:w="1276"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hint="eastAsia"/>
                <w:sz w:val="18"/>
                <w:szCs w:val="18"/>
              </w:rPr>
              <w:t>研究员</w:t>
            </w:r>
          </w:p>
        </w:tc>
        <w:tc>
          <w:tcPr>
            <w:tcW w:w="2551" w:type="dxa"/>
            <w:shd w:val="clear" w:color="auto" w:fill="auto"/>
            <w:vAlign w:val="center"/>
          </w:tcPr>
          <w:p w:rsidR="000640BA" w:rsidRDefault="00167F57">
            <w:pPr>
              <w:widowControl w:val="0"/>
              <w:spacing w:after="0" w:line="240" w:lineRule="auto"/>
              <w:jc w:val="center"/>
              <w:rPr>
                <w:rFonts w:ascii="宋体" w:eastAsia="宋体" w:hAnsi="宋体" w:cs="宋体"/>
                <w:kern w:val="0"/>
                <w:sz w:val="18"/>
                <w:szCs w:val="18"/>
              </w:rPr>
            </w:pPr>
            <w:r>
              <w:rPr>
                <w:rFonts w:ascii="宋体" w:eastAsia="宋体" w:hAnsi="宋体" w:cs="宋体" w:hint="eastAsia"/>
                <w:kern w:val="0"/>
                <w:sz w:val="18"/>
                <w:szCs w:val="18"/>
              </w:rPr>
              <w:t>热带作物品种资源研究所</w:t>
            </w:r>
          </w:p>
        </w:tc>
        <w:tc>
          <w:tcPr>
            <w:tcW w:w="2693" w:type="dxa"/>
            <w:shd w:val="clear" w:color="auto" w:fill="auto"/>
            <w:vAlign w:val="center"/>
          </w:tcPr>
          <w:p w:rsidR="000640BA" w:rsidRDefault="00167F57">
            <w:pPr>
              <w:widowControl w:val="0"/>
              <w:spacing w:after="0" w:line="240" w:lineRule="auto"/>
              <w:jc w:val="center"/>
              <w:rPr>
                <w:rFonts w:ascii="宋体" w:eastAsia="宋体" w:hAnsi="宋体" w:cs="Times New Roman"/>
                <w:sz w:val="18"/>
                <w:szCs w:val="18"/>
              </w:rPr>
            </w:pPr>
            <w:r>
              <w:rPr>
                <w:rFonts w:ascii="宋体" w:eastAsia="宋体" w:hAnsi="宋体" w:cs="Times New Roman"/>
                <w:sz w:val="18"/>
                <w:szCs w:val="18"/>
              </w:rPr>
              <w:t>产业调研，数据处理</w:t>
            </w:r>
          </w:p>
        </w:tc>
      </w:tr>
    </w:tbl>
    <w:p w:rsidR="000640BA" w:rsidRDefault="000640BA">
      <w:pPr>
        <w:rPr>
          <w:b/>
          <w:bCs/>
        </w:rPr>
      </w:pPr>
    </w:p>
    <w:p w:rsidR="000640BA" w:rsidRDefault="00167F57">
      <w:pPr>
        <w:spacing w:beforeLines="50" w:before="120" w:after="0" w:line="360" w:lineRule="auto"/>
        <w:ind w:firstLineChars="200" w:firstLine="482"/>
        <w:rPr>
          <w:rFonts w:ascii="黑体" w:eastAsia="黑体" w:hAnsi="黑体"/>
          <w:b/>
          <w:bCs/>
          <w:sz w:val="24"/>
          <w:szCs w:val="24"/>
        </w:rPr>
      </w:pPr>
      <w:r>
        <w:rPr>
          <w:rFonts w:ascii="黑体" w:eastAsia="黑体" w:hAnsi="黑体" w:hint="eastAsia"/>
          <w:b/>
          <w:bCs/>
          <w:sz w:val="24"/>
          <w:szCs w:val="24"/>
        </w:rPr>
        <w:t>二、编制情况</w:t>
      </w:r>
    </w:p>
    <w:p w:rsidR="000640BA" w:rsidRDefault="00167F57">
      <w:pPr>
        <w:spacing w:beforeLines="50" w:before="120" w:after="0" w:line="360" w:lineRule="auto"/>
        <w:ind w:firstLineChars="200" w:firstLine="482"/>
        <w:rPr>
          <w:rFonts w:ascii="黑体" w:eastAsia="黑体" w:hAnsi="黑体"/>
          <w:b/>
          <w:bCs/>
          <w:sz w:val="24"/>
          <w:szCs w:val="24"/>
        </w:rPr>
      </w:pPr>
      <w:r>
        <w:rPr>
          <w:rFonts w:ascii="黑体" w:eastAsia="黑体" w:hAnsi="黑体" w:hint="eastAsia"/>
          <w:b/>
          <w:bCs/>
          <w:sz w:val="24"/>
          <w:szCs w:val="24"/>
        </w:rPr>
        <w:t>（一）编制标准的必要性及政策依据</w:t>
      </w:r>
    </w:p>
    <w:p w:rsidR="000640BA" w:rsidRDefault="00167F57">
      <w:pPr>
        <w:spacing w:beforeLines="50" w:before="120" w:after="0" w:line="360" w:lineRule="auto"/>
        <w:ind w:firstLineChars="200" w:firstLine="482"/>
        <w:rPr>
          <w:rFonts w:ascii="宋体" w:eastAsia="宋体" w:hAnsi="宋体"/>
          <w:b/>
          <w:sz w:val="24"/>
          <w:szCs w:val="24"/>
        </w:rPr>
      </w:pPr>
      <w:r>
        <w:rPr>
          <w:rFonts w:ascii="宋体" w:eastAsia="宋体" w:hAnsi="宋体" w:hint="eastAsia"/>
          <w:b/>
          <w:sz w:val="24"/>
          <w:szCs w:val="24"/>
        </w:rPr>
        <w:t>1.制标的必要性</w:t>
      </w:r>
    </w:p>
    <w:p w:rsidR="000640BA" w:rsidRDefault="00167F57">
      <w:pPr>
        <w:spacing w:beforeLines="50" w:before="120" w:after="0" w:line="360" w:lineRule="auto"/>
        <w:ind w:firstLineChars="200" w:firstLine="480"/>
        <w:rPr>
          <w:rFonts w:ascii="宋体" w:eastAsia="宋体" w:hAnsi="宋体" w:cs="Segoe UI"/>
          <w:color w:val="05073B"/>
          <w:sz w:val="24"/>
          <w:szCs w:val="24"/>
          <w:shd w:val="clear" w:color="auto" w:fill="FDFDFE"/>
        </w:rPr>
      </w:pPr>
      <w:r>
        <w:rPr>
          <w:rFonts w:ascii="宋体" w:eastAsia="宋体" w:hAnsi="宋体" w:cs="Segoe UI" w:hint="eastAsia"/>
          <w:color w:val="05073B"/>
          <w:sz w:val="24"/>
          <w:szCs w:val="24"/>
          <w:shd w:val="clear" w:color="auto" w:fill="FDFDFE"/>
        </w:rPr>
        <w:t>腰果（</w:t>
      </w:r>
      <w:proofErr w:type="spellStart"/>
      <w:r>
        <w:rPr>
          <w:rFonts w:ascii="宋体" w:eastAsia="宋体" w:hAnsi="宋体" w:cs="Segoe UI" w:hint="eastAsia"/>
          <w:i/>
          <w:color w:val="05073B"/>
          <w:sz w:val="24"/>
          <w:szCs w:val="24"/>
          <w:shd w:val="clear" w:color="auto" w:fill="FDFDFE"/>
        </w:rPr>
        <w:t>Anacardiumoccidentale</w:t>
      </w:r>
      <w:proofErr w:type="spellEnd"/>
      <w:r>
        <w:rPr>
          <w:rFonts w:ascii="宋体" w:eastAsia="宋体" w:hAnsi="宋体" w:cs="Segoe UI" w:hint="eastAsia"/>
          <w:color w:val="05073B"/>
          <w:sz w:val="24"/>
          <w:szCs w:val="24"/>
          <w:shd w:val="clear" w:color="auto" w:fill="FDFDFE"/>
        </w:rPr>
        <w:t xml:space="preserve"> L.）为漆树科（</w:t>
      </w:r>
      <w:proofErr w:type="spellStart"/>
      <w:r>
        <w:rPr>
          <w:rFonts w:ascii="宋体" w:eastAsia="宋体" w:hAnsi="宋体" w:cs="Segoe UI" w:hint="eastAsia"/>
          <w:color w:val="05073B"/>
          <w:sz w:val="24"/>
          <w:szCs w:val="24"/>
          <w:shd w:val="clear" w:color="auto" w:fill="FDFDFE"/>
        </w:rPr>
        <w:t>Anacardiaceae</w:t>
      </w:r>
      <w:proofErr w:type="spellEnd"/>
      <w:r>
        <w:rPr>
          <w:rFonts w:ascii="宋体" w:eastAsia="宋体" w:hAnsi="宋体" w:cs="Segoe UI" w:hint="eastAsia"/>
          <w:color w:val="05073B"/>
          <w:sz w:val="24"/>
          <w:szCs w:val="24"/>
          <w:shd w:val="clear" w:color="auto" w:fill="FDFDFE"/>
        </w:rPr>
        <w:t>）腰果属（</w:t>
      </w:r>
      <w:proofErr w:type="spellStart"/>
      <w:r>
        <w:rPr>
          <w:rFonts w:ascii="宋体" w:eastAsia="宋体" w:hAnsi="宋体" w:cs="Segoe UI" w:hint="eastAsia"/>
          <w:color w:val="05073B"/>
          <w:sz w:val="24"/>
          <w:szCs w:val="24"/>
          <w:shd w:val="clear" w:color="auto" w:fill="FDFDFE"/>
        </w:rPr>
        <w:t>Anacardium</w:t>
      </w:r>
      <w:proofErr w:type="spellEnd"/>
      <w:r>
        <w:rPr>
          <w:rFonts w:ascii="宋体" w:eastAsia="宋体" w:hAnsi="宋体" w:cs="Segoe UI" w:hint="eastAsia"/>
          <w:color w:val="05073B"/>
          <w:sz w:val="24"/>
          <w:szCs w:val="24"/>
          <w:shd w:val="clear" w:color="auto" w:fill="FDFDFE"/>
        </w:rPr>
        <w:t xml:space="preserve"> L.）多年生常绿乔木果树，较耐旱、耐贫瘠，不耐寒，是典型的热带果树。</w:t>
      </w:r>
    </w:p>
    <w:p w:rsidR="000640BA" w:rsidRDefault="00167F57">
      <w:pPr>
        <w:spacing w:beforeLines="50" w:before="120" w:after="0" w:line="360" w:lineRule="auto"/>
        <w:rPr>
          <w:rFonts w:ascii="宋体" w:eastAsia="宋体" w:hAnsi="宋体" w:cs="Segoe UI"/>
          <w:b/>
          <w:color w:val="05073B"/>
          <w:sz w:val="24"/>
          <w:szCs w:val="24"/>
          <w:shd w:val="clear" w:color="auto" w:fill="FDFDFE"/>
        </w:rPr>
      </w:pPr>
      <w:r>
        <w:rPr>
          <w:rFonts w:ascii="宋体" w:eastAsia="宋体" w:hAnsi="宋体" w:cs="Segoe UI"/>
          <w:color w:val="05073B"/>
          <w:sz w:val="24"/>
          <w:szCs w:val="24"/>
          <w:shd w:val="clear" w:color="auto" w:fill="FDFDFE"/>
        </w:rPr>
        <w:lastRenderedPageBreak/>
        <w:t>腰果原产巴西东北部地区，16世纪引入亚洲和非洲，现分布在南北纬20度以内的38个国家。印度、越南、巴西、尼日利亚、坦桑尼亚、莫桑比克、科特迪瓦、印度尼西亚等种植最多。我国有60余年的栽培历史，分布于海南省南部、西南部滨海沙土和燥红土地区和云南省南部、西南部干热河谷低海拔山区。腰果树对自然条件的适应性较强，生长迅速，是干旱、贫瘠地区防止水土流失和土地沙漠化的优良生态经济林树种。在腰果栽培技术的标准制定方面，1999年已发布《腰果种子》（NY/T 361-1999）农业行业标准，</w:t>
      </w:r>
      <w:r>
        <w:rPr>
          <w:rFonts w:ascii="宋体" w:eastAsia="宋体" w:hAnsi="宋体" w:cs="Segoe UI" w:hint="eastAsia"/>
          <w:color w:val="05073B"/>
          <w:sz w:val="24"/>
          <w:szCs w:val="24"/>
          <w:shd w:val="clear" w:color="auto" w:fill="FDFDFE"/>
        </w:rPr>
        <w:t>2017年，</w:t>
      </w:r>
      <w:proofErr w:type="gramStart"/>
      <w:r>
        <w:rPr>
          <w:rFonts w:ascii="宋体" w:eastAsia="宋体" w:hAnsi="宋体" w:cs="Segoe UI" w:hint="eastAsia"/>
          <w:color w:val="05073B"/>
          <w:sz w:val="24"/>
          <w:szCs w:val="24"/>
          <w:shd w:val="clear" w:color="auto" w:fill="FDFDFE"/>
        </w:rPr>
        <w:t>制标小组</w:t>
      </w:r>
      <w:proofErr w:type="gramEnd"/>
      <w:r>
        <w:rPr>
          <w:rFonts w:ascii="宋体" w:eastAsia="宋体" w:hAnsi="宋体" w:cs="Segoe UI" w:hint="eastAsia"/>
          <w:color w:val="05073B"/>
          <w:sz w:val="24"/>
          <w:szCs w:val="24"/>
          <w:shd w:val="clear" w:color="auto" w:fill="FDFDFE"/>
        </w:rPr>
        <w:t>成员制定并发布了《腰果嫁接苗》（</w:t>
      </w:r>
      <w:r>
        <w:rPr>
          <w:rFonts w:ascii="宋体" w:eastAsia="宋体" w:hAnsi="宋体"/>
        </w:rPr>
        <w:t>DB46/T 431</w:t>
      </w:r>
      <w:r>
        <w:rPr>
          <w:rFonts w:ascii="宋体" w:eastAsia="宋体" w:hAnsi="宋体" w:hint="eastAsia"/>
        </w:rPr>
        <w:t>-</w:t>
      </w:r>
      <w:r>
        <w:rPr>
          <w:rFonts w:ascii="宋体" w:eastAsia="宋体" w:hAnsi="宋体"/>
        </w:rPr>
        <w:t>2017</w:t>
      </w:r>
      <w:r>
        <w:rPr>
          <w:rFonts w:ascii="宋体" w:eastAsia="宋体" w:hAnsi="宋体" w:cs="Segoe UI" w:hint="eastAsia"/>
          <w:color w:val="05073B"/>
          <w:sz w:val="24"/>
          <w:szCs w:val="24"/>
          <w:shd w:val="clear" w:color="auto" w:fill="FDFDFE"/>
        </w:rPr>
        <w:t>）海南省地方标准，</w:t>
      </w:r>
      <w:r>
        <w:rPr>
          <w:rFonts w:ascii="宋体" w:eastAsia="宋体" w:hAnsi="宋体" w:cs="Segoe UI"/>
          <w:color w:val="05073B"/>
          <w:sz w:val="24"/>
          <w:szCs w:val="24"/>
          <w:shd w:val="clear" w:color="auto" w:fill="FDFDFE"/>
        </w:rPr>
        <w:t>对促进我国腰果种子和种苗质量发挥了一定作用。</w:t>
      </w:r>
      <w:r>
        <w:rPr>
          <w:rFonts w:ascii="宋体" w:eastAsia="宋体" w:hAnsi="宋体" w:cs="Segoe UI" w:hint="eastAsia"/>
          <w:b/>
          <w:color w:val="05073B"/>
          <w:sz w:val="24"/>
          <w:szCs w:val="24"/>
          <w:shd w:val="clear" w:color="auto" w:fill="FDFDFE"/>
        </w:rPr>
        <w:t>腰果是一种极具特色的热带坚果，海南省为我国腰果的主产区，早期推广种植的腰果主要是以</w:t>
      </w:r>
      <w:proofErr w:type="gramStart"/>
      <w:r>
        <w:rPr>
          <w:rFonts w:ascii="宋体" w:eastAsia="宋体" w:hAnsi="宋体" w:cs="Segoe UI" w:hint="eastAsia"/>
          <w:b/>
          <w:color w:val="05073B"/>
          <w:sz w:val="24"/>
          <w:szCs w:val="24"/>
          <w:shd w:val="clear" w:color="auto" w:fill="FDFDFE"/>
        </w:rPr>
        <w:t>加工用壳腰果</w:t>
      </w:r>
      <w:proofErr w:type="gramEnd"/>
      <w:r>
        <w:rPr>
          <w:rFonts w:ascii="宋体" w:eastAsia="宋体" w:hAnsi="宋体" w:cs="Segoe UI" w:hint="eastAsia"/>
          <w:b/>
          <w:color w:val="05073B"/>
          <w:sz w:val="24"/>
          <w:szCs w:val="24"/>
          <w:shd w:val="clear" w:color="auto" w:fill="FDFDFE"/>
        </w:rPr>
        <w:t>种子作为育苗材料，所繁育出的腰果实生树产量方面良莠不齐，加上在管理上粗放，所有不具备丰产性能。腰果种苗的繁育方式有实生育苗、嫁接育苗，为了节约育苗成本和时间，提高腰果产量和品质，目前主要定植嫁接种苗。</w:t>
      </w:r>
    </w:p>
    <w:p w:rsidR="000640BA" w:rsidRDefault="00167F57">
      <w:pPr>
        <w:spacing w:beforeLines="50" w:before="120" w:after="0" w:line="360" w:lineRule="auto"/>
        <w:ind w:firstLineChars="200" w:firstLine="480"/>
        <w:rPr>
          <w:rFonts w:ascii="宋体" w:eastAsia="宋体" w:hAnsi="宋体" w:cs="Segoe UI"/>
          <w:color w:val="05073B"/>
          <w:sz w:val="24"/>
          <w:szCs w:val="24"/>
          <w:shd w:val="clear" w:color="auto" w:fill="FDFDFE"/>
        </w:rPr>
      </w:pPr>
      <w:r>
        <w:rPr>
          <w:rFonts w:ascii="宋体" w:eastAsia="宋体" w:hAnsi="宋体" w:cs="Segoe UI"/>
          <w:color w:val="05073B"/>
          <w:sz w:val="24"/>
          <w:szCs w:val="24"/>
          <w:shd w:val="clear" w:color="auto" w:fill="FDFDFE"/>
        </w:rPr>
        <w:t>当前，腰果产业在种苗繁育方面存在技术不规范、操作不统一的问题，导致市场上种苗质量参差不齐，严重影响了产业的健康发展。制定腰果种苗繁育技术规程地方标准，能够明确种苗繁育的技术要求、操作流程和质量标准，规范行业秩序，减少无序竞争和不良行为。</w:t>
      </w:r>
      <w:r>
        <w:rPr>
          <w:rFonts w:ascii="宋体" w:eastAsia="宋体" w:hAnsi="宋体" w:hint="eastAsia"/>
          <w:sz w:val="24"/>
          <w:szCs w:val="24"/>
        </w:rPr>
        <w:t>其次，</w:t>
      </w:r>
      <w:r>
        <w:rPr>
          <w:rFonts w:ascii="宋体" w:eastAsia="宋体" w:hAnsi="宋体" w:cs="Segoe UI"/>
          <w:color w:val="05073B"/>
          <w:sz w:val="24"/>
          <w:szCs w:val="24"/>
          <w:shd w:val="clear" w:color="auto" w:fill="FDFDFE"/>
        </w:rPr>
        <w:t>腰果种苗的质量直接影响到腰果的产量和品质，是产业发展的关键因素。然而，由于当前缺乏统一的技术规范，在繁育过程中存在技术不足、操作不当等问题，导致种苗质量低下。同时，制定腰果种苗繁育技术规程地方标准，能够确保种苗繁育过程的科学性和规范性，提升种苗的质量，从而提高腰果的产量和品质。</w:t>
      </w:r>
      <w:r>
        <w:rPr>
          <w:rFonts w:ascii="宋体" w:eastAsia="宋体" w:hAnsi="宋体" w:cs="Segoe UI" w:hint="eastAsia"/>
          <w:color w:val="05073B"/>
          <w:sz w:val="24"/>
          <w:szCs w:val="24"/>
          <w:shd w:val="clear" w:color="auto" w:fill="FDFDFE"/>
        </w:rPr>
        <w:t>另外，</w:t>
      </w:r>
      <w:r>
        <w:rPr>
          <w:rFonts w:ascii="宋体" w:eastAsia="宋体" w:hAnsi="宋体" w:cs="Segoe UI"/>
          <w:color w:val="05073B"/>
          <w:sz w:val="24"/>
          <w:szCs w:val="24"/>
          <w:shd w:val="clear" w:color="auto" w:fill="FDFDFE"/>
        </w:rPr>
        <w:t>腰果产业在技术创新方面存在投入不足、创新能力不强等问题</w:t>
      </w:r>
      <w:r>
        <w:rPr>
          <w:rFonts w:ascii="宋体" w:eastAsia="宋体" w:hAnsi="宋体" w:cs="Segoe UI" w:hint="eastAsia"/>
          <w:color w:val="05073B"/>
          <w:sz w:val="24"/>
          <w:szCs w:val="24"/>
          <w:shd w:val="clear" w:color="auto" w:fill="FDFDFE"/>
        </w:rPr>
        <w:t>，</w:t>
      </w:r>
      <w:r>
        <w:rPr>
          <w:rFonts w:ascii="宋体" w:eastAsia="宋体" w:hAnsi="宋体" w:cs="Segoe UI"/>
          <w:color w:val="05073B"/>
          <w:sz w:val="24"/>
          <w:szCs w:val="24"/>
          <w:shd w:val="clear" w:color="auto" w:fill="FDFDFE"/>
        </w:rPr>
        <w:t>制定腰果种苗繁育技术规程地方标准，能够推动相关科研机构和企业在技术创新方面的投入和合作，加强产学研用结合，提升产业的创新能力。随着全球化的深入发展，腰果产业面临着国际市场的激烈竞争</w:t>
      </w:r>
      <w:r>
        <w:rPr>
          <w:rFonts w:ascii="宋体" w:eastAsia="宋体" w:hAnsi="宋体" w:cs="Segoe UI" w:hint="eastAsia"/>
          <w:color w:val="05073B"/>
          <w:sz w:val="24"/>
          <w:szCs w:val="24"/>
          <w:shd w:val="clear" w:color="auto" w:fill="FDFDFE"/>
        </w:rPr>
        <w:t>，</w:t>
      </w:r>
      <w:r>
        <w:rPr>
          <w:rFonts w:ascii="宋体" w:eastAsia="宋体" w:hAnsi="宋体" w:cs="Segoe UI"/>
          <w:color w:val="05073B"/>
          <w:sz w:val="24"/>
          <w:szCs w:val="24"/>
          <w:shd w:val="clear" w:color="auto" w:fill="FDFDFE"/>
        </w:rPr>
        <w:t>制定腰果种苗繁育技术规程地方标准，能够提升我国腰果产业的技术水平和产品质量，增强国际竞争力，扩大市场份额</w:t>
      </w:r>
      <w:r>
        <w:rPr>
          <w:rFonts w:ascii="宋体" w:eastAsia="宋体" w:hAnsi="宋体" w:cs="Segoe UI" w:hint="eastAsia"/>
          <w:color w:val="05073B"/>
          <w:sz w:val="24"/>
          <w:szCs w:val="24"/>
          <w:shd w:val="clear" w:color="auto" w:fill="FDFDFE"/>
        </w:rPr>
        <w:t>，</w:t>
      </w:r>
      <w:r>
        <w:rPr>
          <w:rFonts w:ascii="宋体" w:eastAsia="宋体" w:hAnsi="宋体" w:cs="Segoe UI"/>
          <w:color w:val="05073B"/>
          <w:sz w:val="24"/>
          <w:szCs w:val="24"/>
          <w:shd w:val="clear" w:color="auto" w:fill="FDFDFE"/>
        </w:rPr>
        <w:t>为我</w:t>
      </w:r>
      <w:r>
        <w:rPr>
          <w:rFonts w:ascii="宋体" w:eastAsia="宋体" w:hAnsi="宋体" w:cs="Segoe UI" w:hint="eastAsia"/>
          <w:color w:val="05073B"/>
          <w:sz w:val="24"/>
          <w:szCs w:val="24"/>
          <w:shd w:val="clear" w:color="auto" w:fill="FDFDFE"/>
        </w:rPr>
        <w:t>省</w:t>
      </w:r>
      <w:r>
        <w:rPr>
          <w:rFonts w:ascii="宋体" w:eastAsia="宋体" w:hAnsi="宋体" w:cs="Segoe UI"/>
          <w:color w:val="05073B"/>
          <w:sz w:val="24"/>
          <w:szCs w:val="24"/>
          <w:shd w:val="clear" w:color="auto" w:fill="FDFDFE"/>
        </w:rPr>
        <w:t>腰果产业走向国际市场提供有力</w:t>
      </w:r>
      <w:r>
        <w:rPr>
          <w:rFonts w:ascii="宋体" w:eastAsia="宋体" w:hAnsi="宋体" w:cs="Segoe UI" w:hint="eastAsia"/>
          <w:color w:val="05073B"/>
          <w:sz w:val="24"/>
          <w:szCs w:val="24"/>
          <w:shd w:val="clear" w:color="auto" w:fill="FDFDFE"/>
        </w:rPr>
        <w:t>支撑</w:t>
      </w:r>
      <w:r>
        <w:rPr>
          <w:rFonts w:ascii="宋体" w:eastAsia="宋体" w:hAnsi="宋体" w:cs="Segoe UI"/>
          <w:color w:val="05073B"/>
          <w:sz w:val="24"/>
          <w:szCs w:val="24"/>
          <w:shd w:val="clear" w:color="auto" w:fill="FDFDFE"/>
        </w:rPr>
        <w:t>。</w:t>
      </w:r>
    </w:p>
    <w:p w:rsidR="000640BA" w:rsidRDefault="00167F57">
      <w:pPr>
        <w:spacing w:beforeLines="50" w:before="120" w:after="0" w:line="360" w:lineRule="auto"/>
        <w:ind w:firstLineChars="200" w:firstLine="482"/>
        <w:rPr>
          <w:rFonts w:ascii="宋体" w:eastAsia="宋体" w:hAnsi="宋体"/>
          <w:b/>
          <w:sz w:val="24"/>
          <w:szCs w:val="24"/>
        </w:rPr>
      </w:pPr>
      <w:r>
        <w:rPr>
          <w:rFonts w:ascii="宋体" w:eastAsia="宋体" w:hAnsi="宋体" w:hint="eastAsia"/>
          <w:b/>
          <w:sz w:val="24"/>
          <w:szCs w:val="24"/>
        </w:rPr>
        <w:t>2.政策依据</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首先，根据《中华人民共和国标准化法》的规定，地方可以根据本地区的特殊需要，制定地方标准。腰果种苗繁育技术规程地方标准的制定符合该法律的精神和要求。在农业</w:t>
      </w:r>
      <w:r>
        <w:rPr>
          <w:rFonts w:ascii="宋体" w:eastAsia="宋体" w:hAnsi="宋体" w:hint="eastAsia"/>
          <w:sz w:val="24"/>
          <w:szCs w:val="24"/>
        </w:rPr>
        <w:lastRenderedPageBreak/>
        <w:t>标准化政策方面，国家高度重视农业标准化工作，出台了一系列政策措施推动农业标准化建设。腰果作为重要的特色农产品之一，其种苗繁育技术规程的制定是农业标准化工作的重要组成部分。</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2013年12月，习近平总书记在中央农村工作会议上指出，要下决心把民族种业搞上去，抓紧培育具有自主知识产权的优良品种。根据国家及地方产业发展规划的要求，需要制定相关技术规程以支持产业的发展。腰果产业作为具有潜力的特色果树产业之一，其种苗繁育技术规程的制定将有助于推动产业的快速发展。</w:t>
      </w:r>
    </w:p>
    <w:p w:rsidR="000640BA" w:rsidRDefault="00167F57">
      <w:pPr>
        <w:spacing w:beforeLines="50" w:before="120" w:after="0" w:line="360" w:lineRule="auto"/>
        <w:ind w:firstLineChars="200" w:firstLine="482"/>
        <w:rPr>
          <w:rFonts w:ascii="黑体" w:eastAsia="黑体" w:hAnsi="黑体"/>
          <w:b/>
          <w:bCs/>
          <w:sz w:val="24"/>
          <w:szCs w:val="24"/>
        </w:rPr>
      </w:pPr>
      <w:r>
        <w:rPr>
          <w:rFonts w:ascii="黑体" w:eastAsia="黑体" w:hAnsi="黑体" w:hint="eastAsia"/>
          <w:b/>
          <w:bCs/>
          <w:sz w:val="24"/>
          <w:szCs w:val="24"/>
        </w:rPr>
        <w:t>（二）编制过程简介</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2017年10月22日，收到海南省质量技术监督局《关于下达2017年第五批海南省地方标准制修订计划的通知》后，成立标准编制小组，成员有黄海杰、王琴飞、黄伟坚、王明、张中润、应东山、王鹏。</w:t>
      </w:r>
    </w:p>
    <w:p w:rsidR="000640BA" w:rsidRDefault="00167F57">
      <w:pPr>
        <w:spacing w:beforeLines="50" w:before="120" w:after="0" w:line="360" w:lineRule="auto"/>
        <w:ind w:firstLineChars="200" w:firstLine="482"/>
        <w:rPr>
          <w:rFonts w:ascii="宋体" w:eastAsia="宋体" w:hAnsi="宋体"/>
          <w:b/>
          <w:sz w:val="24"/>
          <w:szCs w:val="24"/>
        </w:rPr>
      </w:pPr>
      <w:r>
        <w:rPr>
          <w:rFonts w:ascii="宋体" w:eastAsia="宋体" w:hAnsi="宋体" w:hint="eastAsia"/>
          <w:b/>
          <w:sz w:val="24"/>
          <w:szCs w:val="24"/>
        </w:rPr>
        <w:t>1.标准起草过程</w:t>
      </w:r>
    </w:p>
    <w:p w:rsidR="000640BA" w:rsidRDefault="00167F57">
      <w:pPr>
        <w:spacing w:before="50" w:line="360" w:lineRule="auto"/>
        <w:ind w:firstLineChars="200" w:firstLine="482"/>
        <w:rPr>
          <w:rFonts w:ascii="宋体" w:eastAsia="宋体" w:hAnsi="宋体"/>
          <w:b/>
          <w:sz w:val="24"/>
          <w:szCs w:val="24"/>
        </w:rPr>
      </w:pPr>
      <w:r>
        <w:rPr>
          <w:rFonts w:ascii="宋体" w:eastAsia="宋体" w:hAnsi="宋体" w:hint="eastAsia"/>
          <w:b/>
          <w:sz w:val="24"/>
          <w:szCs w:val="24"/>
        </w:rPr>
        <w:t>1.1查阅了相关的标准</w:t>
      </w:r>
    </w:p>
    <w:p w:rsidR="000640BA" w:rsidRDefault="00167F57">
      <w:pPr>
        <w:spacing w:before="50" w:line="360" w:lineRule="auto"/>
        <w:ind w:firstLineChars="200" w:firstLine="480"/>
        <w:rPr>
          <w:rFonts w:ascii="宋体" w:eastAsia="宋体" w:hAnsi="宋体" w:cs="Segoe UI"/>
          <w:color w:val="05073B"/>
          <w:sz w:val="24"/>
          <w:szCs w:val="24"/>
          <w:shd w:val="clear" w:color="auto" w:fill="FDFDFE"/>
        </w:rPr>
      </w:pPr>
      <w:r>
        <w:rPr>
          <w:rFonts w:ascii="宋体" w:eastAsia="宋体" w:hAnsi="宋体" w:cs="Segoe UI" w:hint="eastAsia"/>
          <w:color w:val="05073B"/>
          <w:sz w:val="24"/>
          <w:szCs w:val="24"/>
          <w:shd w:val="clear" w:color="auto" w:fill="FDFDFE"/>
        </w:rPr>
        <w:t>通过查阅，</w:t>
      </w:r>
      <w:r>
        <w:rPr>
          <w:rFonts w:ascii="宋体" w:eastAsia="宋体" w:hAnsi="宋体" w:cs="Segoe UI"/>
          <w:color w:val="05073B"/>
          <w:sz w:val="24"/>
          <w:szCs w:val="24"/>
          <w:shd w:val="clear" w:color="auto" w:fill="FDFDFE"/>
        </w:rPr>
        <w:t>发布</w:t>
      </w:r>
      <w:r>
        <w:rPr>
          <w:rFonts w:ascii="宋体" w:eastAsia="宋体" w:hAnsi="宋体" w:cs="Segoe UI" w:hint="eastAsia"/>
          <w:color w:val="05073B"/>
          <w:sz w:val="24"/>
          <w:szCs w:val="24"/>
          <w:shd w:val="clear" w:color="auto" w:fill="FDFDFE"/>
        </w:rPr>
        <w:t>与腰果相关的标准有《腰果种子》</w:t>
      </w:r>
      <w:r>
        <w:rPr>
          <w:rFonts w:ascii="宋体" w:eastAsia="宋体" w:hAnsi="宋体" w:cs="Segoe UI"/>
          <w:color w:val="05073B"/>
          <w:sz w:val="24"/>
          <w:szCs w:val="24"/>
          <w:shd w:val="clear" w:color="auto" w:fill="FDFDFE"/>
        </w:rPr>
        <w:t>（NY/T361-1999）、《腰果嫁接苗》（</w:t>
      </w:r>
      <w:r>
        <w:rPr>
          <w:rFonts w:ascii="宋体" w:eastAsia="宋体" w:hAnsi="宋体" w:cs="Segoe UI" w:hint="eastAsia"/>
          <w:color w:val="05073B"/>
          <w:sz w:val="24"/>
          <w:szCs w:val="24"/>
          <w:shd w:val="clear" w:color="auto" w:fill="FDFDFE"/>
        </w:rPr>
        <w:t>DB</w:t>
      </w:r>
      <w:r>
        <w:rPr>
          <w:rFonts w:ascii="宋体" w:eastAsia="宋体" w:hAnsi="宋体" w:cs="Segoe UI"/>
          <w:color w:val="05073B"/>
          <w:sz w:val="24"/>
          <w:szCs w:val="24"/>
          <w:shd w:val="clear" w:color="auto" w:fill="FDFDFE"/>
        </w:rPr>
        <w:t>46/T 431</w:t>
      </w:r>
      <w:r>
        <w:rPr>
          <w:rFonts w:ascii="宋体" w:eastAsia="宋体" w:hAnsi="宋体" w:cs="Segoe UI" w:hint="eastAsia"/>
          <w:color w:val="05073B"/>
          <w:sz w:val="24"/>
          <w:szCs w:val="24"/>
          <w:shd w:val="clear" w:color="auto" w:fill="FDFDFE"/>
        </w:rPr>
        <w:t>-</w:t>
      </w:r>
      <w:r>
        <w:rPr>
          <w:rFonts w:ascii="宋体" w:eastAsia="宋体" w:hAnsi="宋体" w:cs="Segoe UI"/>
          <w:color w:val="05073B"/>
          <w:sz w:val="24"/>
          <w:szCs w:val="24"/>
          <w:shd w:val="clear" w:color="auto" w:fill="FDFDFE"/>
        </w:rPr>
        <w:t>2017）、</w:t>
      </w:r>
      <w:r>
        <w:rPr>
          <w:rFonts w:ascii="宋体" w:eastAsia="宋体" w:hAnsi="宋体" w:cs="Segoe UI" w:hint="eastAsia"/>
          <w:color w:val="05073B"/>
          <w:sz w:val="24"/>
          <w:szCs w:val="24"/>
          <w:shd w:val="clear" w:color="auto" w:fill="FDFDFE"/>
        </w:rPr>
        <w:t>《</w:t>
      </w:r>
      <w:r>
        <w:rPr>
          <w:rFonts w:ascii="宋体" w:eastAsia="宋体" w:hAnsi="宋体" w:cs="Segoe UI"/>
          <w:color w:val="05073B"/>
          <w:sz w:val="24"/>
          <w:szCs w:val="24"/>
          <w:shd w:val="clear" w:color="auto" w:fill="FDFDFE"/>
        </w:rPr>
        <w:t>腰果种质资源鉴定技术规范</w:t>
      </w:r>
      <w:r>
        <w:rPr>
          <w:rFonts w:ascii="宋体" w:eastAsia="宋体" w:hAnsi="宋体" w:cs="Segoe UI" w:hint="eastAsia"/>
          <w:color w:val="05073B"/>
          <w:sz w:val="24"/>
          <w:szCs w:val="24"/>
          <w:shd w:val="clear" w:color="auto" w:fill="FDFDFE"/>
        </w:rPr>
        <w:t>》</w:t>
      </w:r>
      <w:r>
        <w:rPr>
          <w:rFonts w:ascii="宋体" w:eastAsia="宋体" w:hAnsi="宋体" w:cs="Segoe UI"/>
          <w:color w:val="05073B"/>
          <w:sz w:val="24"/>
          <w:szCs w:val="24"/>
          <w:shd w:val="clear" w:color="auto" w:fill="FDFDFE"/>
        </w:rPr>
        <w:t>（NY/T1688-2009）</w:t>
      </w:r>
      <w:r>
        <w:rPr>
          <w:rFonts w:ascii="宋体" w:eastAsia="宋体" w:hAnsi="宋体" w:cs="Segoe UI" w:hint="eastAsia"/>
          <w:color w:val="05073B"/>
          <w:sz w:val="24"/>
          <w:szCs w:val="24"/>
          <w:shd w:val="clear" w:color="auto" w:fill="FDFDFE"/>
        </w:rPr>
        <w:t>等，详见表1。从中了解了腰果标准的制定情况，为标准的制定提供了技术参考。</w:t>
      </w:r>
    </w:p>
    <w:p w:rsidR="000640BA" w:rsidRDefault="00167F57">
      <w:pPr>
        <w:spacing w:before="120" w:after="0" w:line="240" w:lineRule="auto"/>
        <w:jc w:val="center"/>
        <w:rPr>
          <w:rFonts w:ascii="宋体" w:eastAsia="宋体" w:hAnsi="宋体" w:cs="宋体"/>
          <w:color w:val="000000"/>
          <w:kern w:val="0"/>
          <w:sz w:val="20"/>
          <w:szCs w:val="24"/>
        </w:rPr>
      </w:pPr>
      <w:r>
        <w:rPr>
          <w:rFonts w:ascii="宋体" w:eastAsia="宋体" w:hAnsi="宋体" w:cs="宋体" w:hint="eastAsia"/>
          <w:b/>
          <w:kern w:val="0"/>
          <w:sz w:val="20"/>
          <w:szCs w:val="24"/>
        </w:rPr>
        <w:t>表</w:t>
      </w:r>
      <w:r>
        <w:rPr>
          <w:rFonts w:ascii="宋体" w:eastAsia="宋体" w:hAnsi="宋体" w:cs="宋体"/>
          <w:b/>
          <w:kern w:val="0"/>
          <w:sz w:val="20"/>
          <w:szCs w:val="24"/>
        </w:rPr>
        <w:t xml:space="preserve">1 </w:t>
      </w:r>
      <w:r>
        <w:rPr>
          <w:rFonts w:ascii="宋体" w:eastAsia="宋体" w:hAnsi="宋体" w:cs="宋体" w:hint="eastAsia"/>
          <w:b/>
          <w:kern w:val="0"/>
          <w:sz w:val="20"/>
          <w:szCs w:val="24"/>
        </w:rPr>
        <w:t>有关腰果的相关标准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085"/>
        <w:gridCol w:w="4059"/>
        <w:gridCol w:w="1469"/>
      </w:tblGrid>
      <w:tr w:rsidR="000640BA">
        <w:trPr>
          <w:trHeight w:val="302"/>
          <w:jc w:val="center"/>
        </w:trPr>
        <w:tc>
          <w:tcPr>
            <w:tcW w:w="700" w:type="dxa"/>
            <w:shd w:val="clear" w:color="auto" w:fill="auto"/>
          </w:tcPr>
          <w:p w:rsidR="000640BA" w:rsidRDefault="00167F57">
            <w:pPr>
              <w:spacing w:before="50" w:line="240" w:lineRule="auto"/>
              <w:jc w:val="center"/>
              <w:rPr>
                <w:rFonts w:ascii="宋体" w:eastAsia="宋体" w:hAnsi="宋体"/>
              </w:rPr>
            </w:pPr>
            <w:r>
              <w:rPr>
                <w:rFonts w:ascii="宋体" w:eastAsia="宋体" w:hAnsi="宋体" w:hint="eastAsia"/>
              </w:rPr>
              <w:t>序号</w:t>
            </w:r>
          </w:p>
        </w:tc>
        <w:tc>
          <w:tcPr>
            <w:tcW w:w="2085" w:type="dxa"/>
            <w:shd w:val="clear" w:color="auto" w:fill="auto"/>
          </w:tcPr>
          <w:p w:rsidR="000640BA" w:rsidRDefault="00167F57">
            <w:pPr>
              <w:autoSpaceDE w:val="0"/>
              <w:autoSpaceDN w:val="0"/>
              <w:adjustRightInd w:val="0"/>
              <w:spacing w:before="50" w:line="240" w:lineRule="auto"/>
              <w:jc w:val="center"/>
              <w:rPr>
                <w:rFonts w:ascii="宋体" w:eastAsia="宋体" w:hAnsi="宋体" w:cs="宋体"/>
                <w:kern w:val="0"/>
              </w:rPr>
            </w:pPr>
            <w:r>
              <w:rPr>
                <w:rFonts w:ascii="宋体" w:eastAsia="宋体" w:hAnsi="宋体" w:cs="宋体" w:hint="eastAsia"/>
                <w:kern w:val="0"/>
              </w:rPr>
              <w:t>标准编号</w:t>
            </w:r>
          </w:p>
        </w:tc>
        <w:tc>
          <w:tcPr>
            <w:tcW w:w="4059" w:type="dxa"/>
            <w:shd w:val="clear" w:color="auto" w:fill="auto"/>
          </w:tcPr>
          <w:p w:rsidR="000640BA" w:rsidRDefault="00167F57">
            <w:pPr>
              <w:spacing w:before="50" w:line="240" w:lineRule="auto"/>
              <w:jc w:val="center"/>
              <w:rPr>
                <w:rFonts w:ascii="宋体" w:eastAsia="宋体" w:hAnsi="宋体"/>
              </w:rPr>
            </w:pPr>
            <w:r>
              <w:rPr>
                <w:rFonts w:ascii="宋体" w:eastAsia="宋体" w:hAnsi="宋体" w:cs="宋体" w:hint="eastAsia"/>
                <w:kern w:val="0"/>
              </w:rPr>
              <w:t>标准名称</w:t>
            </w:r>
          </w:p>
        </w:tc>
        <w:tc>
          <w:tcPr>
            <w:tcW w:w="1469" w:type="dxa"/>
            <w:shd w:val="clear" w:color="auto" w:fill="auto"/>
          </w:tcPr>
          <w:p w:rsidR="000640BA" w:rsidRDefault="00167F57">
            <w:pPr>
              <w:spacing w:before="50" w:line="240" w:lineRule="auto"/>
              <w:jc w:val="center"/>
              <w:rPr>
                <w:rFonts w:ascii="宋体" w:eastAsia="宋体" w:hAnsi="宋体"/>
              </w:rPr>
            </w:pPr>
            <w:r>
              <w:rPr>
                <w:rFonts w:ascii="宋体" w:eastAsia="宋体" w:hAnsi="宋体" w:cs="宋体" w:hint="eastAsia"/>
                <w:kern w:val="0"/>
              </w:rPr>
              <w:t>标准类型</w:t>
            </w:r>
          </w:p>
        </w:tc>
      </w:tr>
      <w:tr w:rsidR="000640BA">
        <w:trPr>
          <w:trHeight w:val="309"/>
          <w:jc w:val="center"/>
        </w:trPr>
        <w:tc>
          <w:tcPr>
            <w:tcW w:w="700" w:type="dxa"/>
            <w:shd w:val="clear" w:color="auto" w:fill="auto"/>
          </w:tcPr>
          <w:p w:rsidR="000640BA" w:rsidRDefault="00167F57">
            <w:pPr>
              <w:spacing w:before="50" w:line="240" w:lineRule="auto"/>
              <w:jc w:val="center"/>
              <w:rPr>
                <w:rFonts w:ascii="宋体" w:eastAsia="宋体" w:hAnsi="宋体"/>
              </w:rPr>
            </w:pPr>
            <w:r>
              <w:rPr>
                <w:rFonts w:ascii="宋体" w:eastAsia="宋体" w:hAnsi="宋体" w:hint="eastAsia"/>
              </w:rPr>
              <w:t>1</w:t>
            </w:r>
          </w:p>
        </w:tc>
        <w:tc>
          <w:tcPr>
            <w:tcW w:w="2085" w:type="dxa"/>
            <w:shd w:val="clear" w:color="auto" w:fill="auto"/>
            <w:vAlign w:val="center"/>
          </w:tcPr>
          <w:p w:rsidR="000640BA" w:rsidRDefault="00167F57">
            <w:pPr>
              <w:autoSpaceDE w:val="0"/>
              <w:autoSpaceDN w:val="0"/>
              <w:adjustRightInd w:val="0"/>
              <w:spacing w:before="50" w:line="240" w:lineRule="auto"/>
              <w:jc w:val="center"/>
              <w:rPr>
                <w:rFonts w:ascii="宋体" w:eastAsia="宋体" w:hAnsi="宋体" w:cs="宋体"/>
                <w:kern w:val="0"/>
              </w:rPr>
            </w:pPr>
            <w:r>
              <w:rPr>
                <w:rFonts w:ascii="宋体" w:eastAsia="宋体" w:hAnsi="宋体"/>
              </w:rPr>
              <w:t>GB/T 18010-1999</w:t>
            </w:r>
          </w:p>
        </w:tc>
        <w:tc>
          <w:tcPr>
            <w:tcW w:w="4059" w:type="dxa"/>
            <w:shd w:val="clear" w:color="auto" w:fill="auto"/>
            <w:vAlign w:val="center"/>
          </w:tcPr>
          <w:p w:rsidR="000640BA" w:rsidRDefault="00167F57">
            <w:pPr>
              <w:spacing w:before="50" w:line="240" w:lineRule="auto"/>
              <w:jc w:val="center"/>
              <w:rPr>
                <w:rFonts w:ascii="宋体" w:eastAsia="宋体" w:hAnsi="宋体" w:cs="宋体"/>
                <w:kern w:val="0"/>
              </w:rPr>
            </w:pPr>
            <w:r>
              <w:rPr>
                <w:rFonts w:ascii="宋体" w:eastAsia="宋体" w:hAnsi="宋体" w:cs="宋体"/>
                <w:bCs/>
              </w:rPr>
              <w:t>腰果仁规格</w:t>
            </w:r>
          </w:p>
        </w:tc>
        <w:tc>
          <w:tcPr>
            <w:tcW w:w="1469" w:type="dxa"/>
            <w:shd w:val="clear" w:color="auto" w:fill="auto"/>
          </w:tcPr>
          <w:p w:rsidR="000640BA" w:rsidRDefault="00167F57">
            <w:pPr>
              <w:spacing w:before="50" w:line="240" w:lineRule="auto"/>
              <w:jc w:val="center"/>
              <w:rPr>
                <w:rFonts w:ascii="宋体" w:eastAsia="宋体" w:hAnsi="宋体" w:cs="宋体"/>
                <w:kern w:val="0"/>
              </w:rPr>
            </w:pPr>
            <w:r>
              <w:rPr>
                <w:rFonts w:ascii="宋体" w:eastAsia="宋体" w:hAnsi="宋体" w:hint="eastAsia"/>
              </w:rPr>
              <w:t>国家标准</w:t>
            </w:r>
          </w:p>
        </w:tc>
      </w:tr>
      <w:tr w:rsidR="000640BA">
        <w:trPr>
          <w:trHeight w:val="302"/>
          <w:jc w:val="center"/>
        </w:trPr>
        <w:tc>
          <w:tcPr>
            <w:tcW w:w="700" w:type="dxa"/>
            <w:shd w:val="clear" w:color="auto" w:fill="auto"/>
          </w:tcPr>
          <w:p w:rsidR="000640BA" w:rsidRDefault="00167F57">
            <w:pPr>
              <w:spacing w:before="50" w:line="240" w:lineRule="auto"/>
              <w:jc w:val="center"/>
              <w:rPr>
                <w:rFonts w:ascii="宋体" w:eastAsia="宋体" w:hAnsi="宋体"/>
              </w:rPr>
            </w:pPr>
            <w:r>
              <w:rPr>
                <w:rFonts w:ascii="宋体" w:eastAsia="宋体" w:hAnsi="宋体" w:hint="eastAsia"/>
              </w:rPr>
              <w:t>2</w:t>
            </w:r>
          </w:p>
        </w:tc>
        <w:tc>
          <w:tcPr>
            <w:tcW w:w="2085" w:type="dxa"/>
            <w:shd w:val="clear" w:color="auto" w:fill="auto"/>
            <w:vAlign w:val="center"/>
          </w:tcPr>
          <w:p w:rsidR="000640BA" w:rsidRDefault="00167F57">
            <w:pPr>
              <w:autoSpaceDE w:val="0"/>
              <w:autoSpaceDN w:val="0"/>
              <w:adjustRightInd w:val="0"/>
              <w:spacing w:before="50" w:line="240" w:lineRule="auto"/>
              <w:jc w:val="center"/>
              <w:rPr>
                <w:rFonts w:ascii="宋体" w:eastAsia="宋体" w:hAnsi="宋体"/>
              </w:rPr>
            </w:pPr>
            <w:r>
              <w:rPr>
                <w:rFonts w:ascii="宋体" w:eastAsia="宋体" w:hAnsi="宋体"/>
              </w:rPr>
              <w:t>ISO 6477-1988</w:t>
            </w:r>
          </w:p>
        </w:tc>
        <w:tc>
          <w:tcPr>
            <w:tcW w:w="4059" w:type="dxa"/>
            <w:shd w:val="clear" w:color="auto" w:fill="auto"/>
            <w:vAlign w:val="center"/>
          </w:tcPr>
          <w:p w:rsidR="000640BA" w:rsidRDefault="00167F57">
            <w:pPr>
              <w:spacing w:before="50" w:line="240" w:lineRule="auto"/>
              <w:jc w:val="center"/>
              <w:rPr>
                <w:rFonts w:ascii="宋体" w:eastAsia="宋体" w:hAnsi="宋体" w:cs="宋体"/>
                <w:bCs/>
              </w:rPr>
            </w:pPr>
            <w:r>
              <w:rPr>
                <w:rFonts w:ascii="宋体" w:eastAsia="宋体" w:hAnsi="宋体" w:cs="宋体"/>
                <w:bCs/>
              </w:rPr>
              <w:t>腰果仁规范</w:t>
            </w:r>
          </w:p>
        </w:tc>
        <w:tc>
          <w:tcPr>
            <w:tcW w:w="1469" w:type="dxa"/>
            <w:shd w:val="clear" w:color="auto" w:fill="auto"/>
          </w:tcPr>
          <w:p w:rsidR="000640BA" w:rsidRDefault="00167F57">
            <w:pPr>
              <w:spacing w:before="50" w:line="240" w:lineRule="auto"/>
              <w:jc w:val="center"/>
              <w:rPr>
                <w:rFonts w:ascii="宋体" w:eastAsia="宋体" w:hAnsi="宋体"/>
              </w:rPr>
            </w:pPr>
            <w:r>
              <w:rPr>
                <w:rFonts w:ascii="宋体" w:eastAsia="宋体" w:hAnsi="宋体" w:hint="eastAsia"/>
              </w:rPr>
              <w:t>国际标准</w:t>
            </w:r>
          </w:p>
        </w:tc>
      </w:tr>
      <w:tr w:rsidR="000640BA">
        <w:trPr>
          <w:trHeight w:val="309"/>
          <w:jc w:val="center"/>
        </w:trPr>
        <w:tc>
          <w:tcPr>
            <w:tcW w:w="700" w:type="dxa"/>
            <w:shd w:val="clear" w:color="auto" w:fill="auto"/>
          </w:tcPr>
          <w:p w:rsidR="000640BA" w:rsidRDefault="00167F57">
            <w:pPr>
              <w:spacing w:before="50" w:line="240" w:lineRule="auto"/>
              <w:jc w:val="center"/>
              <w:rPr>
                <w:rFonts w:ascii="宋体" w:eastAsia="宋体" w:hAnsi="宋体"/>
              </w:rPr>
            </w:pPr>
            <w:r>
              <w:rPr>
                <w:rFonts w:ascii="宋体" w:eastAsia="宋体" w:hAnsi="宋体" w:hint="eastAsia"/>
              </w:rPr>
              <w:t>3</w:t>
            </w:r>
          </w:p>
        </w:tc>
        <w:tc>
          <w:tcPr>
            <w:tcW w:w="2085" w:type="dxa"/>
            <w:shd w:val="clear" w:color="auto" w:fill="auto"/>
            <w:vAlign w:val="center"/>
          </w:tcPr>
          <w:p w:rsidR="000640BA" w:rsidRDefault="00167F57">
            <w:pPr>
              <w:spacing w:before="50" w:line="240" w:lineRule="auto"/>
              <w:jc w:val="center"/>
              <w:rPr>
                <w:rFonts w:ascii="宋体" w:eastAsia="宋体" w:hAnsi="宋体"/>
              </w:rPr>
            </w:pPr>
            <w:r>
              <w:rPr>
                <w:rFonts w:ascii="宋体" w:eastAsia="宋体" w:hAnsi="宋体"/>
              </w:rPr>
              <w:t>NY/T 361-1999</w:t>
            </w:r>
          </w:p>
        </w:tc>
        <w:tc>
          <w:tcPr>
            <w:tcW w:w="4059" w:type="dxa"/>
            <w:shd w:val="clear" w:color="auto" w:fill="auto"/>
            <w:vAlign w:val="center"/>
          </w:tcPr>
          <w:p w:rsidR="000640BA" w:rsidRDefault="00167F57">
            <w:pPr>
              <w:spacing w:before="50" w:line="240" w:lineRule="auto"/>
              <w:jc w:val="center"/>
              <w:rPr>
                <w:rFonts w:ascii="宋体" w:eastAsia="宋体" w:hAnsi="宋体" w:cs="宋体"/>
              </w:rPr>
            </w:pPr>
            <w:r>
              <w:rPr>
                <w:rFonts w:ascii="宋体" w:eastAsia="宋体" w:hAnsi="宋体" w:hint="eastAsia"/>
              </w:rPr>
              <w:t>腰果种子</w:t>
            </w:r>
          </w:p>
        </w:tc>
        <w:tc>
          <w:tcPr>
            <w:tcW w:w="1469" w:type="dxa"/>
            <w:shd w:val="clear" w:color="auto" w:fill="auto"/>
          </w:tcPr>
          <w:p w:rsidR="000640BA" w:rsidRDefault="00167F57">
            <w:pPr>
              <w:spacing w:before="50" w:line="240" w:lineRule="auto"/>
              <w:jc w:val="center"/>
              <w:rPr>
                <w:rFonts w:ascii="宋体" w:eastAsia="宋体" w:hAnsi="宋体"/>
              </w:rPr>
            </w:pPr>
            <w:r>
              <w:rPr>
                <w:rFonts w:ascii="宋体" w:eastAsia="宋体" w:hAnsi="宋体" w:cs="宋体" w:hint="eastAsia"/>
                <w:kern w:val="0"/>
              </w:rPr>
              <w:t>行业标准</w:t>
            </w:r>
          </w:p>
        </w:tc>
      </w:tr>
      <w:tr w:rsidR="000640BA">
        <w:trPr>
          <w:trHeight w:val="302"/>
          <w:jc w:val="center"/>
        </w:trPr>
        <w:tc>
          <w:tcPr>
            <w:tcW w:w="700" w:type="dxa"/>
            <w:shd w:val="clear" w:color="auto" w:fill="auto"/>
          </w:tcPr>
          <w:p w:rsidR="000640BA" w:rsidRDefault="00167F57">
            <w:pPr>
              <w:spacing w:before="50" w:line="240" w:lineRule="auto"/>
              <w:jc w:val="center"/>
              <w:rPr>
                <w:rFonts w:ascii="宋体" w:eastAsia="宋体" w:hAnsi="宋体"/>
              </w:rPr>
            </w:pPr>
            <w:r>
              <w:rPr>
                <w:rFonts w:ascii="宋体" w:eastAsia="宋体" w:hAnsi="宋体" w:hint="eastAsia"/>
              </w:rPr>
              <w:t>4</w:t>
            </w:r>
          </w:p>
        </w:tc>
        <w:tc>
          <w:tcPr>
            <w:tcW w:w="2085" w:type="dxa"/>
            <w:shd w:val="clear" w:color="auto" w:fill="auto"/>
            <w:vAlign w:val="center"/>
          </w:tcPr>
          <w:p w:rsidR="000640BA" w:rsidRDefault="00167F57">
            <w:pPr>
              <w:spacing w:before="50" w:line="240" w:lineRule="auto"/>
              <w:jc w:val="center"/>
              <w:rPr>
                <w:rFonts w:ascii="宋体" w:eastAsia="宋体" w:hAnsi="宋体"/>
              </w:rPr>
            </w:pPr>
            <w:r>
              <w:rPr>
                <w:rFonts w:ascii="宋体" w:eastAsia="宋体" w:hAnsi="宋体"/>
              </w:rPr>
              <w:t>NY/T 486-2002</w:t>
            </w:r>
          </w:p>
        </w:tc>
        <w:tc>
          <w:tcPr>
            <w:tcW w:w="4059" w:type="dxa"/>
            <w:shd w:val="clear" w:color="auto" w:fill="auto"/>
            <w:vAlign w:val="center"/>
          </w:tcPr>
          <w:p w:rsidR="000640BA" w:rsidRDefault="00167F57">
            <w:pPr>
              <w:spacing w:before="50" w:line="240" w:lineRule="auto"/>
              <w:jc w:val="center"/>
              <w:rPr>
                <w:rFonts w:ascii="宋体" w:eastAsia="宋体" w:hAnsi="宋体" w:cs="宋体"/>
              </w:rPr>
            </w:pPr>
            <w:r>
              <w:rPr>
                <w:rFonts w:ascii="宋体" w:eastAsia="宋体" w:hAnsi="宋体" w:hint="eastAsia"/>
              </w:rPr>
              <w:t>腰果</w:t>
            </w:r>
          </w:p>
        </w:tc>
        <w:tc>
          <w:tcPr>
            <w:tcW w:w="1469" w:type="dxa"/>
            <w:shd w:val="clear" w:color="auto" w:fill="auto"/>
          </w:tcPr>
          <w:p w:rsidR="000640BA" w:rsidRDefault="00167F57">
            <w:pPr>
              <w:spacing w:before="50" w:line="240" w:lineRule="auto"/>
              <w:jc w:val="center"/>
              <w:rPr>
                <w:rFonts w:ascii="宋体" w:eastAsia="宋体" w:hAnsi="宋体"/>
              </w:rPr>
            </w:pPr>
            <w:r>
              <w:rPr>
                <w:rFonts w:ascii="宋体" w:eastAsia="宋体" w:hAnsi="宋体" w:cs="宋体" w:hint="eastAsia"/>
                <w:kern w:val="0"/>
              </w:rPr>
              <w:t>行业标准</w:t>
            </w:r>
          </w:p>
        </w:tc>
      </w:tr>
      <w:tr w:rsidR="000640BA">
        <w:trPr>
          <w:trHeight w:val="309"/>
          <w:jc w:val="center"/>
        </w:trPr>
        <w:tc>
          <w:tcPr>
            <w:tcW w:w="700" w:type="dxa"/>
            <w:shd w:val="clear" w:color="auto" w:fill="auto"/>
          </w:tcPr>
          <w:p w:rsidR="000640BA" w:rsidRDefault="00167F57">
            <w:pPr>
              <w:spacing w:before="50" w:line="240" w:lineRule="auto"/>
              <w:jc w:val="center"/>
              <w:rPr>
                <w:rFonts w:ascii="宋体" w:eastAsia="宋体" w:hAnsi="宋体"/>
              </w:rPr>
            </w:pPr>
            <w:r>
              <w:rPr>
                <w:rFonts w:ascii="宋体" w:eastAsia="宋体" w:hAnsi="宋体" w:hint="eastAsia"/>
              </w:rPr>
              <w:t>5</w:t>
            </w:r>
          </w:p>
        </w:tc>
        <w:tc>
          <w:tcPr>
            <w:tcW w:w="2085" w:type="dxa"/>
            <w:shd w:val="clear" w:color="auto" w:fill="auto"/>
          </w:tcPr>
          <w:p w:rsidR="000640BA" w:rsidRDefault="00167F57">
            <w:pPr>
              <w:autoSpaceDE w:val="0"/>
              <w:autoSpaceDN w:val="0"/>
              <w:adjustRightInd w:val="0"/>
              <w:spacing w:before="50" w:line="240" w:lineRule="auto"/>
              <w:jc w:val="center"/>
              <w:rPr>
                <w:rFonts w:ascii="宋体" w:eastAsia="宋体" w:hAnsi="宋体" w:cs="宋体"/>
                <w:kern w:val="0"/>
              </w:rPr>
            </w:pPr>
            <w:r>
              <w:rPr>
                <w:rFonts w:ascii="宋体" w:eastAsia="宋体" w:hAnsi="宋体"/>
                <w:color w:val="000000"/>
                <w:shd w:val="clear" w:color="auto" w:fill="FFFFFF"/>
              </w:rPr>
              <w:t>NY/T 1688-2009</w:t>
            </w:r>
          </w:p>
        </w:tc>
        <w:tc>
          <w:tcPr>
            <w:tcW w:w="4059" w:type="dxa"/>
            <w:shd w:val="clear" w:color="auto" w:fill="auto"/>
          </w:tcPr>
          <w:p w:rsidR="000640BA" w:rsidRDefault="00167F57">
            <w:pPr>
              <w:spacing w:before="50" w:line="240" w:lineRule="auto"/>
              <w:jc w:val="center"/>
              <w:rPr>
                <w:rFonts w:ascii="宋体" w:eastAsia="宋体" w:hAnsi="宋体"/>
              </w:rPr>
            </w:pPr>
            <w:r>
              <w:rPr>
                <w:rFonts w:ascii="宋体" w:eastAsia="宋体" w:hAnsi="宋体"/>
                <w:color w:val="000000"/>
                <w:shd w:val="clear" w:color="auto" w:fill="FFFFFF"/>
              </w:rPr>
              <w:t>腰果种质资源鉴定技术规范</w:t>
            </w:r>
          </w:p>
        </w:tc>
        <w:tc>
          <w:tcPr>
            <w:tcW w:w="1469" w:type="dxa"/>
            <w:shd w:val="clear" w:color="auto" w:fill="auto"/>
          </w:tcPr>
          <w:p w:rsidR="000640BA" w:rsidRDefault="00167F57">
            <w:pPr>
              <w:spacing w:before="50" w:line="240" w:lineRule="auto"/>
              <w:jc w:val="center"/>
              <w:rPr>
                <w:rFonts w:ascii="宋体" w:eastAsia="宋体" w:hAnsi="宋体"/>
              </w:rPr>
            </w:pPr>
            <w:r>
              <w:rPr>
                <w:rFonts w:ascii="宋体" w:eastAsia="宋体" w:hAnsi="宋体" w:cs="宋体" w:hint="eastAsia"/>
                <w:kern w:val="0"/>
              </w:rPr>
              <w:t>行业标准</w:t>
            </w:r>
          </w:p>
        </w:tc>
      </w:tr>
      <w:tr w:rsidR="000640BA">
        <w:trPr>
          <w:trHeight w:val="302"/>
          <w:jc w:val="center"/>
        </w:trPr>
        <w:tc>
          <w:tcPr>
            <w:tcW w:w="700" w:type="dxa"/>
            <w:shd w:val="clear" w:color="auto" w:fill="auto"/>
          </w:tcPr>
          <w:p w:rsidR="000640BA" w:rsidRDefault="00167F57">
            <w:pPr>
              <w:spacing w:before="50" w:line="240" w:lineRule="auto"/>
              <w:jc w:val="center"/>
              <w:rPr>
                <w:rFonts w:ascii="宋体" w:eastAsia="宋体" w:hAnsi="宋体"/>
              </w:rPr>
            </w:pPr>
            <w:r>
              <w:rPr>
                <w:rFonts w:ascii="宋体" w:eastAsia="宋体" w:hAnsi="宋体" w:hint="eastAsia"/>
              </w:rPr>
              <w:t>6</w:t>
            </w:r>
          </w:p>
        </w:tc>
        <w:tc>
          <w:tcPr>
            <w:tcW w:w="2085" w:type="dxa"/>
            <w:shd w:val="clear" w:color="auto" w:fill="auto"/>
          </w:tcPr>
          <w:p w:rsidR="000640BA" w:rsidRDefault="00167F57">
            <w:pPr>
              <w:autoSpaceDE w:val="0"/>
              <w:autoSpaceDN w:val="0"/>
              <w:adjustRightInd w:val="0"/>
              <w:spacing w:before="50" w:line="240" w:lineRule="auto"/>
              <w:jc w:val="center"/>
              <w:rPr>
                <w:rFonts w:ascii="宋体" w:eastAsia="宋体" w:hAnsi="宋体" w:cs="宋体"/>
                <w:kern w:val="0"/>
              </w:rPr>
            </w:pPr>
            <w:r>
              <w:rPr>
                <w:rFonts w:ascii="宋体" w:eastAsia="宋体" w:hAnsi="宋体"/>
                <w:color w:val="000000"/>
                <w:shd w:val="clear" w:color="auto" w:fill="FFFFFF"/>
              </w:rPr>
              <w:t>NY/T 2047-2011</w:t>
            </w:r>
          </w:p>
        </w:tc>
        <w:tc>
          <w:tcPr>
            <w:tcW w:w="4059" w:type="dxa"/>
            <w:shd w:val="clear" w:color="auto" w:fill="auto"/>
          </w:tcPr>
          <w:p w:rsidR="000640BA" w:rsidRDefault="00167F57">
            <w:pPr>
              <w:autoSpaceDE w:val="0"/>
              <w:autoSpaceDN w:val="0"/>
              <w:adjustRightInd w:val="0"/>
              <w:spacing w:before="50" w:line="240" w:lineRule="auto"/>
              <w:jc w:val="center"/>
              <w:rPr>
                <w:rFonts w:ascii="宋体" w:eastAsia="宋体" w:hAnsi="宋体" w:cs="宋体"/>
                <w:kern w:val="0"/>
              </w:rPr>
            </w:pPr>
            <w:r>
              <w:rPr>
                <w:rFonts w:ascii="宋体" w:eastAsia="宋体" w:hAnsi="宋体"/>
                <w:color w:val="000000"/>
                <w:shd w:val="clear" w:color="auto" w:fill="FFFFFF"/>
              </w:rPr>
              <w:t>腰果病虫害防治技术规范</w:t>
            </w:r>
          </w:p>
        </w:tc>
        <w:tc>
          <w:tcPr>
            <w:tcW w:w="1469" w:type="dxa"/>
            <w:shd w:val="clear" w:color="auto" w:fill="auto"/>
          </w:tcPr>
          <w:p w:rsidR="000640BA" w:rsidRDefault="00167F57">
            <w:pPr>
              <w:spacing w:before="50" w:line="240" w:lineRule="auto"/>
              <w:jc w:val="center"/>
              <w:rPr>
                <w:rFonts w:ascii="宋体" w:eastAsia="宋体" w:hAnsi="宋体"/>
              </w:rPr>
            </w:pPr>
            <w:r>
              <w:rPr>
                <w:rFonts w:ascii="宋体" w:eastAsia="宋体" w:hAnsi="宋体" w:cs="宋体" w:hint="eastAsia"/>
                <w:kern w:val="0"/>
              </w:rPr>
              <w:t>行业标准</w:t>
            </w:r>
          </w:p>
        </w:tc>
      </w:tr>
      <w:tr w:rsidR="000640BA">
        <w:trPr>
          <w:trHeight w:val="309"/>
          <w:jc w:val="center"/>
        </w:trPr>
        <w:tc>
          <w:tcPr>
            <w:tcW w:w="700" w:type="dxa"/>
            <w:shd w:val="clear" w:color="auto" w:fill="auto"/>
          </w:tcPr>
          <w:p w:rsidR="000640BA" w:rsidRDefault="00167F57">
            <w:pPr>
              <w:spacing w:before="50" w:line="240" w:lineRule="auto"/>
              <w:jc w:val="center"/>
              <w:rPr>
                <w:rFonts w:ascii="宋体" w:eastAsia="宋体" w:hAnsi="宋体"/>
              </w:rPr>
            </w:pPr>
            <w:r>
              <w:rPr>
                <w:rFonts w:ascii="宋体" w:eastAsia="宋体" w:hAnsi="宋体" w:hint="eastAsia"/>
              </w:rPr>
              <w:t>7</w:t>
            </w:r>
          </w:p>
        </w:tc>
        <w:tc>
          <w:tcPr>
            <w:tcW w:w="2085" w:type="dxa"/>
            <w:shd w:val="clear" w:color="auto" w:fill="auto"/>
            <w:vAlign w:val="center"/>
          </w:tcPr>
          <w:p w:rsidR="000640BA" w:rsidRDefault="00167F57">
            <w:pPr>
              <w:spacing w:before="50" w:line="240" w:lineRule="auto"/>
              <w:jc w:val="center"/>
              <w:rPr>
                <w:rFonts w:ascii="宋体" w:eastAsia="宋体" w:hAnsi="宋体"/>
              </w:rPr>
            </w:pPr>
            <w:r>
              <w:rPr>
                <w:rFonts w:ascii="宋体" w:eastAsia="宋体" w:hAnsi="宋体"/>
              </w:rPr>
              <w:t>NY/T 1042-2014</w:t>
            </w:r>
          </w:p>
        </w:tc>
        <w:tc>
          <w:tcPr>
            <w:tcW w:w="4059" w:type="dxa"/>
            <w:shd w:val="clear" w:color="auto" w:fill="auto"/>
            <w:vAlign w:val="center"/>
          </w:tcPr>
          <w:p w:rsidR="000640BA" w:rsidRDefault="00167F57">
            <w:pPr>
              <w:spacing w:before="50" w:line="240" w:lineRule="auto"/>
              <w:jc w:val="center"/>
              <w:rPr>
                <w:rFonts w:ascii="宋体" w:eastAsia="宋体" w:hAnsi="宋体" w:cs="宋体"/>
                <w:bCs/>
              </w:rPr>
            </w:pPr>
            <w:r>
              <w:rPr>
                <w:rFonts w:ascii="宋体" w:eastAsia="宋体" w:hAnsi="宋体" w:cs="宋体"/>
                <w:bCs/>
              </w:rPr>
              <w:t>绿色食品坚果</w:t>
            </w:r>
          </w:p>
        </w:tc>
        <w:tc>
          <w:tcPr>
            <w:tcW w:w="1469" w:type="dxa"/>
            <w:shd w:val="clear" w:color="auto" w:fill="auto"/>
          </w:tcPr>
          <w:p w:rsidR="000640BA" w:rsidRDefault="00167F57">
            <w:pPr>
              <w:spacing w:before="50" w:line="240" w:lineRule="auto"/>
              <w:jc w:val="center"/>
              <w:rPr>
                <w:rFonts w:ascii="宋体" w:eastAsia="宋体" w:hAnsi="宋体"/>
              </w:rPr>
            </w:pPr>
            <w:r>
              <w:rPr>
                <w:rFonts w:ascii="宋体" w:eastAsia="宋体" w:hAnsi="宋体" w:hint="eastAsia"/>
              </w:rPr>
              <w:t>行业标准</w:t>
            </w:r>
          </w:p>
        </w:tc>
      </w:tr>
      <w:tr w:rsidR="000640BA">
        <w:trPr>
          <w:trHeight w:val="309"/>
          <w:jc w:val="center"/>
        </w:trPr>
        <w:tc>
          <w:tcPr>
            <w:tcW w:w="700" w:type="dxa"/>
            <w:shd w:val="clear" w:color="auto" w:fill="auto"/>
          </w:tcPr>
          <w:p w:rsidR="000640BA" w:rsidRDefault="00167F57">
            <w:pPr>
              <w:spacing w:before="50" w:line="240" w:lineRule="auto"/>
              <w:jc w:val="center"/>
              <w:rPr>
                <w:rFonts w:ascii="宋体" w:eastAsia="宋体" w:hAnsi="宋体"/>
              </w:rPr>
            </w:pPr>
            <w:r>
              <w:rPr>
                <w:rFonts w:ascii="宋体" w:eastAsia="宋体" w:hAnsi="宋体" w:hint="eastAsia"/>
              </w:rPr>
              <w:lastRenderedPageBreak/>
              <w:t>8</w:t>
            </w:r>
          </w:p>
        </w:tc>
        <w:tc>
          <w:tcPr>
            <w:tcW w:w="2085" w:type="dxa"/>
            <w:shd w:val="clear" w:color="auto" w:fill="auto"/>
            <w:vAlign w:val="center"/>
          </w:tcPr>
          <w:p w:rsidR="000640BA" w:rsidRDefault="00167F57">
            <w:pPr>
              <w:spacing w:before="50" w:line="240" w:lineRule="auto"/>
              <w:jc w:val="center"/>
              <w:rPr>
                <w:rFonts w:ascii="宋体" w:eastAsia="宋体" w:hAnsi="宋体"/>
              </w:rPr>
            </w:pPr>
            <w:r>
              <w:rPr>
                <w:rFonts w:ascii="宋体" w:eastAsia="宋体" w:hAnsi="宋体"/>
              </w:rPr>
              <w:t>NY 5324-2006</w:t>
            </w:r>
          </w:p>
        </w:tc>
        <w:tc>
          <w:tcPr>
            <w:tcW w:w="4059" w:type="dxa"/>
            <w:shd w:val="clear" w:color="auto" w:fill="auto"/>
            <w:vAlign w:val="center"/>
          </w:tcPr>
          <w:p w:rsidR="000640BA" w:rsidRDefault="00167F57">
            <w:pPr>
              <w:spacing w:before="50" w:line="240" w:lineRule="auto"/>
              <w:jc w:val="center"/>
              <w:rPr>
                <w:rFonts w:ascii="宋体" w:eastAsia="宋体" w:hAnsi="宋体" w:cs="宋体"/>
                <w:bCs/>
              </w:rPr>
            </w:pPr>
            <w:r>
              <w:rPr>
                <w:rFonts w:ascii="宋体" w:eastAsia="宋体" w:hAnsi="宋体" w:cs="宋体"/>
                <w:bCs/>
              </w:rPr>
              <w:t>无公害食品(常绿果树)</w:t>
            </w:r>
            <w:proofErr w:type="gramStart"/>
            <w:r>
              <w:rPr>
                <w:rFonts w:ascii="宋体" w:eastAsia="宋体" w:hAnsi="宋体" w:cs="宋体"/>
                <w:bCs/>
              </w:rPr>
              <w:t>坚</w:t>
            </w:r>
            <w:proofErr w:type="gramEnd"/>
            <w:r>
              <w:rPr>
                <w:rFonts w:ascii="宋体" w:eastAsia="宋体" w:hAnsi="宋体" w:cs="宋体"/>
                <w:bCs/>
              </w:rPr>
              <w:t>(壳)果</w:t>
            </w:r>
          </w:p>
        </w:tc>
        <w:tc>
          <w:tcPr>
            <w:tcW w:w="1469" w:type="dxa"/>
            <w:shd w:val="clear" w:color="auto" w:fill="auto"/>
          </w:tcPr>
          <w:p w:rsidR="000640BA" w:rsidRDefault="00167F57">
            <w:pPr>
              <w:spacing w:before="50" w:line="240" w:lineRule="auto"/>
              <w:jc w:val="center"/>
              <w:rPr>
                <w:rFonts w:ascii="宋体" w:eastAsia="宋体" w:hAnsi="宋体"/>
              </w:rPr>
            </w:pPr>
            <w:r>
              <w:rPr>
                <w:rFonts w:ascii="宋体" w:eastAsia="宋体" w:hAnsi="宋体" w:hint="eastAsia"/>
              </w:rPr>
              <w:t>行业标准</w:t>
            </w:r>
          </w:p>
        </w:tc>
      </w:tr>
      <w:tr w:rsidR="000640BA">
        <w:trPr>
          <w:trHeight w:val="302"/>
          <w:jc w:val="center"/>
        </w:trPr>
        <w:tc>
          <w:tcPr>
            <w:tcW w:w="700" w:type="dxa"/>
            <w:shd w:val="clear" w:color="auto" w:fill="auto"/>
          </w:tcPr>
          <w:p w:rsidR="000640BA" w:rsidRDefault="00167F57">
            <w:pPr>
              <w:spacing w:before="50" w:line="240" w:lineRule="auto"/>
              <w:jc w:val="center"/>
              <w:rPr>
                <w:rFonts w:ascii="宋体" w:eastAsia="宋体" w:hAnsi="宋体"/>
              </w:rPr>
            </w:pPr>
            <w:r>
              <w:rPr>
                <w:rFonts w:ascii="宋体" w:eastAsia="宋体" w:hAnsi="宋体" w:hint="eastAsia"/>
              </w:rPr>
              <w:t>9</w:t>
            </w:r>
          </w:p>
        </w:tc>
        <w:tc>
          <w:tcPr>
            <w:tcW w:w="2085" w:type="dxa"/>
            <w:shd w:val="clear" w:color="auto" w:fill="auto"/>
            <w:vAlign w:val="center"/>
          </w:tcPr>
          <w:p w:rsidR="000640BA" w:rsidRDefault="00167F57">
            <w:pPr>
              <w:spacing w:before="50" w:line="240" w:lineRule="auto"/>
              <w:jc w:val="center"/>
              <w:rPr>
                <w:rFonts w:ascii="宋体" w:eastAsia="宋体" w:hAnsi="宋体"/>
              </w:rPr>
            </w:pPr>
            <w:r>
              <w:rPr>
                <w:rFonts w:ascii="宋体" w:eastAsia="宋体" w:hAnsi="宋体"/>
              </w:rPr>
              <w:t>SB/T 10615-2011</w:t>
            </w:r>
          </w:p>
        </w:tc>
        <w:tc>
          <w:tcPr>
            <w:tcW w:w="4059" w:type="dxa"/>
            <w:shd w:val="clear" w:color="auto" w:fill="auto"/>
            <w:vAlign w:val="center"/>
          </w:tcPr>
          <w:p w:rsidR="000640BA" w:rsidRDefault="00167F57">
            <w:pPr>
              <w:spacing w:before="50" w:line="240" w:lineRule="auto"/>
              <w:jc w:val="center"/>
              <w:rPr>
                <w:rFonts w:ascii="宋体" w:eastAsia="宋体" w:hAnsi="宋体" w:cs="宋体"/>
              </w:rPr>
            </w:pPr>
            <w:r>
              <w:rPr>
                <w:rFonts w:ascii="宋体" w:eastAsia="宋体" w:hAnsi="宋体" w:cs="宋体"/>
              </w:rPr>
              <w:t>熟制腰果(仁)</w:t>
            </w:r>
          </w:p>
        </w:tc>
        <w:tc>
          <w:tcPr>
            <w:tcW w:w="1469" w:type="dxa"/>
            <w:shd w:val="clear" w:color="auto" w:fill="auto"/>
          </w:tcPr>
          <w:p w:rsidR="000640BA" w:rsidRDefault="00167F57">
            <w:pPr>
              <w:spacing w:before="50" w:line="240" w:lineRule="auto"/>
              <w:jc w:val="center"/>
              <w:rPr>
                <w:rFonts w:ascii="宋体" w:eastAsia="宋体" w:hAnsi="宋体"/>
              </w:rPr>
            </w:pPr>
            <w:r>
              <w:rPr>
                <w:rFonts w:ascii="宋体" w:eastAsia="宋体" w:hAnsi="宋体" w:cs="宋体" w:hint="eastAsia"/>
                <w:kern w:val="0"/>
              </w:rPr>
              <w:t>行业标准</w:t>
            </w:r>
          </w:p>
        </w:tc>
      </w:tr>
      <w:tr w:rsidR="000640BA">
        <w:trPr>
          <w:trHeight w:val="468"/>
          <w:jc w:val="center"/>
        </w:trPr>
        <w:tc>
          <w:tcPr>
            <w:tcW w:w="700" w:type="dxa"/>
            <w:shd w:val="clear" w:color="auto" w:fill="auto"/>
          </w:tcPr>
          <w:p w:rsidR="000640BA" w:rsidRDefault="00167F57">
            <w:pPr>
              <w:spacing w:before="50" w:line="240" w:lineRule="auto"/>
              <w:jc w:val="center"/>
              <w:rPr>
                <w:rFonts w:ascii="宋体" w:eastAsia="宋体" w:hAnsi="宋体"/>
              </w:rPr>
            </w:pPr>
            <w:r>
              <w:rPr>
                <w:rFonts w:ascii="宋体" w:eastAsia="宋体" w:hAnsi="宋体" w:hint="eastAsia"/>
              </w:rPr>
              <w:t>10</w:t>
            </w:r>
          </w:p>
        </w:tc>
        <w:tc>
          <w:tcPr>
            <w:tcW w:w="2085" w:type="dxa"/>
            <w:shd w:val="clear" w:color="auto" w:fill="auto"/>
            <w:vAlign w:val="center"/>
          </w:tcPr>
          <w:p w:rsidR="000640BA" w:rsidRDefault="00167F57">
            <w:pPr>
              <w:spacing w:before="50" w:line="240" w:lineRule="auto"/>
              <w:jc w:val="center"/>
              <w:rPr>
                <w:rFonts w:ascii="宋体" w:eastAsia="宋体" w:hAnsi="宋体"/>
              </w:rPr>
            </w:pPr>
            <w:r>
              <w:rPr>
                <w:rFonts w:ascii="宋体" w:eastAsia="宋体" w:hAnsi="宋体"/>
              </w:rPr>
              <w:t>SN/T1961.4-2013</w:t>
            </w:r>
          </w:p>
        </w:tc>
        <w:tc>
          <w:tcPr>
            <w:tcW w:w="4059" w:type="dxa"/>
            <w:shd w:val="clear" w:color="auto" w:fill="auto"/>
            <w:vAlign w:val="center"/>
          </w:tcPr>
          <w:p w:rsidR="000640BA" w:rsidRDefault="00167F57">
            <w:pPr>
              <w:spacing w:before="50" w:line="240" w:lineRule="auto"/>
              <w:jc w:val="center"/>
              <w:rPr>
                <w:rFonts w:ascii="宋体" w:eastAsia="宋体" w:hAnsi="宋体" w:cs="宋体"/>
              </w:rPr>
            </w:pPr>
            <w:r>
              <w:rPr>
                <w:rFonts w:ascii="宋体" w:eastAsia="宋体" w:hAnsi="宋体" w:cs="宋体"/>
              </w:rPr>
              <w:t>出口食品过敏原成分检测.第 4部分：实时荧光PCR方法检测腰果成分</w:t>
            </w:r>
          </w:p>
        </w:tc>
        <w:tc>
          <w:tcPr>
            <w:tcW w:w="1469" w:type="dxa"/>
            <w:shd w:val="clear" w:color="auto" w:fill="auto"/>
          </w:tcPr>
          <w:p w:rsidR="000640BA" w:rsidRDefault="00167F57">
            <w:pPr>
              <w:spacing w:before="50" w:line="240" w:lineRule="auto"/>
              <w:jc w:val="center"/>
              <w:rPr>
                <w:rFonts w:ascii="宋体" w:eastAsia="宋体" w:hAnsi="宋体"/>
              </w:rPr>
            </w:pPr>
            <w:r>
              <w:rPr>
                <w:rFonts w:ascii="宋体" w:eastAsia="宋体" w:hAnsi="宋体" w:cs="宋体" w:hint="eastAsia"/>
                <w:kern w:val="0"/>
              </w:rPr>
              <w:t>行业标准</w:t>
            </w:r>
          </w:p>
        </w:tc>
      </w:tr>
      <w:tr w:rsidR="000640BA">
        <w:trPr>
          <w:trHeight w:val="317"/>
          <w:jc w:val="center"/>
        </w:trPr>
        <w:tc>
          <w:tcPr>
            <w:tcW w:w="700" w:type="dxa"/>
            <w:shd w:val="clear" w:color="auto" w:fill="auto"/>
          </w:tcPr>
          <w:p w:rsidR="000640BA" w:rsidRDefault="00167F57">
            <w:pPr>
              <w:spacing w:before="50" w:line="240" w:lineRule="auto"/>
              <w:jc w:val="center"/>
              <w:rPr>
                <w:rFonts w:ascii="宋体" w:eastAsia="宋体" w:hAnsi="宋体"/>
              </w:rPr>
            </w:pPr>
            <w:r>
              <w:rPr>
                <w:rFonts w:ascii="宋体" w:eastAsia="宋体" w:hAnsi="宋体" w:hint="eastAsia"/>
              </w:rPr>
              <w:t>11</w:t>
            </w:r>
          </w:p>
        </w:tc>
        <w:tc>
          <w:tcPr>
            <w:tcW w:w="2085" w:type="dxa"/>
            <w:shd w:val="clear" w:color="auto" w:fill="auto"/>
            <w:vAlign w:val="center"/>
          </w:tcPr>
          <w:p w:rsidR="000640BA" w:rsidRDefault="00167F57">
            <w:pPr>
              <w:spacing w:before="50" w:line="240" w:lineRule="auto"/>
              <w:jc w:val="center"/>
              <w:rPr>
                <w:rFonts w:ascii="宋体" w:eastAsia="宋体" w:hAnsi="宋体"/>
              </w:rPr>
            </w:pPr>
            <w:r>
              <w:rPr>
                <w:rFonts w:ascii="宋体" w:eastAsia="宋体" w:hAnsi="宋体"/>
              </w:rPr>
              <w:t>DB46/T 431</w:t>
            </w:r>
            <w:r>
              <w:rPr>
                <w:rFonts w:ascii="宋体" w:eastAsia="宋体" w:hAnsi="宋体" w:hint="eastAsia"/>
              </w:rPr>
              <w:t>-</w:t>
            </w:r>
            <w:r>
              <w:rPr>
                <w:rFonts w:ascii="宋体" w:eastAsia="宋体" w:hAnsi="宋体"/>
              </w:rPr>
              <w:t>2017</w:t>
            </w:r>
          </w:p>
        </w:tc>
        <w:tc>
          <w:tcPr>
            <w:tcW w:w="4059" w:type="dxa"/>
            <w:shd w:val="clear" w:color="auto" w:fill="auto"/>
            <w:vAlign w:val="center"/>
          </w:tcPr>
          <w:p w:rsidR="000640BA" w:rsidRDefault="00167F57">
            <w:pPr>
              <w:spacing w:before="50" w:line="240" w:lineRule="auto"/>
              <w:jc w:val="center"/>
              <w:rPr>
                <w:rFonts w:ascii="宋体" w:eastAsia="宋体" w:hAnsi="宋体" w:cs="宋体"/>
                <w:bCs/>
              </w:rPr>
            </w:pPr>
            <w:r>
              <w:rPr>
                <w:rFonts w:ascii="宋体" w:eastAsia="宋体" w:hAnsi="宋体" w:cs="宋体" w:hint="eastAsia"/>
                <w:bCs/>
              </w:rPr>
              <w:t>腰果嫁接苗</w:t>
            </w:r>
          </w:p>
        </w:tc>
        <w:tc>
          <w:tcPr>
            <w:tcW w:w="1469" w:type="dxa"/>
            <w:shd w:val="clear" w:color="auto" w:fill="auto"/>
          </w:tcPr>
          <w:p w:rsidR="000640BA" w:rsidRDefault="00167F57">
            <w:pPr>
              <w:spacing w:before="50" w:line="240" w:lineRule="auto"/>
              <w:jc w:val="center"/>
              <w:rPr>
                <w:rFonts w:ascii="宋体" w:eastAsia="宋体" w:hAnsi="宋体"/>
              </w:rPr>
            </w:pPr>
            <w:r>
              <w:rPr>
                <w:rFonts w:ascii="宋体" w:eastAsia="宋体" w:hAnsi="宋体" w:hint="eastAsia"/>
              </w:rPr>
              <w:t>地方标准</w:t>
            </w:r>
          </w:p>
        </w:tc>
      </w:tr>
    </w:tbl>
    <w:p w:rsidR="000640BA" w:rsidRDefault="00167F57">
      <w:pPr>
        <w:spacing w:before="50" w:line="360" w:lineRule="auto"/>
        <w:ind w:firstLine="200"/>
        <w:rPr>
          <w:rFonts w:ascii="宋体" w:eastAsia="宋体" w:hAnsi="宋体"/>
          <w:b/>
          <w:sz w:val="24"/>
          <w:szCs w:val="24"/>
        </w:rPr>
      </w:pPr>
      <w:r>
        <w:rPr>
          <w:rFonts w:ascii="宋体" w:eastAsia="宋体" w:hAnsi="宋体" w:hint="eastAsia"/>
          <w:b/>
          <w:sz w:val="24"/>
          <w:szCs w:val="24"/>
        </w:rPr>
        <w:t>1.2查阅相关专著和文献</w:t>
      </w:r>
    </w:p>
    <w:p w:rsidR="000640BA" w:rsidRDefault="00167F57">
      <w:pPr>
        <w:spacing w:before="50" w:line="360" w:lineRule="auto"/>
        <w:ind w:firstLineChars="200" w:firstLine="480"/>
        <w:rPr>
          <w:rFonts w:ascii="宋体" w:eastAsia="宋体" w:hAnsi="宋体"/>
          <w:sz w:val="24"/>
          <w:szCs w:val="24"/>
        </w:rPr>
      </w:pPr>
      <w:r>
        <w:rPr>
          <w:rFonts w:ascii="宋体" w:eastAsia="宋体" w:hAnsi="宋体" w:hint="eastAsia"/>
          <w:sz w:val="24"/>
          <w:szCs w:val="24"/>
        </w:rPr>
        <w:t>20</w:t>
      </w:r>
      <w:r>
        <w:rPr>
          <w:rFonts w:ascii="宋体" w:eastAsia="宋体" w:hAnsi="宋体"/>
          <w:sz w:val="24"/>
          <w:szCs w:val="24"/>
        </w:rPr>
        <w:t>1</w:t>
      </w:r>
      <w:r>
        <w:rPr>
          <w:rFonts w:ascii="宋体" w:eastAsia="宋体" w:hAnsi="宋体" w:hint="eastAsia"/>
          <w:sz w:val="24"/>
          <w:szCs w:val="24"/>
        </w:rPr>
        <w:t>7年10月至20</w:t>
      </w:r>
      <w:r>
        <w:rPr>
          <w:rFonts w:ascii="宋体" w:eastAsia="宋体" w:hAnsi="宋体"/>
          <w:sz w:val="24"/>
          <w:szCs w:val="24"/>
        </w:rPr>
        <w:t>1</w:t>
      </w:r>
      <w:r>
        <w:rPr>
          <w:rFonts w:ascii="宋体" w:eastAsia="宋体" w:hAnsi="宋体" w:hint="eastAsia"/>
          <w:sz w:val="24"/>
          <w:szCs w:val="24"/>
        </w:rPr>
        <w:t>8年3月进行了相关专著和文献的收集、整理，主要内容涉及到腰果的生产现状、品种介绍、种质资源收集情况、栽培技术、病虫害防治、加工发展对策等方面，查阅了《腰果栽培实用技术》《腰果种质资源描述规范和数据标准》《腰果栽培与加工》《腰果病虫害防治》《</w:t>
      </w:r>
      <w:r>
        <w:rPr>
          <w:rFonts w:ascii="宋体" w:eastAsia="宋体" w:hAnsi="宋体"/>
          <w:sz w:val="24"/>
          <w:szCs w:val="24"/>
        </w:rPr>
        <w:t>热带作物优质种苗繁育技术</w:t>
      </w:r>
      <w:r>
        <w:rPr>
          <w:rFonts w:ascii="宋体" w:eastAsia="宋体" w:hAnsi="宋体" w:hint="eastAsia"/>
          <w:sz w:val="24"/>
          <w:szCs w:val="24"/>
        </w:rPr>
        <w:t>》等专著。浏览</w:t>
      </w:r>
      <w:proofErr w:type="gramStart"/>
      <w:r>
        <w:rPr>
          <w:rFonts w:ascii="宋体" w:eastAsia="宋体" w:hAnsi="宋体" w:hint="eastAsia"/>
          <w:sz w:val="24"/>
          <w:szCs w:val="24"/>
        </w:rPr>
        <w:t>了庄南生</w:t>
      </w:r>
      <w:proofErr w:type="gramEnd"/>
      <w:r>
        <w:rPr>
          <w:rFonts w:ascii="宋体" w:eastAsia="宋体" w:hAnsi="宋体" w:hint="eastAsia"/>
          <w:sz w:val="24"/>
          <w:szCs w:val="24"/>
        </w:rPr>
        <w:t>等的《腰果及其种苗繁育技术研究概况》、梁李宏的《海南腰果产业化探讨》、周娇等的《腰果育苗技术研究》、赵丽等的《我国腰果研究概况》等参考文献；了解了腰果的生产现状、发展目标和规划，为标准的修订奠定了基础。</w:t>
      </w:r>
    </w:p>
    <w:p w:rsidR="000640BA" w:rsidRDefault="00167F57">
      <w:pPr>
        <w:spacing w:before="50" w:line="360" w:lineRule="auto"/>
        <w:ind w:firstLine="200"/>
        <w:rPr>
          <w:rFonts w:ascii="宋体" w:eastAsia="宋体" w:hAnsi="宋体"/>
          <w:b/>
          <w:sz w:val="24"/>
          <w:szCs w:val="24"/>
        </w:rPr>
      </w:pPr>
      <w:r>
        <w:rPr>
          <w:rFonts w:ascii="宋体" w:eastAsia="宋体" w:hAnsi="宋体" w:hint="eastAsia"/>
          <w:b/>
          <w:sz w:val="24"/>
          <w:szCs w:val="24"/>
        </w:rPr>
        <w:t>1.3 电话、邮件咨询相关情况</w:t>
      </w:r>
    </w:p>
    <w:p w:rsidR="000640BA" w:rsidRDefault="00167F57">
      <w:pPr>
        <w:spacing w:before="50" w:line="360" w:lineRule="auto"/>
        <w:ind w:firstLineChars="200" w:firstLine="480"/>
        <w:rPr>
          <w:rFonts w:ascii="宋体" w:eastAsia="宋体" w:hAnsi="宋体"/>
          <w:sz w:val="24"/>
          <w:szCs w:val="24"/>
        </w:rPr>
      </w:pPr>
      <w:r>
        <w:rPr>
          <w:rFonts w:ascii="宋体" w:eastAsia="宋体" w:hAnsi="宋体" w:hint="eastAsia"/>
          <w:sz w:val="24"/>
          <w:szCs w:val="24"/>
        </w:rPr>
        <w:t>在标准制定过程中，通过电话或现场咨询向中国热带农业科学院热带作物品种资源研究所果树研究室</w:t>
      </w:r>
      <w:r>
        <w:rPr>
          <w:rFonts w:ascii="宋体" w:eastAsia="宋体" w:hAnsi="宋体" w:cs="宋体" w:hint="eastAsia"/>
          <w:bCs/>
          <w:kern w:val="0"/>
          <w:sz w:val="24"/>
          <w:szCs w:val="24"/>
        </w:rPr>
        <w:t>等相关单位</w:t>
      </w:r>
      <w:r>
        <w:rPr>
          <w:rFonts w:ascii="宋体" w:eastAsia="宋体" w:hAnsi="宋体" w:hint="eastAsia"/>
          <w:sz w:val="24"/>
          <w:szCs w:val="24"/>
        </w:rPr>
        <w:t>了解腰果种苗繁育、种植及相关情况。通过邮件、电话等多种途径向其它相关部门专家进行咨询。</w:t>
      </w:r>
    </w:p>
    <w:p w:rsidR="000640BA" w:rsidRDefault="00167F57">
      <w:pPr>
        <w:spacing w:before="50" w:line="360" w:lineRule="auto"/>
        <w:ind w:firstLine="200"/>
        <w:rPr>
          <w:rFonts w:ascii="宋体" w:eastAsia="宋体" w:hAnsi="宋体"/>
          <w:b/>
          <w:sz w:val="24"/>
          <w:szCs w:val="24"/>
        </w:rPr>
      </w:pPr>
      <w:r>
        <w:rPr>
          <w:rFonts w:ascii="宋体" w:eastAsia="宋体" w:hAnsi="宋体" w:hint="eastAsia"/>
          <w:b/>
          <w:sz w:val="24"/>
          <w:szCs w:val="24"/>
        </w:rPr>
        <w:t>1.4到生产单位进行调查</w:t>
      </w:r>
    </w:p>
    <w:p w:rsidR="000640BA" w:rsidRDefault="00167F57">
      <w:pPr>
        <w:spacing w:before="50" w:line="360" w:lineRule="auto"/>
        <w:ind w:firstLineChars="200" w:firstLine="480"/>
        <w:rPr>
          <w:rFonts w:ascii="宋体" w:eastAsia="宋体" w:hAnsi="宋体"/>
          <w:sz w:val="24"/>
          <w:szCs w:val="24"/>
        </w:rPr>
      </w:pPr>
      <w:r>
        <w:rPr>
          <w:rFonts w:ascii="宋体" w:eastAsia="宋体" w:hAnsi="宋体" w:hint="eastAsia"/>
          <w:sz w:val="24"/>
          <w:szCs w:val="24"/>
        </w:rPr>
        <w:t>2018年3至2019年3月，在查阅资料的基础上，</w:t>
      </w:r>
      <w:proofErr w:type="gramStart"/>
      <w:r>
        <w:rPr>
          <w:rFonts w:ascii="宋体" w:eastAsia="宋体" w:hAnsi="宋体" w:hint="eastAsia"/>
          <w:sz w:val="24"/>
          <w:szCs w:val="24"/>
        </w:rPr>
        <w:t>制标小组</w:t>
      </w:r>
      <w:proofErr w:type="gramEnd"/>
      <w:r>
        <w:rPr>
          <w:rFonts w:ascii="宋体" w:eastAsia="宋体" w:hAnsi="宋体" w:hint="eastAsia"/>
          <w:sz w:val="24"/>
          <w:szCs w:val="24"/>
        </w:rPr>
        <w:t>成员到海南省乐东县</w:t>
      </w:r>
      <w:proofErr w:type="gramStart"/>
      <w:r>
        <w:rPr>
          <w:rFonts w:ascii="宋体" w:eastAsia="宋体" w:hAnsi="宋体" w:hint="eastAsia"/>
          <w:sz w:val="24"/>
          <w:szCs w:val="24"/>
        </w:rPr>
        <w:t>利国镇</w:t>
      </w:r>
      <w:proofErr w:type="gramEnd"/>
      <w:r>
        <w:rPr>
          <w:rFonts w:ascii="宋体" w:eastAsia="宋体" w:hAnsi="宋体" w:hint="eastAsia"/>
          <w:sz w:val="24"/>
          <w:szCs w:val="24"/>
        </w:rPr>
        <w:t>海南省腰果研究中心、乐东农业部腰果种质圃、中国热带农业科学院热带作物品种资源研究所东方腰果基地、中国热带农业科学院热带作物品种资源研究所昌江腰果耐寒基地，农业部新品种测试（儋州）分中心等进行实地调查和种苗检测，收集标准相关数据。</w:t>
      </w:r>
    </w:p>
    <w:p w:rsidR="000640BA" w:rsidRDefault="00167F57">
      <w:pPr>
        <w:spacing w:before="50" w:line="360" w:lineRule="auto"/>
        <w:ind w:firstLineChars="200" w:firstLine="480"/>
        <w:rPr>
          <w:rFonts w:ascii="宋体" w:eastAsia="宋体" w:hAnsi="宋体"/>
          <w:color w:val="FF0000"/>
          <w:sz w:val="24"/>
          <w:szCs w:val="24"/>
        </w:rPr>
      </w:pPr>
      <w:r>
        <w:rPr>
          <w:rFonts w:ascii="宋体" w:eastAsia="宋体" w:hAnsi="宋体"/>
          <w:noProof/>
          <w:color w:val="FF0000"/>
          <w:sz w:val="24"/>
          <w:szCs w:val="24"/>
        </w:rPr>
        <w:lastRenderedPageBreak/>
        <w:drawing>
          <wp:inline distT="0" distB="0" distL="0" distR="0" wp14:anchorId="4CEE74BE" wp14:editId="7301876B">
            <wp:extent cx="2552700" cy="1695450"/>
            <wp:effectExtent l="0" t="0" r="0" b="0"/>
            <wp:docPr id="670031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31705"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52700" cy="1695450"/>
                    </a:xfrm>
                    <a:prstGeom prst="rect">
                      <a:avLst/>
                    </a:prstGeom>
                    <a:noFill/>
                    <a:ln>
                      <a:noFill/>
                    </a:ln>
                  </pic:spPr>
                </pic:pic>
              </a:graphicData>
            </a:graphic>
          </wp:inline>
        </w:drawing>
      </w:r>
      <w:r>
        <w:rPr>
          <w:rFonts w:ascii="宋体" w:eastAsia="宋体" w:hAnsi="宋体"/>
          <w:noProof/>
          <w:color w:val="FF0000"/>
          <w:sz w:val="24"/>
          <w:szCs w:val="24"/>
        </w:rPr>
        <w:drawing>
          <wp:inline distT="0" distB="0" distL="0" distR="0" wp14:anchorId="1CB51161" wp14:editId="6968734D">
            <wp:extent cx="2546350" cy="1695450"/>
            <wp:effectExtent l="0" t="0" r="0" b="0"/>
            <wp:docPr id="6042298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29844"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6350" cy="1695450"/>
                    </a:xfrm>
                    <a:prstGeom prst="rect">
                      <a:avLst/>
                    </a:prstGeom>
                    <a:noFill/>
                    <a:ln>
                      <a:noFill/>
                    </a:ln>
                  </pic:spPr>
                </pic:pic>
              </a:graphicData>
            </a:graphic>
          </wp:inline>
        </w:drawing>
      </w:r>
    </w:p>
    <w:p w:rsidR="000640BA" w:rsidRDefault="00167F57">
      <w:pPr>
        <w:spacing w:before="120" w:after="0" w:line="240" w:lineRule="auto"/>
        <w:jc w:val="center"/>
        <w:rPr>
          <w:rFonts w:ascii="宋体" w:eastAsia="宋体" w:hAnsi="宋体" w:cs="宋体"/>
          <w:b/>
          <w:kern w:val="0"/>
          <w:sz w:val="20"/>
          <w:szCs w:val="24"/>
        </w:rPr>
      </w:pPr>
      <w:r>
        <w:rPr>
          <w:rFonts w:ascii="宋体" w:eastAsia="宋体" w:hAnsi="宋体" w:cs="宋体" w:hint="eastAsia"/>
          <w:b/>
          <w:kern w:val="0"/>
          <w:sz w:val="20"/>
          <w:szCs w:val="24"/>
        </w:rPr>
        <w:t>图1 种苗繁育基地调研和检测</w:t>
      </w:r>
    </w:p>
    <w:p w:rsidR="000640BA" w:rsidRDefault="00167F57">
      <w:pPr>
        <w:spacing w:before="50" w:line="360" w:lineRule="auto"/>
        <w:ind w:firstLineChars="200" w:firstLine="482"/>
        <w:rPr>
          <w:rFonts w:ascii="宋体" w:eastAsia="宋体" w:hAnsi="宋体"/>
          <w:b/>
          <w:sz w:val="24"/>
          <w:szCs w:val="24"/>
        </w:rPr>
      </w:pPr>
      <w:r>
        <w:rPr>
          <w:rFonts w:ascii="宋体" w:eastAsia="宋体" w:hAnsi="宋体" w:hint="eastAsia"/>
          <w:b/>
          <w:sz w:val="24"/>
          <w:szCs w:val="24"/>
        </w:rPr>
        <w:t>1.5布置育苗试验</w:t>
      </w:r>
    </w:p>
    <w:p w:rsidR="000640BA" w:rsidRDefault="00167F57">
      <w:pPr>
        <w:spacing w:before="50" w:line="360" w:lineRule="auto"/>
        <w:ind w:firstLineChars="200" w:firstLine="480"/>
        <w:rPr>
          <w:rFonts w:ascii="宋体" w:eastAsia="宋体" w:hAnsi="宋体"/>
          <w:sz w:val="24"/>
          <w:szCs w:val="24"/>
        </w:rPr>
      </w:pPr>
      <w:r>
        <w:rPr>
          <w:rFonts w:ascii="宋体" w:eastAsia="宋体" w:hAnsi="宋体" w:hint="eastAsia"/>
          <w:sz w:val="24"/>
          <w:szCs w:val="24"/>
        </w:rPr>
        <w:t>为了验证调查的数据，2019年在中国热带农业科学院热带作物品种资源研究所东方腰果基地布置育苗试验，掌握了育苗的技术，收据大量的数据。在以上工作的基础上，经过综合考虑和统计分析，完成了《腰果种苗繁育技术规程》标准征求意见稿及编制说明。</w:t>
      </w:r>
    </w:p>
    <w:p w:rsidR="000640BA" w:rsidRDefault="00167F57">
      <w:pPr>
        <w:spacing w:beforeLines="50" w:before="120" w:after="0" w:line="360" w:lineRule="auto"/>
        <w:ind w:firstLineChars="200" w:firstLine="482"/>
        <w:rPr>
          <w:rFonts w:ascii="黑体" w:eastAsia="黑体" w:hAnsi="黑体"/>
          <w:b/>
          <w:bCs/>
          <w:sz w:val="24"/>
          <w:szCs w:val="24"/>
        </w:rPr>
      </w:pPr>
      <w:r>
        <w:rPr>
          <w:rFonts w:ascii="黑体" w:eastAsia="黑体" w:hAnsi="黑体" w:hint="eastAsia"/>
          <w:b/>
          <w:bCs/>
          <w:sz w:val="24"/>
          <w:szCs w:val="24"/>
        </w:rPr>
        <w:t>（三）制定标准的原则和依据，与现行法律法规、标准的关系</w:t>
      </w:r>
    </w:p>
    <w:p w:rsidR="000640BA" w:rsidRDefault="00167F57">
      <w:pPr>
        <w:spacing w:beforeLines="50" w:before="120" w:after="0" w:line="360" w:lineRule="auto"/>
        <w:ind w:firstLineChars="200" w:firstLine="482"/>
        <w:rPr>
          <w:rFonts w:ascii="宋体" w:eastAsia="宋体" w:hAnsi="宋体"/>
          <w:b/>
          <w:sz w:val="24"/>
          <w:szCs w:val="24"/>
        </w:rPr>
      </w:pPr>
      <w:r>
        <w:rPr>
          <w:rFonts w:ascii="宋体" w:eastAsia="宋体" w:hAnsi="宋体" w:hint="eastAsia"/>
          <w:b/>
          <w:sz w:val="24"/>
          <w:szCs w:val="24"/>
        </w:rPr>
        <w:t>1. 标准制定的原则和依据</w:t>
      </w:r>
    </w:p>
    <w:p w:rsidR="000640BA" w:rsidRDefault="00167F57">
      <w:pPr>
        <w:spacing w:line="360" w:lineRule="auto"/>
        <w:ind w:firstLine="555"/>
        <w:rPr>
          <w:rFonts w:ascii="宋体" w:eastAsia="宋体" w:hAnsi="宋体"/>
          <w:sz w:val="24"/>
          <w:szCs w:val="24"/>
        </w:rPr>
      </w:pPr>
      <w:r>
        <w:rPr>
          <w:rFonts w:ascii="宋体" w:eastAsia="宋体" w:hAnsi="宋体" w:hint="eastAsia"/>
          <w:sz w:val="24"/>
          <w:szCs w:val="24"/>
        </w:rPr>
        <w:t>在标准编制过程中，遵循了“</w:t>
      </w:r>
      <w:r>
        <w:rPr>
          <w:rFonts w:ascii="宋体" w:eastAsia="宋体" w:hAnsi="宋体"/>
          <w:sz w:val="24"/>
          <w:szCs w:val="24"/>
        </w:rPr>
        <w:t>一致性、协调性、易用性</w:t>
      </w:r>
      <w:r>
        <w:rPr>
          <w:rFonts w:ascii="宋体" w:eastAsia="宋体" w:hAnsi="宋体" w:hint="eastAsia"/>
          <w:sz w:val="24"/>
          <w:szCs w:val="24"/>
        </w:rPr>
        <w:t>”的原则，注重了标准的“适用性、可操作性、针对性和通用性”，以保证腰果种苗质量为目标。依据国家有关法律、法规和国家标准管理办法，严格按《标准化工作导则第1部分：标准化文件的结构和起草规则》（GB/T 1.1）、《标准化工作导则第2部分：标准中规范性技术要素内容的确定方法》（GB/T 1.2）、《标准化管理规范地方标准制定工作程序》（DB46/T 74-2007）规定进行编写。</w:t>
      </w:r>
    </w:p>
    <w:p w:rsidR="000640BA" w:rsidRDefault="00167F57">
      <w:pPr>
        <w:spacing w:line="360" w:lineRule="auto"/>
        <w:ind w:firstLine="555"/>
        <w:rPr>
          <w:rFonts w:ascii="宋体" w:eastAsia="宋体" w:hAnsi="宋体"/>
          <w:sz w:val="24"/>
          <w:szCs w:val="24"/>
        </w:rPr>
      </w:pPr>
      <w:r>
        <w:rPr>
          <w:rFonts w:ascii="宋体" w:eastAsia="宋体" w:hAnsi="宋体" w:hint="eastAsia"/>
          <w:sz w:val="24"/>
          <w:szCs w:val="24"/>
        </w:rPr>
        <w:t>在标准编制过程中，参照了标准《杨桃嫁接苗》（NY/T 452-2001）、《番荔枝嫁接苗》（NY/T 1399-2007）、《芒果嫁接苗》NY/T 590-2012、《西番莲种苗繁育技术规程》（</w:t>
      </w:r>
      <w:r>
        <w:rPr>
          <w:rFonts w:ascii="微软雅黑" w:eastAsia="微软雅黑" w:hAnsi="Arial" w:cs="微软雅黑"/>
          <w:color w:val="000000"/>
          <w:kern w:val="0"/>
          <w:sz w:val="20"/>
          <w:szCs w:val="20"/>
          <w:lang w:val="zh-CN"/>
        </w:rPr>
        <w:t>DB46/T 603</w:t>
      </w:r>
      <w:r>
        <w:rPr>
          <w:rFonts w:ascii="微软雅黑" w:eastAsia="微软雅黑" w:hAnsi="Arial" w:cs="微软雅黑" w:hint="eastAsia"/>
          <w:color w:val="000000"/>
          <w:kern w:val="0"/>
          <w:sz w:val="20"/>
          <w:szCs w:val="20"/>
          <w:lang w:val="zh-CN"/>
        </w:rPr>
        <w:t>-</w:t>
      </w:r>
      <w:r>
        <w:rPr>
          <w:rFonts w:ascii="微软雅黑" w:eastAsia="微软雅黑" w:hAnsi="Arial" w:cs="微软雅黑"/>
          <w:color w:val="000000"/>
          <w:kern w:val="0"/>
          <w:sz w:val="20"/>
          <w:szCs w:val="20"/>
          <w:lang w:val="zh-CN"/>
        </w:rPr>
        <w:t>2023</w:t>
      </w:r>
      <w:r>
        <w:rPr>
          <w:rFonts w:ascii="宋体" w:eastAsia="宋体" w:hAnsi="宋体" w:hint="eastAsia"/>
          <w:sz w:val="24"/>
          <w:szCs w:val="24"/>
        </w:rPr>
        <w:t>）、《腰果嫁接苗》（</w:t>
      </w:r>
      <w:r>
        <w:rPr>
          <w:rFonts w:ascii="宋体" w:eastAsia="宋体" w:hAnsi="宋体"/>
          <w:sz w:val="24"/>
          <w:szCs w:val="24"/>
        </w:rPr>
        <w:t>DB46/T431</w:t>
      </w:r>
      <w:r>
        <w:rPr>
          <w:rFonts w:ascii="宋体" w:eastAsia="宋体" w:hAnsi="宋体" w:hint="eastAsia"/>
          <w:sz w:val="24"/>
          <w:szCs w:val="24"/>
        </w:rPr>
        <w:t>-</w:t>
      </w:r>
      <w:r>
        <w:rPr>
          <w:rFonts w:ascii="宋体" w:eastAsia="宋体" w:hAnsi="宋体"/>
          <w:sz w:val="24"/>
          <w:szCs w:val="24"/>
        </w:rPr>
        <w:t>2017</w:t>
      </w:r>
      <w:r>
        <w:rPr>
          <w:rFonts w:ascii="宋体" w:eastAsia="宋体" w:hAnsi="宋体" w:hint="eastAsia"/>
          <w:sz w:val="24"/>
          <w:szCs w:val="24"/>
        </w:rPr>
        <w:t>）等。在结合查阅资料及检测数据的基础之上，编制本标准。</w:t>
      </w:r>
    </w:p>
    <w:p w:rsidR="000640BA" w:rsidRDefault="00167F57">
      <w:pPr>
        <w:spacing w:beforeLines="50" w:before="120" w:after="0" w:line="360" w:lineRule="auto"/>
        <w:ind w:firstLineChars="200" w:firstLine="482"/>
        <w:rPr>
          <w:rFonts w:ascii="宋体" w:eastAsia="宋体" w:hAnsi="宋体"/>
          <w:b/>
          <w:sz w:val="24"/>
          <w:szCs w:val="24"/>
        </w:rPr>
      </w:pPr>
      <w:r>
        <w:rPr>
          <w:rFonts w:ascii="宋体" w:eastAsia="宋体" w:hAnsi="宋体" w:hint="eastAsia"/>
          <w:b/>
          <w:sz w:val="24"/>
          <w:szCs w:val="24"/>
        </w:rPr>
        <w:t>2.针对本标准的原则</w:t>
      </w:r>
    </w:p>
    <w:p w:rsidR="000640BA" w:rsidRDefault="00167F57">
      <w:pPr>
        <w:spacing w:line="360" w:lineRule="auto"/>
        <w:ind w:firstLine="555"/>
        <w:rPr>
          <w:rFonts w:ascii="宋体" w:eastAsia="宋体" w:hAnsi="宋体"/>
          <w:sz w:val="24"/>
          <w:szCs w:val="24"/>
        </w:rPr>
      </w:pPr>
      <w:r>
        <w:rPr>
          <w:rFonts w:ascii="宋体" w:eastAsia="宋体" w:hAnsi="宋体" w:hint="eastAsia"/>
          <w:sz w:val="24"/>
          <w:szCs w:val="24"/>
        </w:rPr>
        <w:t>本标准的制定符合国家和地方产业政策要求。我省高度重视特色农业的质量和发展。本标准的规范性技术要素为种苗繁育、病虫害防治等，因此，编制原则应从以下方面考虑：</w:t>
      </w:r>
      <w:r>
        <w:rPr>
          <w:rFonts w:ascii="宋体" w:eastAsia="宋体" w:hAnsi="宋体" w:hint="eastAsia"/>
          <w:sz w:val="24"/>
          <w:szCs w:val="24"/>
        </w:rPr>
        <w:lastRenderedPageBreak/>
        <w:t>①为了确保种苗质量，主要考虑影响种苗质量的指标的相关内容，如苗圃建设要求、品种选择、嫁接方式等，以提高腰果种苗繁育质量；②繁育方法考虑以快速、易操作、成本</w:t>
      </w:r>
      <w:proofErr w:type="gramStart"/>
      <w:r>
        <w:rPr>
          <w:rFonts w:ascii="宋体" w:eastAsia="宋体" w:hAnsi="宋体" w:hint="eastAsia"/>
          <w:sz w:val="24"/>
          <w:szCs w:val="24"/>
        </w:rPr>
        <w:t>低等为</w:t>
      </w:r>
      <w:proofErr w:type="gramEnd"/>
      <w:r>
        <w:rPr>
          <w:rFonts w:ascii="宋体" w:eastAsia="宋体" w:hAnsi="宋体" w:hint="eastAsia"/>
          <w:sz w:val="24"/>
          <w:szCs w:val="24"/>
        </w:rPr>
        <w:t>原则。</w:t>
      </w:r>
    </w:p>
    <w:p w:rsidR="000640BA" w:rsidRDefault="00167F57">
      <w:pPr>
        <w:spacing w:beforeLines="50" w:before="120" w:after="0" w:line="360" w:lineRule="auto"/>
        <w:ind w:firstLineChars="200" w:firstLine="480"/>
        <w:rPr>
          <w:rFonts w:ascii="黑体" w:eastAsia="黑体" w:hAnsi="黑体"/>
          <w:bCs/>
          <w:sz w:val="24"/>
          <w:szCs w:val="24"/>
        </w:rPr>
      </w:pPr>
      <w:r>
        <w:rPr>
          <w:rFonts w:ascii="黑体" w:eastAsia="黑体" w:hAnsi="黑体" w:hint="eastAsia"/>
          <w:bCs/>
          <w:sz w:val="24"/>
          <w:szCs w:val="24"/>
        </w:rPr>
        <w:t>（四）主要条款的说明，主要技术指标、参数、试验验证的论述</w:t>
      </w:r>
    </w:p>
    <w:p w:rsidR="000640BA" w:rsidRDefault="00167F57">
      <w:pPr>
        <w:spacing w:beforeLines="50" w:before="120" w:after="0" w:line="360" w:lineRule="auto"/>
        <w:ind w:firstLineChars="200" w:firstLine="482"/>
        <w:rPr>
          <w:rFonts w:ascii="宋体" w:eastAsia="宋体" w:hAnsi="宋体"/>
          <w:b/>
          <w:sz w:val="24"/>
          <w:szCs w:val="24"/>
        </w:rPr>
      </w:pPr>
      <w:r>
        <w:rPr>
          <w:rFonts w:ascii="宋体" w:eastAsia="宋体" w:hAnsi="宋体" w:hint="eastAsia"/>
          <w:b/>
          <w:sz w:val="24"/>
          <w:szCs w:val="24"/>
        </w:rPr>
        <w:t>1.主要条款</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本文件的章节由范围、规范性引用文件、术语和定义、采穗圃建设与管理、苗圃地选择、苗圃地建设与管理、品种选择、嫁接苗培育、病虫害防治、种苗出圃、种苗档案管理成。其中“品种选择” “嫁接苗培育” “病虫害防治”和“种苗出圃”是本文件的主要技术内容。</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本文件规定了腰果（</w:t>
      </w:r>
      <w:proofErr w:type="spellStart"/>
      <w:r>
        <w:rPr>
          <w:rFonts w:ascii="宋体" w:eastAsia="宋体" w:hAnsi="宋体" w:hint="eastAsia"/>
          <w:i/>
          <w:sz w:val="24"/>
          <w:szCs w:val="24"/>
        </w:rPr>
        <w:t>Anacardium</w:t>
      </w:r>
      <w:proofErr w:type="spellEnd"/>
      <w:r>
        <w:rPr>
          <w:rFonts w:ascii="宋体" w:eastAsia="宋体" w:hAnsi="宋体" w:hint="eastAsia"/>
          <w:i/>
          <w:sz w:val="24"/>
          <w:szCs w:val="24"/>
        </w:rPr>
        <w:t xml:space="preserve"> </w:t>
      </w:r>
      <w:proofErr w:type="spellStart"/>
      <w:r>
        <w:rPr>
          <w:rFonts w:ascii="宋体" w:eastAsia="宋体" w:hAnsi="宋体" w:hint="eastAsia"/>
          <w:i/>
          <w:sz w:val="24"/>
          <w:szCs w:val="24"/>
        </w:rPr>
        <w:t>occidentale</w:t>
      </w:r>
      <w:proofErr w:type="spellEnd"/>
      <w:r>
        <w:rPr>
          <w:rFonts w:ascii="宋体" w:eastAsia="宋体" w:hAnsi="宋体" w:hint="eastAsia"/>
          <w:sz w:val="24"/>
          <w:szCs w:val="24"/>
        </w:rPr>
        <w:t xml:space="preserve"> L.）种苗繁育的术语和定义、</w:t>
      </w:r>
      <w:proofErr w:type="gramStart"/>
      <w:r>
        <w:rPr>
          <w:rFonts w:ascii="宋体" w:eastAsia="宋体" w:hAnsi="宋体" w:hint="eastAsia"/>
          <w:sz w:val="24"/>
          <w:szCs w:val="24"/>
        </w:rPr>
        <w:t>釆穗园建设</w:t>
      </w:r>
      <w:proofErr w:type="gramEnd"/>
      <w:r>
        <w:rPr>
          <w:rFonts w:ascii="宋体" w:eastAsia="宋体" w:hAnsi="宋体" w:hint="eastAsia"/>
          <w:sz w:val="24"/>
          <w:szCs w:val="24"/>
        </w:rPr>
        <w:t>与管理、苗圃地选择、苗圃地建设与管理、品种选择、嫁接苗培育、病虫害防治、种苗出圃等技术要求。</w:t>
      </w:r>
    </w:p>
    <w:p w:rsidR="000640BA" w:rsidRDefault="00167F57">
      <w:pPr>
        <w:spacing w:beforeLines="50" w:before="120" w:after="0" w:line="360" w:lineRule="auto"/>
        <w:ind w:firstLineChars="200" w:firstLine="482"/>
        <w:rPr>
          <w:rFonts w:ascii="宋体" w:eastAsia="宋体" w:hAnsi="宋体"/>
          <w:b/>
          <w:sz w:val="24"/>
          <w:szCs w:val="24"/>
        </w:rPr>
      </w:pPr>
      <w:r>
        <w:rPr>
          <w:rFonts w:ascii="宋体" w:eastAsia="宋体" w:hAnsi="宋体" w:hint="eastAsia"/>
          <w:b/>
          <w:sz w:val="24"/>
          <w:szCs w:val="24"/>
        </w:rPr>
        <w:t>2.主要技术指标、参数</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本文件的技术是</w:t>
      </w:r>
      <w:proofErr w:type="gramStart"/>
      <w:r>
        <w:rPr>
          <w:rFonts w:ascii="宋体" w:eastAsia="宋体" w:hAnsi="宋体" w:hint="eastAsia"/>
          <w:sz w:val="24"/>
          <w:szCs w:val="24"/>
        </w:rPr>
        <w:t>釆穗园建设</w:t>
      </w:r>
      <w:proofErr w:type="gramEnd"/>
      <w:r>
        <w:rPr>
          <w:rFonts w:ascii="宋体" w:eastAsia="宋体" w:hAnsi="宋体" w:hint="eastAsia"/>
          <w:sz w:val="24"/>
          <w:szCs w:val="24"/>
        </w:rPr>
        <w:t>与管理、苗圃地选择、苗圃地建设与管理、品种选择、嫁接苗培育、病虫害防治、种苗出圃等。需要确定的技术参数有嫁接苗砧木高度、砧木嫁接口茎粗、出圃的质量包括苗高、新梢长度和新梢茎粗等，根据调研和实地考察，对以上内容进行了确认。</w:t>
      </w:r>
    </w:p>
    <w:p w:rsidR="000640BA" w:rsidRDefault="00167F57">
      <w:pPr>
        <w:spacing w:beforeLines="50" w:before="120" w:after="0" w:line="360" w:lineRule="auto"/>
        <w:ind w:firstLineChars="200" w:firstLine="482"/>
        <w:rPr>
          <w:rFonts w:ascii="宋体" w:eastAsia="宋体" w:hAnsi="宋体"/>
          <w:b/>
          <w:sz w:val="24"/>
          <w:szCs w:val="24"/>
        </w:rPr>
      </w:pPr>
      <w:r>
        <w:rPr>
          <w:rFonts w:ascii="宋体" w:eastAsia="宋体" w:hAnsi="宋体" w:hint="eastAsia"/>
          <w:b/>
          <w:sz w:val="24"/>
          <w:szCs w:val="24"/>
        </w:rPr>
        <w:t>2.1 采穗圃</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2.1.1采穗圃建设</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腰果是多年生热带果树，喜阳光、在25～35℃为最佳生长温度；并且该树种怕涝，喜沙土和排水较好的土壤，因此，选择土壤肥沃、排水良好、光照充足、无严重病虫害的地块作为采穗圃的建设地点。</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2.1.2采穗圃规划与布局</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根据调研，采穗圃分为一级采穗圃、二级采穗圃，一级为母本园，二级由一级</w:t>
      </w:r>
      <w:proofErr w:type="gramStart"/>
      <w:r>
        <w:rPr>
          <w:rFonts w:ascii="宋体" w:eastAsia="宋体" w:hAnsi="宋体" w:hint="eastAsia"/>
          <w:sz w:val="24"/>
          <w:szCs w:val="24"/>
        </w:rPr>
        <w:t>采穗扩繁</w:t>
      </w:r>
      <w:proofErr w:type="gramEnd"/>
      <w:r>
        <w:rPr>
          <w:rFonts w:ascii="宋体" w:eastAsia="宋体" w:hAnsi="宋体" w:hint="eastAsia"/>
          <w:sz w:val="24"/>
          <w:szCs w:val="24"/>
        </w:rPr>
        <w:t>，采穗圃种植株行距一般为</w:t>
      </w:r>
      <w:r>
        <w:rPr>
          <w:rFonts w:ascii="宋体" w:eastAsia="宋体" w:hAnsi="宋体"/>
          <w:sz w:val="24"/>
          <w:szCs w:val="24"/>
        </w:rPr>
        <w:t>4 m×4 m</w:t>
      </w:r>
      <w:r>
        <w:rPr>
          <w:rFonts w:ascii="宋体" w:eastAsia="宋体" w:hAnsi="宋体" w:hint="eastAsia"/>
          <w:sz w:val="24"/>
          <w:szCs w:val="24"/>
        </w:rPr>
        <w:t>，可根据品种树形而定。生产种苗的接穗来自二</w:t>
      </w:r>
      <w:r>
        <w:rPr>
          <w:rFonts w:ascii="宋体" w:eastAsia="宋体" w:hAnsi="宋体" w:hint="eastAsia"/>
          <w:sz w:val="24"/>
          <w:szCs w:val="24"/>
        </w:rPr>
        <w:lastRenderedPageBreak/>
        <w:t>级采穗圃。一级采穗圃单株隔离或整园隔离，因腰果树形大，种植面积</w:t>
      </w:r>
      <w:proofErr w:type="gramStart"/>
      <w:r>
        <w:rPr>
          <w:rFonts w:ascii="宋体" w:eastAsia="宋体" w:hAnsi="宋体" w:hint="eastAsia"/>
          <w:sz w:val="24"/>
          <w:szCs w:val="24"/>
        </w:rPr>
        <w:t>较需求</w:t>
      </w:r>
      <w:proofErr w:type="gramEnd"/>
      <w:r>
        <w:rPr>
          <w:rFonts w:ascii="宋体" w:eastAsia="宋体" w:hAnsi="宋体" w:hint="eastAsia"/>
          <w:sz w:val="24"/>
          <w:szCs w:val="24"/>
        </w:rPr>
        <w:t>大，一般根据需要采用单株隔离，需要时可在顶部及四周用60目或80目的防虫网覆盖。严格按照种质圃管理方式，入口设有缓冲消毒隔离区。</w:t>
      </w:r>
    </w:p>
    <w:p w:rsidR="000640BA" w:rsidRDefault="00167F57">
      <w:pPr>
        <w:spacing w:beforeLines="50" w:before="120" w:after="0" w:line="360" w:lineRule="auto"/>
        <w:ind w:firstLineChars="200" w:firstLine="480"/>
        <w:jc w:val="center"/>
        <w:rPr>
          <w:rFonts w:ascii="宋体" w:eastAsia="宋体" w:hAnsi="宋体"/>
          <w:sz w:val="24"/>
          <w:szCs w:val="24"/>
        </w:rPr>
      </w:pPr>
      <w:r>
        <w:rPr>
          <w:rFonts w:ascii="宋体" w:eastAsia="宋体" w:hAnsi="宋体" w:hint="eastAsia"/>
          <w:noProof/>
          <w:color w:val="FF0000"/>
          <w:sz w:val="24"/>
          <w:szCs w:val="24"/>
        </w:rPr>
        <w:drawing>
          <wp:inline distT="0" distB="0" distL="114300" distR="114300" wp14:anchorId="671C5299" wp14:editId="44999A90">
            <wp:extent cx="2341880" cy="1485900"/>
            <wp:effectExtent l="19050" t="19050" r="20320" b="19050"/>
            <wp:docPr id="34" name="图片 34" descr="截干 抽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截干 抽芽"/>
                    <pic:cNvPicPr>
                      <a:picLocks noChangeAspect="1"/>
                    </pic:cNvPicPr>
                  </pic:nvPicPr>
                  <pic:blipFill>
                    <a:blip r:embed="rId10"/>
                    <a:stretch>
                      <a:fillRect/>
                    </a:stretch>
                  </pic:blipFill>
                  <pic:spPr>
                    <a:xfrm>
                      <a:off x="0" y="0"/>
                      <a:ext cx="2345640" cy="1488010"/>
                    </a:xfrm>
                    <a:prstGeom prst="rect">
                      <a:avLst/>
                    </a:prstGeom>
                    <a:ln>
                      <a:solidFill>
                        <a:schemeClr val="accent3"/>
                      </a:solidFill>
                    </a:ln>
                  </pic:spPr>
                </pic:pic>
              </a:graphicData>
            </a:graphic>
          </wp:inline>
        </w:drawing>
      </w:r>
      <w:r>
        <w:rPr>
          <w:rFonts w:ascii="宋体" w:eastAsia="宋体" w:hAnsi="宋体"/>
          <w:noProof/>
          <w:color w:val="FF0000"/>
          <w:sz w:val="24"/>
          <w:szCs w:val="24"/>
        </w:rPr>
        <w:drawing>
          <wp:inline distT="0" distB="0" distL="114300" distR="114300" wp14:anchorId="53CB5E21" wp14:editId="3BE6ED55">
            <wp:extent cx="2244090" cy="1485265"/>
            <wp:effectExtent l="19050" t="19050" r="22860" b="19685"/>
            <wp:docPr id="35" name="图片 35" descr="截干抽芽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截干抽芽后"/>
                    <pic:cNvPicPr>
                      <a:picLocks noChangeAspect="1"/>
                    </pic:cNvPicPr>
                  </pic:nvPicPr>
                  <pic:blipFill>
                    <a:blip r:embed="rId11"/>
                    <a:stretch>
                      <a:fillRect/>
                    </a:stretch>
                  </pic:blipFill>
                  <pic:spPr>
                    <a:xfrm>
                      <a:off x="0" y="0"/>
                      <a:ext cx="2244090" cy="1485265"/>
                    </a:xfrm>
                    <a:prstGeom prst="rect">
                      <a:avLst/>
                    </a:prstGeom>
                    <a:ln>
                      <a:solidFill>
                        <a:schemeClr val="accent3"/>
                      </a:solidFill>
                    </a:ln>
                  </pic:spPr>
                </pic:pic>
              </a:graphicData>
            </a:graphic>
          </wp:inline>
        </w:drawing>
      </w:r>
    </w:p>
    <w:p w:rsidR="000640BA" w:rsidRPr="00B56CC1" w:rsidRDefault="00167F57" w:rsidP="00B56CC1">
      <w:pPr>
        <w:spacing w:before="120" w:after="0" w:line="240" w:lineRule="auto"/>
        <w:jc w:val="center"/>
        <w:rPr>
          <w:rFonts w:ascii="宋体" w:eastAsia="宋体" w:hAnsi="宋体" w:cs="宋体"/>
          <w:b/>
          <w:kern w:val="0"/>
          <w:sz w:val="20"/>
          <w:szCs w:val="24"/>
        </w:rPr>
      </w:pPr>
      <w:bookmarkStart w:id="0" w:name="_GoBack"/>
      <w:r w:rsidRPr="00B56CC1">
        <w:rPr>
          <w:rFonts w:ascii="宋体" w:eastAsia="宋体" w:hAnsi="宋体" w:cs="宋体" w:hint="eastAsia"/>
          <w:b/>
          <w:kern w:val="0"/>
          <w:sz w:val="20"/>
          <w:szCs w:val="24"/>
        </w:rPr>
        <w:t>图2 腰果种苗接穗采穗圃</w:t>
      </w:r>
    </w:p>
    <w:bookmarkEnd w:id="0"/>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2.1.3采穗圃建设与管理</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根据需要建立灌溉系统、排水系统、道路系统、防护设施等，在植株管理过程中最好及时施肥、除草、做好病虫害防治。根据植株生长情况，成林后的腰果采穗圃使用农家肥和复合肥，施肥时土壤穴施为主；早期苗圃每年除草3～4次，成林后春季除草1次即可，冬季以清理树枝和杂草为主。</w:t>
      </w:r>
    </w:p>
    <w:p w:rsidR="000640BA" w:rsidRDefault="00167F57">
      <w:pPr>
        <w:spacing w:beforeLines="50" w:before="120" w:after="0" w:line="360" w:lineRule="auto"/>
        <w:ind w:firstLineChars="200" w:firstLine="482"/>
        <w:rPr>
          <w:rFonts w:ascii="宋体" w:eastAsia="宋体" w:hAnsi="宋体"/>
          <w:b/>
          <w:sz w:val="24"/>
          <w:szCs w:val="24"/>
        </w:rPr>
      </w:pPr>
      <w:r>
        <w:rPr>
          <w:rFonts w:ascii="宋体" w:eastAsia="宋体" w:hAnsi="宋体" w:hint="eastAsia"/>
          <w:b/>
          <w:sz w:val="24"/>
          <w:szCs w:val="24"/>
        </w:rPr>
        <w:t>2.2 苗圃建设</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2.2.1苗圃地选择</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根据腰果苗的生长习性，建</w:t>
      </w:r>
      <w:proofErr w:type="gramStart"/>
      <w:r>
        <w:rPr>
          <w:rFonts w:ascii="宋体" w:eastAsia="宋体" w:hAnsi="宋体" w:hint="eastAsia"/>
          <w:sz w:val="24"/>
          <w:szCs w:val="24"/>
        </w:rPr>
        <w:t>圃</w:t>
      </w:r>
      <w:proofErr w:type="gramEnd"/>
      <w:r>
        <w:rPr>
          <w:rFonts w:ascii="宋体" w:eastAsia="宋体" w:hAnsi="宋体" w:hint="eastAsia"/>
          <w:sz w:val="24"/>
          <w:szCs w:val="24"/>
        </w:rPr>
        <w:t>环境温度宜选择在年平均温度25 ℃以上，最冷月平均温度20 ℃以上，绝对最低温度15 ℃以上；为了有利于运输、浇水、防涝等，要求选择交通便利、水源充足、土壤肥沃、排灌方便、背风向阳的缓坡地或平地作苗圃地。</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2.2.2 苗圃建设</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苗圃根据育苗的情况，应规划完善的道路系统、排灌系统、苗圃功能区和附属设施等，根据育苗的气候条件，做好夏季降温和冬季保暖，苗圃建有主干道，方便运输和管理；苗圃应设置不同的功能区，如材料的准备区、育苗区，准备区主要用于处理种子，准备基质等；</w:t>
      </w:r>
      <w:proofErr w:type="gramStart"/>
      <w:r>
        <w:rPr>
          <w:rFonts w:ascii="宋体" w:eastAsia="宋体" w:hAnsi="宋体" w:hint="eastAsia"/>
          <w:sz w:val="24"/>
          <w:szCs w:val="24"/>
        </w:rPr>
        <w:t>育苗区</w:t>
      </w:r>
      <w:proofErr w:type="gramEnd"/>
      <w:r>
        <w:rPr>
          <w:rFonts w:ascii="宋体" w:eastAsia="宋体" w:hAnsi="宋体" w:hint="eastAsia"/>
          <w:sz w:val="24"/>
          <w:szCs w:val="24"/>
        </w:rPr>
        <w:t>主要为种植催芽，装袋育苗，</w:t>
      </w:r>
      <w:proofErr w:type="gramStart"/>
      <w:r>
        <w:rPr>
          <w:rFonts w:ascii="宋体" w:eastAsia="宋体" w:hAnsi="宋体" w:hint="eastAsia"/>
          <w:sz w:val="24"/>
          <w:szCs w:val="24"/>
        </w:rPr>
        <w:t>种苗练苗等</w:t>
      </w:r>
      <w:proofErr w:type="gramEnd"/>
      <w:r>
        <w:rPr>
          <w:rFonts w:ascii="宋体" w:eastAsia="宋体" w:hAnsi="宋体" w:hint="eastAsia"/>
          <w:sz w:val="24"/>
          <w:szCs w:val="24"/>
        </w:rPr>
        <w:t>。区内划分苗床与手推车步道,苗床用钢材和砖石等材料搭建，高30 cm～60 cm，宽80 cm～100 cm,</w:t>
      </w:r>
      <w:proofErr w:type="gramStart"/>
      <w:r>
        <w:rPr>
          <w:rFonts w:ascii="宋体" w:eastAsia="宋体" w:hAnsi="宋体" w:hint="eastAsia"/>
          <w:sz w:val="24"/>
          <w:szCs w:val="24"/>
        </w:rPr>
        <w:t>长依地形</w:t>
      </w:r>
      <w:proofErr w:type="gramEnd"/>
      <w:r>
        <w:rPr>
          <w:rFonts w:ascii="宋体" w:eastAsia="宋体" w:hAnsi="宋体" w:hint="eastAsia"/>
          <w:sz w:val="24"/>
          <w:szCs w:val="24"/>
        </w:rPr>
        <w:t>而定；手推车</w:t>
      </w:r>
      <w:r>
        <w:rPr>
          <w:rFonts w:ascii="宋体" w:eastAsia="宋体" w:hAnsi="宋体" w:hint="eastAsia"/>
          <w:sz w:val="24"/>
          <w:szCs w:val="24"/>
        </w:rPr>
        <w:lastRenderedPageBreak/>
        <w:t>步道宽80 cm～120 cm；建设育苗大棚，</w:t>
      </w:r>
      <w:proofErr w:type="gramStart"/>
      <w:r>
        <w:rPr>
          <w:rFonts w:ascii="宋体" w:eastAsia="宋体" w:hAnsi="宋体" w:hint="eastAsia"/>
          <w:sz w:val="24"/>
          <w:szCs w:val="24"/>
        </w:rPr>
        <w:t>棚高</w:t>
      </w:r>
      <w:proofErr w:type="gramEnd"/>
      <w:r>
        <w:rPr>
          <w:rFonts w:ascii="宋体" w:eastAsia="宋体" w:hAnsi="宋体" w:hint="eastAsia"/>
          <w:sz w:val="24"/>
          <w:szCs w:val="24"/>
        </w:rPr>
        <w:t>2.0 m～4.0 m,棚顶与四周覆盖薄膜和透光度为50 %～60 %的遮阳网。</w:t>
      </w:r>
    </w:p>
    <w:p w:rsidR="000640BA" w:rsidRDefault="00167F57">
      <w:pPr>
        <w:spacing w:beforeLines="50" w:before="120" w:after="0" w:line="360" w:lineRule="auto"/>
        <w:ind w:firstLineChars="200" w:firstLine="480"/>
        <w:rPr>
          <w:rFonts w:ascii="宋体" w:eastAsia="宋体" w:hAnsi="宋体"/>
          <w:color w:val="FF0000"/>
          <w:sz w:val="24"/>
          <w:szCs w:val="24"/>
        </w:rPr>
      </w:pPr>
      <w:r>
        <w:rPr>
          <w:rFonts w:ascii="宋体" w:eastAsia="宋体" w:hAnsi="宋体"/>
          <w:noProof/>
          <w:color w:val="FF0000"/>
          <w:sz w:val="24"/>
          <w:szCs w:val="24"/>
        </w:rPr>
        <w:drawing>
          <wp:inline distT="0" distB="0" distL="0" distR="0" wp14:anchorId="252BAB73" wp14:editId="175D1EE4">
            <wp:extent cx="2698750" cy="1797050"/>
            <wp:effectExtent l="0" t="0" r="0" b="0"/>
            <wp:docPr id="3140073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07394"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698750" cy="1797050"/>
                    </a:xfrm>
                    <a:prstGeom prst="rect">
                      <a:avLst/>
                    </a:prstGeom>
                    <a:noFill/>
                    <a:ln>
                      <a:noFill/>
                    </a:ln>
                  </pic:spPr>
                </pic:pic>
              </a:graphicData>
            </a:graphic>
          </wp:inline>
        </w:drawing>
      </w:r>
      <w:r>
        <w:rPr>
          <w:rFonts w:ascii="宋体" w:eastAsia="宋体" w:hAnsi="宋体" w:hint="eastAsia"/>
          <w:noProof/>
          <w:color w:val="FF0000"/>
          <w:sz w:val="24"/>
          <w:szCs w:val="24"/>
        </w:rPr>
        <w:drawing>
          <wp:inline distT="0" distB="0" distL="0" distR="0" wp14:anchorId="6A76C893" wp14:editId="69F98EA2">
            <wp:extent cx="2697480" cy="1798320"/>
            <wp:effectExtent l="0" t="0" r="7620" b="0"/>
            <wp:docPr id="4" name="图片 4" descr="C:\Users\Administrator\AppData\Local\Microsoft\Windows\INetCache\Content.Word\DSC_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Microsoft\Windows\INetCache\Content.Word\DSC_91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97480" cy="1798320"/>
                    </a:xfrm>
                    <a:prstGeom prst="rect">
                      <a:avLst/>
                    </a:prstGeom>
                    <a:noFill/>
                    <a:ln>
                      <a:noFill/>
                    </a:ln>
                  </pic:spPr>
                </pic:pic>
              </a:graphicData>
            </a:graphic>
          </wp:inline>
        </w:drawing>
      </w:r>
    </w:p>
    <w:p w:rsidR="000640BA" w:rsidRDefault="00167F57">
      <w:pPr>
        <w:spacing w:before="120" w:after="0" w:line="240" w:lineRule="auto"/>
        <w:jc w:val="center"/>
        <w:rPr>
          <w:rFonts w:ascii="宋体" w:eastAsia="宋体" w:hAnsi="宋体" w:cs="宋体"/>
          <w:b/>
          <w:kern w:val="0"/>
          <w:sz w:val="20"/>
          <w:szCs w:val="24"/>
        </w:rPr>
      </w:pPr>
      <w:r>
        <w:rPr>
          <w:rFonts w:ascii="宋体" w:eastAsia="宋体" w:hAnsi="宋体" w:cs="宋体" w:hint="eastAsia"/>
          <w:b/>
          <w:kern w:val="0"/>
          <w:sz w:val="20"/>
          <w:szCs w:val="24"/>
        </w:rPr>
        <w:t>图3 乐东腰果种苗繁育基地</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2.2.3苗圃管理</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与育苗基地负责人进行交流和调查，总结苗圃管理主要</w:t>
      </w:r>
      <w:r w:rsidR="00395665">
        <w:rPr>
          <w:rFonts w:ascii="宋体" w:eastAsia="宋体" w:hAnsi="宋体" w:hint="eastAsia"/>
          <w:sz w:val="24"/>
          <w:szCs w:val="24"/>
        </w:rPr>
        <w:t>做好消毒管理和杂物清扫，</w:t>
      </w:r>
      <w:r>
        <w:rPr>
          <w:rFonts w:ascii="宋体" w:eastAsia="宋体" w:hAnsi="宋体" w:hint="eastAsia"/>
          <w:sz w:val="24"/>
          <w:szCs w:val="24"/>
        </w:rPr>
        <w:t>以防病害传播，因此，要做到以下</w:t>
      </w:r>
      <w:r w:rsidR="00395665">
        <w:rPr>
          <w:rFonts w:ascii="宋体" w:eastAsia="宋体" w:hAnsi="宋体" w:hint="eastAsia"/>
          <w:sz w:val="24"/>
          <w:szCs w:val="24"/>
        </w:rPr>
        <w:t>2点</w:t>
      </w:r>
      <w:r>
        <w:rPr>
          <w:rFonts w:ascii="宋体" w:eastAsia="宋体" w:hAnsi="宋体" w:hint="eastAsia"/>
          <w:sz w:val="24"/>
          <w:szCs w:val="24"/>
        </w:rPr>
        <w:t>：</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（1）</w:t>
      </w:r>
      <w:r w:rsidR="00395665">
        <w:rPr>
          <w:rFonts w:ascii="宋体" w:eastAsia="宋体" w:hAnsi="宋体" w:hint="eastAsia"/>
          <w:sz w:val="24"/>
          <w:szCs w:val="24"/>
        </w:rPr>
        <w:t>定期对</w:t>
      </w:r>
      <w:r>
        <w:rPr>
          <w:rFonts w:ascii="宋体" w:eastAsia="宋体" w:hAnsi="宋体" w:hint="eastAsia"/>
          <w:sz w:val="24"/>
          <w:szCs w:val="24"/>
        </w:rPr>
        <w:t>入圃货物、生产工具、育苗设施、走道等采用0.02 %次氯酸钠喷洒消毒，每</w:t>
      </w:r>
      <w:r w:rsidR="00395665">
        <w:rPr>
          <w:rFonts w:ascii="宋体" w:eastAsia="宋体" w:hAnsi="宋体" w:hint="eastAsia"/>
          <w:sz w:val="24"/>
          <w:szCs w:val="24"/>
        </w:rPr>
        <w:t xml:space="preserve">30 </w:t>
      </w:r>
      <w:r>
        <w:rPr>
          <w:rFonts w:ascii="宋体" w:eastAsia="宋体" w:hAnsi="宋体" w:hint="eastAsia"/>
          <w:sz w:val="24"/>
          <w:szCs w:val="24"/>
        </w:rPr>
        <w:t>d进行一次。</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w:t>
      </w:r>
      <w:r w:rsidR="00395665">
        <w:rPr>
          <w:rFonts w:ascii="宋体" w:eastAsia="宋体" w:hAnsi="宋体" w:hint="eastAsia"/>
          <w:sz w:val="24"/>
          <w:szCs w:val="24"/>
        </w:rPr>
        <w:t>2</w:t>
      </w:r>
      <w:r>
        <w:rPr>
          <w:rFonts w:ascii="宋体" w:eastAsia="宋体" w:hAnsi="宋体" w:hint="eastAsia"/>
          <w:sz w:val="24"/>
          <w:szCs w:val="24"/>
        </w:rPr>
        <w:t>）</w:t>
      </w:r>
      <w:r w:rsidR="00395665">
        <w:rPr>
          <w:rFonts w:ascii="宋体" w:eastAsia="宋体" w:hAnsi="宋体" w:hint="eastAsia"/>
          <w:sz w:val="24"/>
          <w:szCs w:val="24"/>
        </w:rPr>
        <w:t>定期清理苗圃周围杂草、杂物，以防滋生病菌，较少病虫害的产生。</w:t>
      </w:r>
    </w:p>
    <w:p w:rsidR="000640BA" w:rsidRDefault="00167F57">
      <w:pPr>
        <w:spacing w:beforeLines="50" w:before="120" w:after="0" w:line="360" w:lineRule="auto"/>
        <w:ind w:firstLineChars="200" w:firstLine="482"/>
        <w:rPr>
          <w:rFonts w:ascii="宋体" w:eastAsia="宋体" w:hAnsi="宋体"/>
          <w:b/>
          <w:sz w:val="24"/>
          <w:szCs w:val="24"/>
        </w:rPr>
      </w:pPr>
      <w:r>
        <w:rPr>
          <w:rFonts w:ascii="宋体" w:eastAsia="宋体" w:hAnsi="宋体" w:hint="eastAsia"/>
          <w:b/>
          <w:sz w:val="24"/>
          <w:szCs w:val="24"/>
        </w:rPr>
        <w:t>2.3 品种确定</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根据基地调查和交流，目前我省选育出5个高产腰果无性系（图5），分别为FL30、HL2-13、HL2-21、GA63、CP63-36，具备大果梨、大坚果、抗逆性、丰产等特性，可作为接穗品种，其植物学性状和经济性状描述如表2所示。</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noProof/>
          <w:sz w:val="24"/>
          <w:szCs w:val="24"/>
        </w:rPr>
        <w:drawing>
          <wp:inline distT="0" distB="0" distL="114300" distR="114300" wp14:anchorId="74D9FA18" wp14:editId="695C6107">
            <wp:extent cx="1764665" cy="1604645"/>
            <wp:effectExtent l="0" t="0" r="635" b="8255"/>
            <wp:docPr id="20" name="图片 20" descr="FL30果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L30果实"/>
                    <pic:cNvPicPr>
                      <a:picLocks noChangeAspect="1"/>
                    </pic:cNvPicPr>
                  </pic:nvPicPr>
                  <pic:blipFill>
                    <a:blip r:embed="rId14"/>
                    <a:stretch>
                      <a:fillRect/>
                    </a:stretch>
                  </pic:blipFill>
                  <pic:spPr>
                    <a:xfrm>
                      <a:off x="0" y="0"/>
                      <a:ext cx="1764665" cy="1604645"/>
                    </a:xfrm>
                    <a:prstGeom prst="rect">
                      <a:avLst/>
                    </a:prstGeom>
                  </pic:spPr>
                </pic:pic>
              </a:graphicData>
            </a:graphic>
          </wp:inline>
        </w:drawing>
      </w:r>
      <w:r>
        <w:rPr>
          <w:rFonts w:ascii="宋体" w:eastAsia="宋体" w:hAnsi="宋体"/>
          <w:noProof/>
          <w:sz w:val="24"/>
          <w:szCs w:val="24"/>
        </w:rPr>
        <w:drawing>
          <wp:inline distT="0" distB="0" distL="114300" distR="114300" wp14:anchorId="1803428E" wp14:editId="501D0279">
            <wp:extent cx="1624330" cy="1624330"/>
            <wp:effectExtent l="0" t="0" r="1270" b="1270"/>
            <wp:docPr id="21" name="图片 21" descr="FL30叶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L30叶片"/>
                    <pic:cNvPicPr>
                      <a:picLocks noChangeAspect="1"/>
                    </pic:cNvPicPr>
                  </pic:nvPicPr>
                  <pic:blipFill>
                    <a:blip r:embed="rId15"/>
                    <a:stretch>
                      <a:fillRect/>
                    </a:stretch>
                  </pic:blipFill>
                  <pic:spPr>
                    <a:xfrm>
                      <a:off x="0" y="0"/>
                      <a:ext cx="1624330" cy="1624330"/>
                    </a:xfrm>
                    <a:prstGeom prst="rect">
                      <a:avLst/>
                    </a:prstGeom>
                  </pic:spPr>
                </pic:pic>
              </a:graphicData>
            </a:graphic>
          </wp:inline>
        </w:drawing>
      </w:r>
      <w:r>
        <w:rPr>
          <w:rFonts w:ascii="宋体" w:eastAsia="宋体" w:hAnsi="宋体"/>
          <w:noProof/>
          <w:sz w:val="24"/>
          <w:szCs w:val="24"/>
        </w:rPr>
        <w:drawing>
          <wp:inline distT="0" distB="0" distL="114300" distR="114300" wp14:anchorId="03F4C157" wp14:editId="5FA9D0DD">
            <wp:extent cx="1971675" cy="1609090"/>
            <wp:effectExtent l="0" t="0" r="9525" b="3810"/>
            <wp:docPr id="22" name="图片 22" descr="FL30花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L30花穗"/>
                    <pic:cNvPicPr>
                      <a:picLocks noChangeAspect="1"/>
                    </pic:cNvPicPr>
                  </pic:nvPicPr>
                  <pic:blipFill>
                    <a:blip r:embed="rId16"/>
                    <a:stretch>
                      <a:fillRect/>
                    </a:stretch>
                  </pic:blipFill>
                  <pic:spPr>
                    <a:xfrm>
                      <a:off x="0" y="0"/>
                      <a:ext cx="1971675" cy="1609090"/>
                    </a:xfrm>
                    <a:prstGeom prst="rect">
                      <a:avLst/>
                    </a:prstGeom>
                  </pic:spPr>
                </pic:pic>
              </a:graphicData>
            </a:graphic>
          </wp:inline>
        </w:drawing>
      </w:r>
    </w:p>
    <w:p w:rsidR="000640BA" w:rsidRDefault="00167F57">
      <w:pPr>
        <w:spacing w:before="120" w:after="0" w:line="240" w:lineRule="auto"/>
        <w:jc w:val="center"/>
        <w:rPr>
          <w:rFonts w:ascii="宋体" w:eastAsia="宋体" w:hAnsi="宋体" w:cs="宋体"/>
          <w:b/>
          <w:kern w:val="0"/>
          <w:sz w:val="18"/>
          <w:szCs w:val="18"/>
        </w:rPr>
      </w:pPr>
      <w:r>
        <w:rPr>
          <w:rFonts w:ascii="宋体" w:eastAsia="宋体" w:hAnsi="宋体" w:cs="宋体" w:hint="eastAsia"/>
          <w:b/>
          <w:kern w:val="0"/>
          <w:sz w:val="18"/>
          <w:szCs w:val="18"/>
        </w:rPr>
        <w:lastRenderedPageBreak/>
        <w:t>A:腰果</w:t>
      </w:r>
      <w:r>
        <w:rPr>
          <w:rFonts w:ascii="宋体" w:eastAsia="宋体" w:hAnsi="宋体" w:cs="宋体"/>
          <w:b/>
          <w:kern w:val="0"/>
          <w:sz w:val="18"/>
          <w:szCs w:val="18"/>
        </w:rPr>
        <w:t>‘</w:t>
      </w:r>
      <w:r>
        <w:rPr>
          <w:rFonts w:ascii="宋体" w:eastAsia="宋体" w:hAnsi="宋体" w:cs="宋体" w:hint="eastAsia"/>
          <w:b/>
          <w:kern w:val="0"/>
          <w:sz w:val="18"/>
          <w:szCs w:val="18"/>
        </w:rPr>
        <w:t>FL30</w:t>
      </w:r>
      <w:r>
        <w:rPr>
          <w:rFonts w:ascii="宋体" w:eastAsia="宋体" w:hAnsi="宋体" w:cs="宋体"/>
          <w:b/>
          <w:kern w:val="0"/>
          <w:sz w:val="18"/>
          <w:szCs w:val="18"/>
        </w:rPr>
        <w:t>’</w:t>
      </w:r>
      <w:r>
        <w:rPr>
          <w:rFonts w:ascii="宋体" w:eastAsia="宋体" w:hAnsi="宋体" w:cs="宋体" w:hint="eastAsia"/>
          <w:b/>
          <w:kern w:val="0"/>
          <w:sz w:val="18"/>
          <w:szCs w:val="18"/>
        </w:rPr>
        <w:t>果梨、叶片花序形态</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noProof/>
          <w:sz w:val="24"/>
          <w:szCs w:val="24"/>
        </w:rPr>
        <w:drawing>
          <wp:inline distT="0" distB="0" distL="114300" distR="114300" wp14:anchorId="10BE9936" wp14:editId="7B0867CF">
            <wp:extent cx="1755775" cy="1601470"/>
            <wp:effectExtent l="0" t="0" r="9525" b="11430"/>
            <wp:docPr id="23" name="图片 23" descr="HL2-13果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L2-13果实"/>
                    <pic:cNvPicPr>
                      <a:picLocks noChangeAspect="1"/>
                    </pic:cNvPicPr>
                  </pic:nvPicPr>
                  <pic:blipFill>
                    <a:blip r:embed="rId17"/>
                    <a:stretch>
                      <a:fillRect/>
                    </a:stretch>
                  </pic:blipFill>
                  <pic:spPr>
                    <a:xfrm>
                      <a:off x="0" y="0"/>
                      <a:ext cx="1755775" cy="1601470"/>
                    </a:xfrm>
                    <a:prstGeom prst="rect">
                      <a:avLst/>
                    </a:prstGeom>
                  </pic:spPr>
                </pic:pic>
              </a:graphicData>
            </a:graphic>
          </wp:inline>
        </w:drawing>
      </w:r>
      <w:r>
        <w:rPr>
          <w:rFonts w:ascii="宋体" w:eastAsia="宋体" w:hAnsi="宋体"/>
          <w:noProof/>
          <w:sz w:val="24"/>
          <w:szCs w:val="24"/>
        </w:rPr>
        <w:drawing>
          <wp:inline distT="0" distB="0" distL="114300" distR="114300" wp14:anchorId="0C835D13" wp14:editId="26965288">
            <wp:extent cx="1662430" cy="1612900"/>
            <wp:effectExtent l="0" t="0" r="1270" b="0"/>
            <wp:docPr id="24" name="图片 24" descr="HL2-13叶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L2-13叶片"/>
                    <pic:cNvPicPr>
                      <a:picLocks noChangeAspect="1"/>
                    </pic:cNvPicPr>
                  </pic:nvPicPr>
                  <pic:blipFill>
                    <a:blip r:embed="rId18"/>
                    <a:stretch>
                      <a:fillRect/>
                    </a:stretch>
                  </pic:blipFill>
                  <pic:spPr>
                    <a:xfrm>
                      <a:off x="0" y="0"/>
                      <a:ext cx="1662430" cy="1612900"/>
                    </a:xfrm>
                    <a:prstGeom prst="rect">
                      <a:avLst/>
                    </a:prstGeom>
                  </pic:spPr>
                </pic:pic>
              </a:graphicData>
            </a:graphic>
          </wp:inline>
        </w:drawing>
      </w:r>
      <w:r>
        <w:rPr>
          <w:rFonts w:ascii="宋体" w:eastAsia="宋体" w:hAnsi="宋体" w:hint="eastAsia"/>
          <w:noProof/>
          <w:sz w:val="24"/>
          <w:szCs w:val="24"/>
        </w:rPr>
        <w:drawing>
          <wp:inline distT="0" distB="0" distL="114300" distR="114300" wp14:anchorId="6FE900D2" wp14:editId="58D17B30">
            <wp:extent cx="1877060" cy="1617345"/>
            <wp:effectExtent l="0" t="0" r="2540" b="8255"/>
            <wp:docPr id="25" name="图片 25" descr="HL2-13花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L2-13花穗"/>
                    <pic:cNvPicPr>
                      <a:picLocks noChangeAspect="1"/>
                    </pic:cNvPicPr>
                  </pic:nvPicPr>
                  <pic:blipFill>
                    <a:blip r:embed="rId19"/>
                    <a:stretch>
                      <a:fillRect/>
                    </a:stretch>
                  </pic:blipFill>
                  <pic:spPr>
                    <a:xfrm>
                      <a:off x="0" y="0"/>
                      <a:ext cx="1877060" cy="1617345"/>
                    </a:xfrm>
                    <a:prstGeom prst="rect">
                      <a:avLst/>
                    </a:prstGeom>
                  </pic:spPr>
                </pic:pic>
              </a:graphicData>
            </a:graphic>
          </wp:inline>
        </w:drawing>
      </w:r>
    </w:p>
    <w:p w:rsidR="000640BA" w:rsidRDefault="00167F57">
      <w:pPr>
        <w:spacing w:before="120" w:after="0" w:line="240" w:lineRule="auto"/>
        <w:jc w:val="center"/>
        <w:rPr>
          <w:rFonts w:ascii="宋体" w:eastAsia="宋体" w:hAnsi="宋体" w:cs="宋体"/>
          <w:b/>
          <w:kern w:val="0"/>
          <w:sz w:val="18"/>
          <w:szCs w:val="18"/>
        </w:rPr>
      </w:pPr>
      <w:r>
        <w:rPr>
          <w:rFonts w:ascii="宋体" w:eastAsia="宋体" w:hAnsi="宋体" w:cs="宋体" w:hint="eastAsia"/>
          <w:b/>
          <w:kern w:val="0"/>
          <w:sz w:val="18"/>
          <w:szCs w:val="18"/>
        </w:rPr>
        <w:t>B:腰果‘HL2-13’果梨、叶片花序形态</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noProof/>
          <w:sz w:val="24"/>
          <w:szCs w:val="24"/>
        </w:rPr>
        <w:drawing>
          <wp:inline distT="0" distB="0" distL="114300" distR="114300" wp14:anchorId="776FC6DD" wp14:editId="162CF1BE">
            <wp:extent cx="1769110" cy="1673225"/>
            <wp:effectExtent l="0" t="0" r="8890" b="3175"/>
            <wp:docPr id="27" name="图片 27" descr="HL2-21果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L2-21果实"/>
                    <pic:cNvPicPr>
                      <a:picLocks noChangeAspect="1"/>
                    </pic:cNvPicPr>
                  </pic:nvPicPr>
                  <pic:blipFill>
                    <a:blip r:embed="rId20"/>
                    <a:stretch>
                      <a:fillRect/>
                    </a:stretch>
                  </pic:blipFill>
                  <pic:spPr>
                    <a:xfrm>
                      <a:off x="0" y="0"/>
                      <a:ext cx="1769110" cy="1673225"/>
                    </a:xfrm>
                    <a:prstGeom prst="rect">
                      <a:avLst/>
                    </a:prstGeom>
                  </pic:spPr>
                </pic:pic>
              </a:graphicData>
            </a:graphic>
          </wp:inline>
        </w:drawing>
      </w:r>
      <w:r>
        <w:rPr>
          <w:rFonts w:ascii="宋体" w:eastAsia="宋体" w:hAnsi="宋体" w:hint="eastAsia"/>
          <w:noProof/>
          <w:sz w:val="24"/>
          <w:szCs w:val="24"/>
        </w:rPr>
        <w:drawing>
          <wp:inline distT="0" distB="0" distL="114300" distR="114300" wp14:anchorId="5542B740" wp14:editId="7B7CF90C">
            <wp:extent cx="1609090" cy="1668145"/>
            <wp:effectExtent l="0" t="0" r="3810" b="8255"/>
            <wp:docPr id="29" name="图片 29" descr="HL2-21叶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L2-21叶片"/>
                    <pic:cNvPicPr>
                      <a:picLocks noChangeAspect="1"/>
                    </pic:cNvPicPr>
                  </pic:nvPicPr>
                  <pic:blipFill>
                    <a:blip r:embed="rId21"/>
                    <a:stretch>
                      <a:fillRect/>
                    </a:stretch>
                  </pic:blipFill>
                  <pic:spPr>
                    <a:xfrm>
                      <a:off x="0" y="0"/>
                      <a:ext cx="1609090" cy="1668145"/>
                    </a:xfrm>
                    <a:prstGeom prst="rect">
                      <a:avLst/>
                    </a:prstGeom>
                  </pic:spPr>
                </pic:pic>
              </a:graphicData>
            </a:graphic>
          </wp:inline>
        </w:drawing>
      </w:r>
      <w:r>
        <w:rPr>
          <w:rFonts w:ascii="宋体" w:eastAsia="宋体" w:hAnsi="宋体"/>
          <w:noProof/>
          <w:sz w:val="24"/>
          <w:szCs w:val="24"/>
        </w:rPr>
        <w:drawing>
          <wp:inline distT="0" distB="0" distL="114300" distR="114300" wp14:anchorId="046B49A8" wp14:editId="22F57518">
            <wp:extent cx="1845310" cy="1673225"/>
            <wp:effectExtent l="0" t="0" r="8890" b="3175"/>
            <wp:docPr id="31" name="图片 31" descr="HL2-21花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L2-21花穗"/>
                    <pic:cNvPicPr>
                      <a:picLocks noChangeAspect="1"/>
                    </pic:cNvPicPr>
                  </pic:nvPicPr>
                  <pic:blipFill>
                    <a:blip r:embed="rId22"/>
                    <a:stretch>
                      <a:fillRect/>
                    </a:stretch>
                  </pic:blipFill>
                  <pic:spPr>
                    <a:xfrm>
                      <a:off x="0" y="0"/>
                      <a:ext cx="1845310" cy="1673225"/>
                    </a:xfrm>
                    <a:prstGeom prst="rect">
                      <a:avLst/>
                    </a:prstGeom>
                  </pic:spPr>
                </pic:pic>
              </a:graphicData>
            </a:graphic>
          </wp:inline>
        </w:drawing>
      </w:r>
    </w:p>
    <w:p w:rsidR="000640BA" w:rsidRDefault="00167F57">
      <w:pPr>
        <w:spacing w:before="120" w:after="0" w:line="240" w:lineRule="auto"/>
        <w:jc w:val="center"/>
        <w:rPr>
          <w:rFonts w:ascii="宋体" w:eastAsia="宋体" w:hAnsi="宋体" w:cs="宋体"/>
          <w:b/>
          <w:kern w:val="0"/>
          <w:sz w:val="18"/>
          <w:szCs w:val="18"/>
        </w:rPr>
      </w:pPr>
      <w:r>
        <w:rPr>
          <w:rFonts w:ascii="宋体" w:eastAsia="宋体" w:hAnsi="宋体" w:cs="宋体" w:hint="eastAsia"/>
          <w:b/>
          <w:kern w:val="0"/>
          <w:sz w:val="18"/>
          <w:szCs w:val="18"/>
        </w:rPr>
        <w:t>C:腰果‘HL2-21’果梨、叶片花序形态</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noProof/>
          <w:sz w:val="24"/>
          <w:szCs w:val="24"/>
        </w:rPr>
        <w:drawing>
          <wp:inline distT="0" distB="0" distL="114300" distR="114300" wp14:anchorId="3D99E300" wp14:editId="53A64334">
            <wp:extent cx="1882140" cy="1339215"/>
            <wp:effectExtent l="0" t="0" r="10160" b="6985"/>
            <wp:docPr id="13" name="图片 13" descr="GA63果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A63果实"/>
                    <pic:cNvPicPr>
                      <a:picLocks noChangeAspect="1"/>
                    </pic:cNvPicPr>
                  </pic:nvPicPr>
                  <pic:blipFill>
                    <a:blip r:embed="rId23"/>
                    <a:stretch>
                      <a:fillRect/>
                    </a:stretch>
                  </pic:blipFill>
                  <pic:spPr>
                    <a:xfrm>
                      <a:off x="0" y="0"/>
                      <a:ext cx="1882140" cy="1339215"/>
                    </a:xfrm>
                    <a:prstGeom prst="rect">
                      <a:avLst/>
                    </a:prstGeom>
                  </pic:spPr>
                </pic:pic>
              </a:graphicData>
            </a:graphic>
          </wp:inline>
        </w:drawing>
      </w:r>
      <w:r>
        <w:rPr>
          <w:rFonts w:ascii="宋体" w:eastAsia="宋体" w:hAnsi="宋体"/>
          <w:noProof/>
          <w:sz w:val="24"/>
          <w:szCs w:val="24"/>
        </w:rPr>
        <w:drawing>
          <wp:inline distT="0" distB="0" distL="114300" distR="114300" wp14:anchorId="2C6CF151" wp14:editId="6A727894">
            <wp:extent cx="1525905" cy="1360170"/>
            <wp:effectExtent l="0" t="0" r="10795" b="11430"/>
            <wp:docPr id="14" name="图片 14" descr="GA63叶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A63叶片"/>
                    <pic:cNvPicPr>
                      <a:picLocks noChangeAspect="1"/>
                    </pic:cNvPicPr>
                  </pic:nvPicPr>
                  <pic:blipFill>
                    <a:blip r:embed="rId24"/>
                    <a:stretch>
                      <a:fillRect/>
                    </a:stretch>
                  </pic:blipFill>
                  <pic:spPr>
                    <a:xfrm>
                      <a:off x="0" y="0"/>
                      <a:ext cx="1525905" cy="1360170"/>
                    </a:xfrm>
                    <a:prstGeom prst="rect">
                      <a:avLst/>
                    </a:prstGeom>
                  </pic:spPr>
                </pic:pic>
              </a:graphicData>
            </a:graphic>
          </wp:inline>
        </w:drawing>
      </w:r>
      <w:r>
        <w:rPr>
          <w:rFonts w:ascii="宋体" w:eastAsia="宋体" w:hAnsi="宋体"/>
          <w:noProof/>
          <w:sz w:val="24"/>
          <w:szCs w:val="24"/>
        </w:rPr>
        <w:drawing>
          <wp:inline distT="0" distB="0" distL="114300" distR="114300" wp14:anchorId="4488C2E5" wp14:editId="4DA9B211">
            <wp:extent cx="1941830" cy="1367155"/>
            <wp:effectExtent l="0" t="0" r="1270" b="4445"/>
            <wp:docPr id="15" name="图片 15" descr="GA63花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A63花穗"/>
                    <pic:cNvPicPr>
                      <a:picLocks noChangeAspect="1"/>
                    </pic:cNvPicPr>
                  </pic:nvPicPr>
                  <pic:blipFill>
                    <a:blip r:embed="rId25"/>
                    <a:stretch>
                      <a:fillRect/>
                    </a:stretch>
                  </pic:blipFill>
                  <pic:spPr>
                    <a:xfrm>
                      <a:off x="0" y="0"/>
                      <a:ext cx="1941830" cy="1367155"/>
                    </a:xfrm>
                    <a:prstGeom prst="rect">
                      <a:avLst/>
                    </a:prstGeom>
                  </pic:spPr>
                </pic:pic>
              </a:graphicData>
            </a:graphic>
          </wp:inline>
        </w:drawing>
      </w:r>
    </w:p>
    <w:p w:rsidR="000640BA" w:rsidRDefault="00167F57">
      <w:pPr>
        <w:spacing w:before="120" w:after="0" w:line="240" w:lineRule="auto"/>
        <w:jc w:val="center"/>
        <w:rPr>
          <w:rFonts w:ascii="宋体" w:eastAsia="宋体" w:hAnsi="宋体" w:cs="宋体"/>
          <w:b/>
          <w:kern w:val="0"/>
          <w:sz w:val="18"/>
          <w:szCs w:val="18"/>
        </w:rPr>
      </w:pPr>
      <w:r>
        <w:rPr>
          <w:rFonts w:ascii="宋体" w:eastAsia="宋体" w:hAnsi="宋体" w:cs="宋体" w:hint="eastAsia"/>
          <w:b/>
          <w:kern w:val="0"/>
          <w:sz w:val="18"/>
          <w:szCs w:val="18"/>
        </w:rPr>
        <w:t>D:腰果‘GA63’果梨、叶片花序形态</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noProof/>
          <w:sz w:val="24"/>
          <w:szCs w:val="24"/>
        </w:rPr>
        <w:drawing>
          <wp:inline distT="0" distB="0" distL="114300" distR="114300" wp14:anchorId="02211F14" wp14:editId="4BB20121">
            <wp:extent cx="1830070" cy="1532255"/>
            <wp:effectExtent l="0" t="0" r="11430" b="4445"/>
            <wp:docPr id="16" name="图片 16" descr="腰果CP63-36果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腰果CP63-36果实"/>
                    <pic:cNvPicPr>
                      <a:picLocks noChangeAspect="1"/>
                    </pic:cNvPicPr>
                  </pic:nvPicPr>
                  <pic:blipFill>
                    <a:blip r:embed="rId26"/>
                    <a:stretch>
                      <a:fillRect/>
                    </a:stretch>
                  </pic:blipFill>
                  <pic:spPr>
                    <a:xfrm>
                      <a:off x="0" y="0"/>
                      <a:ext cx="1830070" cy="1532255"/>
                    </a:xfrm>
                    <a:prstGeom prst="rect">
                      <a:avLst/>
                    </a:prstGeom>
                  </pic:spPr>
                </pic:pic>
              </a:graphicData>
            </a:graphic>
          </wp:inline>
        </w:drawing>
      </w:r>
      <w:r>
        <w:rPr>
          <w:rFonts w:ascii="宋体" w:eastAsia="宋体" w:hAnsi="宋体" w:hint="eastAsia"/>
          <w:noProof/>
          <w:sz w:val="24"/>
          <w:szCs w:val="24"/>
        </w:rPr>
        <w:drawing>
          <wp:inline distT="0" distB="0" distL="114300" distR="114300" wp14:anchorId="06E2380B" wp14:editId="2F8CBB70">
            <wp:extent cx="1533525" cy="1569085"/>
            <wp:effectExtent l="0" t="0" r="3175" b="5715"/>
            <wp:docPr id="17" name="图片 17" descr="CP63-36叶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P63-36叶片"/>
                    <pic:cNvPicPr>
                      <a:picLocks noChangeAspect="1"/>
                    </pic:cNvPicPr>
                  </pic:nvPicPr>
                  <pic:blipFill>
                    <a:blip r:embed="rId27"/>
                    <a:stretch>
                      <a:fillRect/>
                    </a:stretch>
                  </pic:blipFill>
                  <pic:spPr>
                    <a:xfrm>
                      <a:off x="0" y="0"/>
                      <a:ext cx="1533525" cy="1569085"/>
                    </a:xfrm>
                    <a:prstGeom prst="rect">
                      <a:avLst/>
                    </a:prstGeom>
                  </pic:spPr>
                </pic:pic>
              </a:graphicData>
            </a:graphic>
          </wp:inline>
        </w:drawing>
      </w:r>
      <w:r>
        <w:rPr>
          <w:rFonts w:ascii="宋体" w:eastAsia="宋体" w:hAnsi="宋体"/>
          <w:noProof/>
          <w:sz w:val="24"/>
          <w:szCs w:val="24"/>
        </w:rPr>
        <w:drawing>
          <wp:inline distT="0" distB="0" distL="114300" distR="114300" wp14:anchorId="44FF8F6E" wp14:editId="1B2E3D57">
            <wp:extent cx="1988185" cy="1560195"/>
            <wp:effectExtent l="0" t="0" r="5715" b="1905"/>
            <wp:docPr id="18" name="图片 18" descr="CP63-36花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P63-36花穗"/>
                    <pic:cNvPicPr>
                      <a:picLocks noChangeAspect="1"/>
                    </pic:cNvPicPr>
                  </pic:nvPicPr>
                  <pic:blipFill>
                    <a:blip r:embed="rId28"/>
                    <a:stretch>
                      <a:fillRect/>
                    </a:stretch>
                  </pic:blipFill>
                  <pic:spPr>
                    <a:xfrm>
                      <a:off x="0" y="0"/>
                      <a:ext cx="1988185" cy="1560195"/>
                    </a:xfrm>
                    <a:prstGeom prst="rect">
                      <a:avLst/>
                    </a:prstGeom>
                  </pic:spPr>
                </pic:pic>
              </a:graphicData>
            </a:graphic>
          </wp:inline>
        </w:drawing>
      </w:r>
    </w:p>
    <w:p w:rsidR="000640BA" w:rsidRDefault="00167F57">
      <w:pPr>
        <w:spacing w:before="120" w:after="0" w:line="240" w:lineRule="auto"/>
        <w:jc w:val="center"/>
        <w:rPr>
          <w:rFonts w:ascii="宋体" w:eastAsia="宋体" w:hAnsi="宋体" w:cs="宋体"/>
          <w:b/>
          <w:kern w:val="0"/>
          <w:sz w:val="18"/>
          <w:szCs w:val="18"/>
        </w:rPr>
      </w:pPr>
      <w:r>
        <w:rPr>
          <w:rFonts w:ascii="宋体" w:eastAsia="宋体" w:hAnsi="宋体" w:cs="宋体" w:hint="eastAsia"/>
          <w:b/>
          <w:kern w:val="0"/>
          <w:sz w:val="18"/>
          <w:szCs w:val="18"/>
        </w:rPr>
        <w:t>E:腰果‘CP63-36’果梨、叶片花序形态</w:t>
      </w:r>
    </w:p>
    <w:p w:rsidR="000640BA" w:rsidRDefault="00167F57">
      <w:pPr>
        <w:spacing w:before="120" w:after="0" w:line="240" w:lineRule="auto"/>
        <w:jc w:val="center"/>
        <w:rPr>
          <w:rFonts w:ascii="宋体" w:eastAsia="宋体" w:hAnsi="宋体" w:cs="宋体"/>
          <w:b/>
          <w:kern w:val="0"/>
          <w:sz w:val="18"/>
          <w:szCs w:val="18"/>
        </w:rPr>
      </w:pPr>
      <w:r>
        <w:rPr>
          <w:rFonts w:ascii="宋体" w:eastAsia="宋体" w:hAnsi="宋体" w:cs="宋体" w:hint="eastAsia"/>
          <w:b/>
          <w:kern w:val="0"/>
          <w:sz w:val="18"/>
          <w:szCs w:val="18"/>
        </w:rPr>
        <w:t>图4 5个腰果主栽品种（系）植物学形态特征</w:t>
      </w:r>
    </w:p>
    <w:p w:rsidR="000640BA" w:rsidRDefault="00167F57">
      <w:pPr>
        <w:spacing w:before="120" w:after="0" w:line="240" w:lineRule="auto"/>
        <w:jc w:val="center"/>
        <w:rPr>
          <w:rFonts w:ascii="宋体" w:eastAsia="宋体" w:hAnsi="宋体" w:cs="宋体"/>
          <w:b/>
          <w:kern w:val="0"/>
          <w:sz w:val="18"/>
          <w:szCs w:val="18"/>
        </w:rPr>
      </w:pPr>
      <w:r>
        <w:rPr>
          <w:rFonts w:ascii="宋体" w:eastAsia="宋体" w:hAnsi="宋体" w:cs="宋体" w:hint="eastAsia"/>
          <w:b/>
          <w:kern w:val="0"/>
          <w:sz w:val="18"/>
          <w:szCs w:val="18"/>
        </w:rPr>
        <w:lastRenderedPageBreak/>
        <w:t>表2 腰果主栽品种（系）主要特征特性</w:t>
      </w:r>
    </w:p>
    <w:tbl>
      <w:tblPr>
        <w:tblStyle w:val="a8"/>
        <w:tblW w:w="8875"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754"/>
        <w:gridCol w:w="1701"/>
        <w:gridCol w:w="1559"/>
        <w:gridCol w:w="1559"/>
        <w:gridCol w:w="1701"/>
        <w:gridCol w:w="1601"/>
      </w:tblGrid>
      <w:tr w:rsidR="000640BA">
        <w:trPr>
          <w:trHeight w:val="444"/>
          <w:tblHeader/>
          <w:jc w:val="center"/>
        </w:trPr>
        <w:tc>
          <w:tcPr>
            <w:tcW w:w="754" w:type="dxa"/>
            <w:vMerge w:val="restart"/>
            <w:tcBorders>
              <w:top w:val="single" w:sz="8" w:space="0" w:color="auto"/>
            </w:tcBorders>
            <w:shd w:val="clear" w:color="auto" w:fill="auto"/>
            <w:vAlign w:val="center"/>
          </w:tcPr>
          <w:p w:rsidR="000640BA" w:rsidRDefault="00167F57">
            <w:pPr>
              <w:autoSpaceDE w:val="0"/>
              <w:autoSpaceDN w:val="0"/>
              <w:spacing w:after="0" w:line="240" w:lineRule="auto"/>
              <w:jc w:val="center"/>
              <w:rPr>
                <w:rFonts w:ascii="宋体" w:hAnsi="Times New Roman"/>
                <w:kern w:val="0"/>
                <w:sz w:val="18"/>
                <w:szCs w:val="20"/>
              </w:rPr>
            </w:pPr>
            <w:r>
              <w:rPr>
                <w:rFonts w:ascii="宋体" w:hAnsi="Times New Roman"/>
                <w:kern w:val="0"/>
                <w:sz w:val="18"/>
                <w:szCs w:val="20"/>
              </w:rPr>
              <w:t>项目</w:t>
            </w:r>
          </w:p>
        </w:tc>
        <w:tc>
          <w:tcPr>
            <w:tcW w:w="8121" w:type="dxa"/>
            <w:gridSpan w:val="5"/>
            <w:tcBorders>
              <w:top w:val="single" w:sz="8" w:space="0" w:color="auto"/>
              <w:bottom w:val="single" w:sz="8" w:space="0" w:color="auto"/>
            </w:tcBorders>
            <w:shd w:val="clear" w:color="auto" w:fill="auto"/>
            <w:vAlign w:val="center"/>
          </w:tcPr>
          <w:p w:rsidR="000640BA" w:rsidRDefault="00167F57">
            <w:pPr>
              <w:autoSpaceDE w:val="0"/>
              <w:autoSpaceDN w:val="0"/>
              <w:spacing w:after="0" w:line="240" w:lineRule="auto"/>
              <w:jc w:val="center"/>
              <w:rPr>
                <w:rFonts w:ascii="宋体" w:hAnsi="Times New Roman"/>
                <w:kern w:val="0"/>
                <w:sz w:val="18"/>
                <w:szCs w:val="20"/>
              </w:rPr>
            </w:pPr>
            <w:r>
              <w:rPr>
                <w:rFonts w:ascii="宋体" w:hAnsi="Times New Roman"/>
                <w:kern w:val="0"/>
                <w:sz w:val="18"/>
                <w:szCs w:val="20"/>
              </w:rPr>
              <w:t>品种</w:t>
            </w:r>
            <w:r>
              <w:rPr>
                <w:rFonts w:ascii="宋体" w:hAnsi="Times New Roman" w:hint="eastAsia"/>
                <w:kern w:val="0"/>
                <w:sz w:val="18"/>
                <w:szCs w:val="20"/>
              </w:rPr>
              <w:t>（系）</w:t>
            </w:r>
            <w:r>
              <w:rPr>
                <w:rFonts w:ascii="宋体" w:hAnsi="Times New Roman"/>
                <w:kern w:val="0"/>
                <w:sz w:val="18"/>
                <w:szCs w:val="20"/>
              </w:rPr>
              <w:t>名</w:t>
            </w:r>
            <w:r>
              <w:rPr>
                <w:rFonts w:ascii="宋体" w:hAnsi="Times New Roman" w:hint="eastAsia"/>
                <w:kern w:val="0"/>
                <w:sz w:val="18"/>
                <w:szCs w:val="20"/>
              </w:rPr>
              <w:t>称</w:t>
            </w:r>
          </w:p>
        </w:tc>
      </w:tr>
      <w:tr w:rsidR="000640BA">
        <w:trPr>
          <w:trHeight w:val="407"/>
          <w:jc w:val="center"/>
        </w:trPr>
        <w:tc>
          <w:tcPr>
            <w:tcW w:w="754" w:type="dxa"/>
            <w:vMerge/>
            <w:shd w:val="clear" w:color="auto" w:fill="auto"/>
            <w:vAlign w:val="center"/>
          </w:tcPr>
          <w:p w:rsidR="000640BA" w:rsidRDefault="000640BA">
            <w:pPr>
              <w:autoSpaceDE w:val="0"/>
              <w:autoSpaceDN w:val="0"/>
              <w:spacing w:after="0" w:line="240" w:lineRule="auto"/>
              <w:jc w:val="center"/>
              <w:rPr>
                <w:rFonts w:ascii="宋体" w:hAnsi="Times New Roman"/>
                <w:kern w:val="0"/>
                <w:sz w:val="18"/>
                <w:szCs w:val="20"/>
              </w:rPr>
            </w:pPr>
          </w:p>
        </w:tc>
        <w:tc>
          <w:tcPr>
            <w:tcW w:w="1701" w:type="dxa"/>
            <w:tcBorders>
              <w:top w:val="single" w:sz="8" w:space="0" w:color="auto"/>
            </w:tcBorders>
            <w:shd w:val="clear" w:color="auto" w:fill="auto"/>
            <w:vAlign w:val="center"/>
          </w:tcPr>
          <w:p w:rsidR="000640BA" w:rsidRDefault="00167F57">
            <w:pPr>
              <w:autoSpaceDE w:val="0"/>
              <w:autoSpaceDN w:val="0"/>
              <w:spacing w:after="0" w:line="240" w:lineRule="auto"/>
              <w:jc w:val="center"/>
              <w:rPr>
                <w:rFonts w:ascii="宋体" w:hAnsi="Times New Roman"/>
                <w:kern w:val="0"/>
                <w:sz w:val="18"/>
                <w:szCs w:val="20"/>
              </w:rPr>
            </w:pPr>
            <w:r>
              <w:rPr>
                <w:rFonts w:ascii="宋体" w:hAnsi="Times New Roman" w:hint="eastAsia"/>
                <w:kern w:val="0"/>
                <w:sz w:val="18"/>
                <w:szCs w:val="20"/>
              </w:rPr>
              <w:t>FL30</w:t>
            </w:r>
          </w:p>
        </w:tc>
        <w:tc>
          <w:tcPr>
            <w:tcW w:w="1559" w:type="dxa"/>
            <w:tcBorders>
              <w:top w:val="single" w:sz="8" w:space="0" w:color="auto"/>
            </w:tcBorders>
            <w:shd w:val="clear" w:color="auto" w:fill="auto"/>
            <w:vAlign w:val="center"/>
          </w:tcPr>
          <w:p w:rsidR="000640BA" w:rsidRDefault="00167F57">
            <w:pPr>
              <w:autoSpaceDE w:val="0"/>
              <w:autoSpaceDN w:val="0"/>
              <w:spacing w:after="0" w:line="240" w:lineRule="auto"/>
              <w:jc w:val="center"/>
              <w:rPr>
                <w:rFonts w:ascii="宋体" w:hAnsi="Times New Roman"/>
                <w:kern w:val="0"/>
                <w:sz w:val="18"/>
                <w:szCs w:val="20"/>
              </w:rPr>
            </w:pPr>
            <w:r>
              <w:rPr>
                <w:rFonts w:ascii="宋体" w:hAnsi="Times New Roman" w:hint="eastAsia"/>
                <w:kern w:val="0"/>
                <w:sz w:val="18"/>
                <w:szCs w:val="20"/>
              </w:rPr>
              <w:t>HL2-13</w:t>
            </w:r>
          </w:p>
        </w:tc>
        <w:tc>
          <w:tcPr>
            <w:tcW w:w="1559" w:type="dxa"/>
            <w:tcBorders>
              <w:top w:val="single" w:sz="8" w:space="0" w:color="auto"/>
            </w:tcBorders>
            <w:shd w:val="clear" w:color="auto" w:fill="auto"/>
            <w:vAlign w:val="center"/>
          </w:tcPr>
          <w:p w:rsidR="000640BA" w:rsidRDefault="00167F57">
            <w:pPr>
              <w:autoSpaceDE w:val="0"/>
              <w:autoSpaceDN w:val="0"/>
              <w:spacing w:after="0" w:line="240" w:lineRule="auto"/>
              <w:jc w:val="center"/>
              <w:rPr>
                <w:rFonts w:ascii="宋体" w:hAnsi="Times New Roman"/>
                <w:kern w:val="0"/>
                <w:sz w:val="18"/>
                <w:szCs w:val="20"/>
              </w:rPr>
            </w:pPr>
            <w:r>
              <w:rPr>
                <w:rFonts w:ascii="宋体" w:hAnsi="Times New Roman" w:hint="eastAsia"/>
                <w:kern w:val="0"/>
                <w:sz w:val="18"/>
                <w:szCs w:val="20"/>
              </w:rPr>
              <w:t>HL2-21</w:t>
            </w:r>
          </w:p>
        </w:tc>
        <w:tc>
          <w:tcPr>
            <w:tcW w:w="1701" w:type="dxa"/>
            <w:tcBorders>
              <w:top w:val="single" w:sz="8" w:space="0" w:color="auto"/>
            </w:tcBorders>
            <w:shd w:val="clear" w:color="auto" w:fill="auto"/>
            <w:vAlign w:val="center"/>
          </w:tcPr>
          <w:p w:rsidR="000640BA" w:rsidRDefault="00167F57">
            <w:pPr>
              <w:autoSpaceDE w:val="0"/>
              <w:autoSpaceDN w:val="0"/>
              <w:spacing w:after="0" w:line="240" w:lineRule="auto"/>
              <w:jc w:val="center"/>
              <w:rPr>
                <w:rFonts w:ascii="宋体" w:hAnsi="Times New Roman"/>
                <w:kern w:val="0"/>
                <w:sz w:val="18"/>
                <w:szCs w:val="20"/>
              </w:rPr>
            </w:pPr>
            <w:r>
              <w:rPr>
                <w:rFonts w:ascii="宋体" w:hAnsi="Times New Roman" w:hint="eastAsia"/>
                <w:kern w:val="0"/>
                <w:sz w:val="18"/>
                <w:szCs w:val="20"/>
              </w:rPr>
              <w:t>GA63</w:t>
            </w:r>
          </w:p>
        </w:tc>
        <w:tc>
          <w:tcPr>
            <w:tcW w:w="1601" w:type="dxa"/>
            <w:tcBorders>
              <w:top w:val="single" w:sz="8" w:space="0" w:color="auto"/>
            </w:tcBorders>
            <w:vAlign w:val="center"/>
          </w:tcPr>
          <w:p w:rsidR="000640BA" w:rsidRDefault="00167F57">
            <w:pPr>
              <w:autoSpaceDE w:val="0"/>
              <w:autoSpaceDN w:val="0"/>
              <w:spacing w:after="0" w:line="240" w:lineRule="auto"/>
              <w:jc w:val="center"/>
              <w:rPr>
                <w:rFonts w:ascii="宋体" w:hAnsi="Times New Roman"/>
                <w:kern w:val="0"/>
                <w:sz w:val="18"/>
                <w:szCs w:val="20"/>
              </w:rPr>
            </w:pPr>
            <w:r>
              <w:rPr>
                <w:rFonts w:ascii="宋体" w:hAnsi="Times New Roman" w:hint="eastAsia"/>
                <w:kern w:val="0"/>
                <w:sz w:val="18"/>
                <w:szCs w:val="20"/>
              </w:rPr>
              <w:t>CP63-36</w:t>
            </w:r>
          </w:p>
        </w:tc>
      </w:tr>
      <w:tr w:rsidR="000640BA">
        <w:trPr>
          <w:trHeight w:val="933"/>
          <w:jc w:val="center"/>
        </w:trPr>
        <w:tc>
          <w:tcPr>
            <w:tcW w:w="754" w:type="dxa"/>
            <w:shd w:val="clear" w:color="auto" w:fill="auto"/>
            <w:vAlign w:val="center"/>
          </w:tcPr>
          <w:p w:rsidR="000640BA" w:rsidRDefault="00167F57">
            <w:pPr>
              <w:autoSpaceDE w:val="0"/>
              <w:autoSpaceDN w:val="0"/>
              <w:spacing w:after="0" w:line="240" w:lineRule="auto"/>
              <w:jc w:val="center"/>
              <w:rPr>
                <w:rFonts w:ascii="宋体" w:hAnsi="Times New Roman"/>
                <w:kern w:val="0"/>
                <w:sz w:val="18"/>
                <w:szCs w:val="20"/>
              </w:rPr>
            </w:pPr>
            <w:r>
              <w:rPr>
                <w:rFonts w:ascii="宋体" w:hAnsi="Times New Roman"/>
                <w:kern w:val="0"/>
                <w:sz w:val="18"/>
                <w:szCs w:val="20"/>
              </w:rPr>
              <w:t>叶</w:t>
            </w:r>
          </w:p>
        </w:tc>
        <w:tc>
          <w:tcPr>
            <w:tcW w:w="1701"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proofErr w:type="gramStart"/>
            <w:r>
              <w:rPr>
                <w:rFonts w:ascii="宋体" w:hAnsi="Times New Roman"/>
                <w:kern w:val="0"/>
                <w:sz w:val="18"/>
                <w:szCs w:val="20"/>
              </w:rPr>
              <w:t>卵</w:t>
            </w:r>
            <w:proofErr w:type="gramEnd"/>
            <w:r>
              <w:rPr>
                <w:rFonts w:ascii="宋体" w:hAnsi="Times New Roman"/>
                <w:kern w:val="0"/>
                <w:sz w:val="18"/>
                <w:szCs w:val="20"/>
              </w:rPr>
              <w:t>圆形，嫩叶呈古铜色，成熟呈淡绿色和绿色，叶长</w:t>
            </w:r>
            <w:r>
              <w:rPr>
                <w:rFonts w:ascii="宋体" w:hAnsi="Times New Roman" w:hint="eastAsia"/>
                <w:kern w:val="0"/>
                <w:sz w:val="18"/>
                <w:szCs w:val="20"/>
              </w:rPr>
              <w:t>15.2</w:t>
            </w:r>
            <w:r>
              <w:rPr>
                <w:rFonts w:ascii="宋体" w:hAnsi="Times New Roman"/>
                <w:kern w:val="0"/>
                <w:sz w:val="18"/>
                <w:szCs w:val="20"/>
              </w:rPr>
              <w:t> </w:t>
            </w:r>
            <w:r>
              <w:rPr>
                <w:rFonts w:ascii="宋体" w:hAnsi="Times New Roman" w:hint="eastAsia"/>
                <w:kern w:val="0"/>
                <w:sz w:val="18"/>
                <w:szCs w:val="20"/>
              </w:rPr>
              <w:t>cm，宽8.5</w:t>
            </w:r>
            <w:r>
              <w:rPr>
                <w:rFonts w:ascii="宋体" w:hAnsi="Times New Roman"/>
                <w:kern w:val="0"/>
                <w:sz w:val="18"/>
                <w:szCs w:val="20"/>
              </w:rPr>
              <w:t> </w:t>
            </w:r>
            <w:r>
              <w:rPr>
                <w:rFonts w:ascii="宋体" w:hAnsi="Times New Roman" w:hint="eastAsia"/>
                <w:kern w:val="0"/>
                <w:sz w:val="18"/>
                <w:szCs w:val="20"/>
              </w:rPr>
              <w:t>cm。</w:t>
            </w:r>
          </w:p>
        </w:tc>
        <w:tc>
          <w:tcPr>
            <w:tcW w:w="1559"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kern w:val="0"/>
                <w:sz w:val="18"/>
                <w:szCs w:val="20"/>
              </w:rPr>
              <w:t>倒卵形，嫩叶呈古铜色，成熟呈淡绿色和绿色，叶长</w:t>
            </w:r>
            <w:r>
              <w:rPr>
                <w:rFonts w:ascii="宋体" w:hAnsi="Times New Roman" w:hint="eastAsia"/>
                <w:kern w:val="0"/>
                <w:sz w:val="18"/>
                <w:szCs w:val="20"/>
              </w:rPr>
              <w:t>15.9</w:t>
            </w:r>
            <w:r>
              <w:rPr>
                <w:rFonts w:ascii="宋体" w:hAnsi="Times New Roman"/>
                <w:kern w:val="0"/>
                <w:sz w:val="18"/>
                <w:szCs w:val="20"/>
              </w:rPr>
              <w:t> </w:t>
            </w:r>
            <w:r>
              <w:rPr>
                <w:rFonts w:ascii="宋体" w:hAnsi="Times New Roman" w:hint="eastAsia"/>
                <w:kern w:val="0"/>
                <w:sz w:val="18"/>
                <w:szCs w:val="20"/>
              </w:rPr>
              <w:t>cm，宽8.2</w:t>
            </w:r>
            <w:r>
              <w:rPr>
                <w:rFonts w:ascii="宋体" w:hAnsi="Times New Roman"/>
                <w:kern w:val="0"/>
                <w:sz w:val="18"/>
                <w:szCs w:val="20"/>
              </w:rPr>
              <w:t> </w:t>
            </w:r>
            <w:r>
              <w:rPr>
                <w:rFonts w:ascii="宋体" w:hAnsi="Times New Roman" w:hint="eastAsia"/>
                <w:kern w:val="0"/>
                <w:sz w:val="18"/>
                <w:szCs w:val="20"/>
              </w:rPr>
              <w:t>cm。</w:t>
            </w:r>
          </w:p>
        </w:tc>
        <w:tc>
          <w:tcPr>
            <w:tcW w:w="1559"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kern w:val="0"/>
                <w:sz w:val="18"/>
                <w:szCs w:val="20"/>
              </w:rPr>
              <w:t>倒卵形，嫩叶呈古铜色，成熟呈淡绿色和绿色，叶长</w:t>
            </w:r>
            <w:r>
              <w:rPr>
                <w:rFonts w:ascii="宋体" w:hAnsi="Times New Roman" w:hint="eastAsia"/>
                <w:kern w:val="0"/>
                <w:sz w:val="18"/>
                <w:szCs w:val="20"/>
              </w:rPr>
              <w:t>15.0</w:t>
            </w:r>
            <w:r>
              <w:rPr>
                <w:rFonts w:ascii="宋体" w:hAnsi="Times New Roman"/>
                <w:kern w:val="0"/>
                <w:sz w:val="18"/>
                <w:szCs w:val="20"/>
              </w:rPr>
              <w:t> </w:t>
            </w:r>
            <w:r>
              <w:rPr>
                <w:rFonts w:ascii="宋体" w:hAnsi="Times New Roman" w:hint="eastAsia"/>
                <w:kern w:val="0"/>
                <w:sz w:val="18"/>
                <w:szCs w:val="20"/>
              </w:rPr>
              <w:t>cm，宽8.6cm。</w:t>
            </w:r>
          </w:p>
        </w:tc>
        <w:tc>
          <w:tcPr>
            <w:tcW w:w="1701"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kern w:val="0"/>
                <w:sz w:val="18"/>
                <w:szCs w:val="20"/>
              </w:rPr>
              <w:t>倒卵形，嫩叶呈古铜色，成熟呈淡绿色和绿色，叶长</w:t>
            </w:r>
            <w:r>
              <w:rPr>
                <w:rFonts w:ascii="宋体" w:hAnsi="Times New Roman" w:hint="eastAsia"/>
                <w:kern w:val="0"/>
                <w:sz w:val="18"/>
                <w:szCs w:val="20"/>
              </w:rPr>
              <w:t>15.2</w:t>
            </w:r>
            <w:r>
              <w:rPr>
                <w:rFonts w:ascii="宋体" w:hAnsi="Times New Roman"/>
                <w:kern w:val="0"/>
                <w:sz w:val="18"/>
                <w:szCs w:val="20"/>
              </w:rPr>
              <w:t> </w:t>
            </w:r>
            <w:r>
              <w:rPr>
                <w:rFonts w:ascii="宋体" w:hAnsi="Times New Roman" w:hint="eastAsia"/>
                <w:kern w:val="0"/>
                <w:sz w:val="18"/>
                <w:szCs w:val="20"/>
              </w:rPr>
              <w:t>cm，宽9.3</w:t>
            </w:r>
            <w:r>
              <w:rPr>
                <w:rFonts w:ascii="宋体" w:hAnsi="Times New Roman"/>
                <w:kern w:val="0"/>
                <w:sz w:val="18"/>
                <w:szCs w:val="20"/>
              </w:rPr>
              <w:t> </w:t>
            </w:r>
            <w:r>
              <w:rPr>
                <w:rFonts w:ascii="宋体" w:hAnsi="Times New Roman" w:hint="eastAsia"/>
                <w:kern w:val="0"/>
                <w:sz w:val="18"/>
                <w:szCs w:val="20"/>
              </w:rPr>
              <w:t>cm。</w:t>
            </w:r>
          </w:p>
        </w:tc>
        <w:tc>
          <w:tcPr>
            <w:tcW w:w="1601" w:type="dxa"/>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kern w:val="0"/>
                <w:sz w:val="18"/>
                <w:szCs w:val="20"/>
              </w:rPr>
              <w:t>倒卵形，嫩叶呈古铜色，成熟呈淡绿色和绿色，叶长</w:t>
            </w:r>
            <w:r>
              <w:rPr>
                <w:rFonts w:ascii="宋体" w:hAnsi="Times New Roman" w:hint="eastAsia"/>
                <w:kern w:val="0"/>
                <w:sz w:val="18"/>
                <w:szCs w:val="20"/>
              </w:rPr>
              <w:t>14.3</w:t>
            </w:r>
            <w:r>
              <w:rPr>
                <w:rFonts w:ascii="宋体" w:hAnsi="Times New Roman"/>
                <w:kern w:val="0"/>
                <w:sz w:val="18"/>
                <w:szCs w:val="20"/>
              </w:rPr>
              <w:t> </w:t>
            </w:r>
            <w:r>
              <w:rPr>
                <w:rFonts w:ascii="宋体" w:hAnsi="Times New Roman" w:hint="eastAsia"/>
                <w:kern w:val="0"/>
                <w:sz w:val="18"/>
                <w:szCs w:val="20"/>
              </w:rPr>
              <w:t>cm，宽8.7</w:t>
            </w:r>
            <w:r>
              <w:rPr>
                <w:rFonts w:ascii="宋体" w:hAnsi="Times New Roman"/>
                <w:kern w:val="0"/>
                <w:sz w:val="18"/>
                <w:szCs w:val="20"/>
              </w:rPr>
              <w:t> </w:t>
            </w:r>
            <w:r>
              <w:rPr>
                <w:rFonts w:ascii="宋体" w:hAnsi="Times New Roman" w:hint="eastAsia"/>
                <w:kern w:val="0"/>
                <w:sz w:val="18"/>
                <w:szCs w:val="20"/>
              </w:rPr>
              <w:t>cm。</w:t>
            </w:r>
          </w:p>
        </w:tc>
      </w:tr>
      <w:tr w:rsidR="000640BA">
        <w:trPr>
          <w:trHeight w:val="968"/>
          <w:jc w:val="center"/>
        </w:trPr>
        <w:tc>
          <w:tcPr>
            <w:tcW w:w="754" w:type="dxa"/>
            <w:shd w:val="clear" w:color="auto" w:fill="auto"/>
            <w:vAlign w:val="center"/>
          </w:tcPr>
          <w:p w:rsidR="000640BA" w:rsidRDefault="00167F57">
            <w:pPr>
              <w:autoSpaceDE w:val="0"/>
              <w:autoSpaceDN w:val="0"/>
              <w:spacing w:after="0" w:line="240" w:lineRule="auto"/>
              <w:jc w:val="center"/>
              <w:rPr>
                <w:rFonts w:ascii="宋体" w:hAnsi="Times New Roman"/>
                <w:kern w:val="0"/>
                <w:sz w:val="18"/>
                <w:szCs w:val="20"/>
              </w:rPr>
            </w:pPr>
            <w:r>
              <w:rPr>
                <w:rFonts w:ascii="宋体" w:hAnsi="Times New Roman"/>
                <w:kern w:val="0"/>
                <w:sz w:val="18"/>
                <w:szCs w:val="20"/>
              </w:rPr>
              <w:t>花</w:t>
            </w:r>
          </w:p>
        </w:tc>
        <w:tc>
          <w:tcPr>
            <w:tcW w:w="1701"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kern w:val="0"/>
                <w:sz w:val="18"/>
                <w:szCs w:val="20"/>
              </w:rPr>
              <w:t>圆锥花序，花序松散，花瓣</w:t>
            </w:r>
            <w:r>
              <w:rPr>
                <w:rFonts w:ascii="宋体" w:hAnsi="Times New Roman" w:hint="eastAsia"/>
                <w:kern w:val="0"/>
                <w:sz w:val="18"/>
                <w:szCs w:val="20"/>
              </w:rPr>
              <w:t>5～9片，多为5片，雄蕊6～11枚，其中一枚雄蕊伸出花冠，长约7～10</w:t>
            </w:r>
            <w:r>
              <w:rPr>
                <w:rFonts w:ascii="宋体" w:hAnsi="Times New Roman"/>
                <w:kern w:val="0"/>
                <w:sz w:val="18"/>
                <w:szCs w:val="20"/>
              </w:rPr>
              <w:t> </w:t>
            </w:r>
            <w:r>
              <w:rPr>
                <w:rFonts w:ascii="宋体" w:hAnsi="Times New Roman" w:hint="eastAsia"/>
                <w:kern w:val="0"/>
                <w:sz w:val="18"/>
                <w:szCs w:val="20"/>
              </w:rPr>
              <w:t>mm，两性花比例53.8</w:t>
            </w:r>
            <w:r>
              <w:rPr>
                <w:rFonts w:ascii="宋体" w:hAnsi="Times New Roman"/>
                <w:kern w:val="0"/>
                <w:sz w:val="18"/>
                <w:szCs w:val="20"/>
              </w:rPr>
              <w:t> </w:t>
            </w:r>
            <w:r>
              <w:rPr>
                <w:rFonts w:ascii="宋体" w:hAnsi="Times New Roman" w:hint="eastAsia"/>
                <w:kern w:val="0"/>
                <w:sz w:val="18"/>
                <w:szCs w:val="20"/>
              </w:rPr>
              <w:t>%，座果率11.8</w:t>
            </w:r>
            <w:r>
              <w:rPr>
                <w:rFonts w:ascii="宋体" w:hAnsi="Times New Roman"/>
                <w:kern w:val="0"/>
                <w:sz w:val="18"/>
                <w:szCs w:val="20"/>
              </w:rPr>
              <w:t> </w:t>
            </w:r>
            <w:r>
              <w:rPr>
                <w:rFonts w:ascii="宋体" w:hAnsi="Times New Roman" w:hint="eastAsia"/>
                <w:kern w:val="0"/>
                <w:sz w:val="18"/>
                <w:szCs w:val="20"/>
              </w:rPr>
              <w:t>%。</w:t>
            </w:r>
          </w:p>
        </w:tc>
        <w:tc>
          <w:tcPr>
            <w:tcW w:w="1559"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kern w:val="0"/>
                <w:sz w:val="18"/>
                <w:szCs w:val="20"/>
              </w:rPr>
              <w:t>圆锥花序，花序松散，花瓣</w:t>
            </w:r>
            <w:r>
              <w:rPr>
                <w:rFonts w:ascii="宋体" w:hAnsi="Times New Roman" w:hint="eastAsia"/>
                <w:kern w:val="0"/>
                <w:sz w:val="18"/>
                <w:szCs w:val="20"/>
              </w:rPr>
              <w:t>5～9片，多为5片，雄蕊6～10枚，其中一枚雄蕊伸出花冠，长约6-8</w:t>
            </w:r>
            <w:r>
              <w:rPr>
                <w:rFonts w:ascii="宋体" w:hAnsi="Times New Roman"/>
                <w:kern w:val="0"/>
                <w:sz w:val="18"/>
                <w:szCs w:val="20"/>
              </w:rPr>
              <w:t> </w:t>
            </w:r>
            <w:r>
              <w:rPr>
                <w:rFonts w:ascii="宋体" w:hAnsi="Times New Roman" w:hint="eastAsia"/>
                <w:kern w:val="0"/>
                <w:sz w:val="18"/>
                <w:szCs w:val="20"/>
              </w:rPr>
              <w:t>mm，两性花比例48.8</w:t>
            </w:r>
            <w:r>
              <w:rPr>
                <w:rFonts w:ascii="宋体" w:hAnsi="Times New Roman"/>
                <w:kern w:val="0"/>
                <w:sz w:val="18"/>
                <w:szCs w:val="20"/>
              </w:rPr>
              <w:t> </w:t>
            </w:r>
            <w:r>
              <w:rPr>
                <w:rFonts w:ascii="宋体" w:hAnsi="Times New Roman" w:hint="eastAsia"/>
                <w:kern w:val="0"/>
                <w:sz w:val="18"/>
                <w:szCs w:val="20"/>
              </w:rPr>
              <w:t>%，座果率6.3</w:t>
            </w:r>
            <w:r>
              <w:rPr>
                <w:rFonts w:ascii="宋体" w:hAnsi="Times New Roman"/>
                <w:kern w:val="0"/>
                <w:sz w:val="18"/>
                <w:szCs w:val="20"/>
              </w:rPr>
              <w:t> </w:t>
            </w:r>
            <w:r>
              <w:rPr>
                <w:rFonts w:ascii="宋体" w:hAnsi="Times New Roman" w:hint="eastAsia"/>
                <w:kern w:val="0"/>
                <w:sz w:val="18"/>
                <w:szCs w:val="20"/>
              </w:rPr>
              <w:t>%。</w:t>
            </w:r>
          </w:p>
        </w:tc>
        <w:tc>
          <w:tcPr>
            <w:tcW w:w="1559"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kern w:val="0"/>
                <w:sz w:val="18"/>
                <w:szCs w:val="20"/>
              </w:rPr>
              <w:t>圆锥花序，花序松散，花瓣</w:t>
            </w:r>
            <w:r>
              <w:rPr>
                <w:rFonts w:ascii="宋体" w:hAnsi="Times New Roman" w:hint="eastAsia"/>
                <w:kern w:val="0"/>
                <w:sz w:val="18"/>
                <w:szCs w:val="20"/>
              </w:rPr>
              <w:t>5～9片，多为5片，雄蕊6～10枚，其中一枚雄蕊伸出花冠，长约6～9</w:t>
            </w:r>
            <w:r>
              <w:rPr>
                <w:rFonts w:ascii="宋体" w:hAnsi="Times New Roman"/>
                <w:kern w:val="0"/>
                <w:sz w:val="18"/>
                <w:szCs w:val="20"/>
              </w:rPr>
              <w:t> </w:t>
            </w:r>
            <w:r>
              <w:rPr>
                <w:rFonts w:ascii="宋体" w:hAnsi="Times New Roman" w:hint="eastAsia"/>
                <w:kern w:val="0"/>
                <w:sz w:val="18"/>
                <w:szCs w:val="20"/>
              </w:rPr>
              <w:t>mm，两性花比例32.5</w:t>
            </w:r>
            <w:r>
              <w:rPr>
                <w:rFonts w:ascii="宋体" w:hAnsi="Times New Roman"/>
                <w:kern w:val="0"/>
                <w:sz w:val="18"/>
                <w:szCs w:val="20"/>
              </w:rPr>
              <w:t> </w:t>
            </w:r>
            <w:r>
              <w:rPr>
                <w:rFonts w:ascii="宋体" w:hAnsi="Times New Roman" w:hint="eastAsia"/>
                <w:kern w:val="0"/>
                <w:sz w:val="18"/>
                <w:szCs w:val="20"/>
              </w:rPr>
              <w:t>%，座果率9.2</w:t>
            </w:r>
            <w:r>
              <w:rPr>
                <w:rFonts w:ascii="宋体" w:hAnsi="Times New Roman"/>
                <w:kern w:val="0"/>
                <w:sz w:val="18"/>
                <w:szCs w:val="20"/>
              </w:rPr>
              <w:t> </w:t>
            </w:r>
            <w:r>
              <w:rPr>
                <w:rFonts w:ascii="宋体" w:hAnsi="Times New Roman" w:hint="eastAsia"/>
                <w:kern w:val="0"/>
                <w:sz w:val="18"/>
                <w:szCs w:val="20"/>
              </w:rPr>
              <w:t>%。</w:t>
            </w:r>
          </w:p>
        </w:tc>
        <w:tc>
          <w:tcPr>
            <w:tcW w:w="1701"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kern w:val="0"/>
                <w:sz w:val="18"/>
                <w:szCs w:val="20"/>
              </w:rPr>
              <w:t>圆锥花序，花序松散，花瓣</w:t>
            </w:r>
            <w:r>
              <w:rPr>
                <w:rFonts w:ascii="宋体" w:hAnsi="Times New Roman" w:hint="eastAsia"/>
                <w:kern w:val="0"/>
                <w:sz w:val="18"/>
                <w:szCs w:val="20"/>
              </w:rPr>
              <w:t>5～9片，多为5片，雄蕊6～10枚，其中一枚雄蕊伸出花冠，长约7～9</w:t>
            </w:r>
            <w:r>
              <w:rPr>
                <w:rFonts w:ascii="宋体" w:hAnsi="Times New Roman"/>
                <w:kern w:val="0"/>
                <w:sz w:val="18"/>
                <w:szCs w:val="20"/>
              </w:rPr>
              <w:t> </w:t>
            </w:r>
            <w:r>
              <w:rPr>
                <w:rFonts w:ascii="宋体" w:hAnsi="Times New Roman" w:hint="eastAsia"/>
                <w:kern w:val="0"/>
                <w:sz w:val="18"/>
                <w:szCs w:val="20"/>
              </w:rPr>
              <w:t>mm，两性花比例25.2</w:t>
            </w:r>
            <w:r>
              <w:rPr>
                <w:rFonts w:ascii="宋体" w:hAnsi="Times New Roman"/>
                <w:kern w:val="0"/>
                <w:sz w:val="18"/>
                <w:szCs w:val="20"/>
              </w:rPr>
              <w:t> </w:t>
            </w:r>
            <w:r>
              <w:rPr>
                <w:rFonts w:ascii="宋体" w:hAnsi="Times New Roman" w:hint="eastAsia"/>
                <w:kern w:val="0"/>
                <w:sz w:val="18"/>
                <w:szCs w:val="20"/>
              </w:rPr>
              <w:t>%，座果率10.7</w:t>
            </w:r>
            <w:r>
              <w:rPr>
                <w:rFonts w:ascii="宋体" w:hAnsi="Times New Roman"/>
                <w:kern w:val="0"/>
                <w:sz w:val="18"/>
                <w:szCs w:val="20"/>
              </w:rPr>
              <w:t> </w:t>
            </w:r>
            <w:r>
              <w:rPr>
                <w:rFonts w:ascii="宋体" w:hAnsi="Times New Roman" w:hint="eastAsia"/>
                <w:kern w:val="0"/>
                <w:sz w:val="18"/>
                <w:szCs w:val="20"/>
              </w:rPr>
              <w:t>%。</w:t>
            </w:r>
          </w:p>
        </w:tc>
        <w:tc>
          <w:tcPr>
            <w:tcW w:w="1601" w:type="dxa"/>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kern w:val="0"/>
                <w:sz w:val="18"/>
                <w:szCs w:val="20"/>
              </w:rPr>
              <w:t>圆锥花序，花序松散，花瓣</w:t>
            </w:r>
            <w:r>
              <w:rPr>
                <w:rFonts w:ascii="宋体" w:hAnsi="Times New Roman" w:hint="eastAsia"/>
                <w:kern w:val="0"/>
                <w:sz w:val="18"/>
                <w:szCs w:val="20"/>
              </w:rPr>
              <w:t>5～9片，多为5片，雄蕊6～10枚，其中一枚雄蕊伸出花冠，长约6～10</w:t>
            </w:r>
            <w:r>
              <w:rPr>
                <w:rFonts w:ascii="宋体" w:hAnsi="Times New Roman"/>
                <w:kern w:val="0"/>
                <w:sz w:val="18"/>
                <w:szCs w:val="20"/>
              </w:rPr>
              <w:t> </w:t>
            </w:r>
            <w:r>
              <w:rPr>
                <w:rFonts w:ascii="宋体" w:hAnsi="Times New Roman" w:hint="eastAsia"/>
                <w:kern w:val="0"/>
                <w:sz w:val="18"/>
                <w:szCs w:val="20"/>
              </w:rPr>
              <w:t>mm，两性花比例63.7</w:t>
            </w:r>
            <w:r>
              <w:rPr>
                <w:rFonts w:ascii="宋体" w:hAnsi="Times New Roman"/>
                <w:kern w:val="0"/>
                <w:sz w:val="18"/>
                <w:szCs w:val="20"/>
              </w:rPr>
              <w:t> </w:t>
            </w:r>
            <w:r>
              <w:rPr>
                <w:rFonts w:ascii="宋体" w:hAnsi="Times New Roman" w:hint="eastAsia"/>
                <w:kern w:val="0"/>
                <w:sz w:val="18"/>
                <w:szCs w:val="20"/>
              </w:rPr>
              <w:t>%，座果率3.8</w:t>
            </w:r>
            <w:r>
              <w:rPr>
                <w:rFonts w:ascii="宋体" w:hAnsi="Times New Roman"/>
                <w:kern w:val="0"/>
                <w:sz w:val="18"/>
                <w:szCs w:val="20"/>
              </w:rPr>
              <w:t> </w:t>
            </w:r>
            <w:r>
              <w:rPr>
                <w:rFonts w:ascii="宋体" w:hAnsi="Times New Roman" w:hint="eastAsia"/>
                <w:kern w:val="0"/>
                <w:sz w:val="18"/>
                <w:szCs w:val="20"/>
              </w:rPr>
              <w:t>%。</w:t>
            </w:r>
          </w:p>
        </w:tc>
      </w:tr>
      <w:tr w:rsidR="000640BA">
        <w:trPr>
          <w:trHeight w:val="746"/>
          <w:jc w:val="center"/>
        </w:trPr>
        <w:tc>
          <w:tcPr>
            <w:tcW w:w="754" w:type="dxa"/>
            <w:shd w:val="clear" w:color="auto" w:fill="auto"/>
            <w:vAlign w:val="center"/>
          </w:tcPr>
          <w:p w:rsidR="000640BA" w:rsidRDefault="00167F57">
            <w:pPr>
              <w:autoSpaceDE w:val="0"/>
              <w:autoSpaceDN w:val="0"/>
              <w:spacing w:after="0" w:line="240" w:lineRule="auto"/>
              <w:jc w:val="center"/>
              <w:rPr>
                <w:rFonts w:ascii="宋体" w:hAnsi="Times New Roman"/>
                <w:kern w:val="0"/>
                <w:sz w:val="18"/>
                <w:szCs w:val="20"/>
              </w:rPr>
            </w:pPr>
            <w:r>
              <w:rPr>
                <w:rFonts w:ascii="宋体" w:hAnsi="Times New Roman"/>
                <w:kern w:val="0"/>
                <w:sz w:val="18"/>
                <w:szCs w:val="20"/>
              </w:rPr>
              <w:t>果</w:t>
            </w:r>
            <w:r>
              <w:rPr>
                <w:rFonts w:ascii="宋体" w:hAnsi="Times New Roman" w:hint="eastAsia"/>
                <w:kern w:val="0"/>
                <w:sz w:val="18"/>
                <w:szCs w:val="20"/>
              </w:rPr>
              <w:t>梨</w:t>
            </w:r>
          </w:p>
        </w:tc>
        <w:tc>
          <w:tcPr>
            <w:tcW w:w="1701"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kern w:val="0"/>
                <w:sz w:val="18"/>
                <w:szCs w:val="20"/>
              </w:rPr>
              <w:t>果梨梨形，黄色，单果重</w:t>
            </w:r>
            <w:r>
              <w:rPr>
                <w:rFonts w:ascii="宋体" w:hAnsi="Times New Roman" w:hint="eastAsia"/>
                <w:kern w:val="0"/>
                <w:sz w:val="18"/>
                <w:szCs w:val="20"/>
              </w:rPr>
              <w:t>63.8</w:t>
            </w:r>
            <w:r>
              <w:rPr>
                <w:rFonts w:ascii="宋体" w:hAnsi="Times New Roman"/>
                <w:kern w:val="0"/>
                <w:sz w:val="18"/>
                <w:szCs w:val="20"/>
              </w:rPr>
              <w:t> </w:t>
            </w:r>
            <w:r>
              <w:rPr>
                <w:rFonts w:ascii="宋体" w:hAnsi="Times New Roman" w:hint="eastAsia"/>
                <w:kern w:val="0"/>
                <w:sz w:val="18"/>
                <w:szCs w:val="20"/>
              </w:rPr>
              <w:t>g。</w:t>
            </w:r>
          </w:p>
        </w:tc>
        <w:tc>
          <w:tcPr>
            <w:tcW w:w="1559"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kern w:val="0"/>
                <w:sz w:val="18"/>
                <w:szCs w:val="20"/>
              </w:rPr>
              <w:t>果梨梨形，红黄杂色，单果重</w:t>
            </w:r>
            <w:r>
              <w:rPr>
                <w:rFonts w:ascii="宋体" w:hAnsi="Times New Roman" w:hint="eastAsia"/>
                <w:kern w:val="0"/>
                <w:sz w:val="18"/>
                <w:szCs w:val="20"/>
              </w:rPr>
              <w:t>45.7</w:t>
            </w:r>
            <w:r>
              <w:rPr>
                <w:rFonts w:ascii="宋体" w:hAnsi="Times New Roman"/>
                <w:kern w:val="0"/>
                <w:sz w:val="18"/>
                <w:szCs w:val="20"/>
              </w:rPr>
              <w:t> </w:t>
            </w:r>
            <w:r>
              <w:rPr>
                <w:rFonts w:ascii="宋体" w:hAnsi="Times New Roman" w:hint="eastAsia"/>
                <w:kern w:val="0"/>
                <w:sz w:val="18"/>
                <w:szCs w:val="20"/>
              </w:rPr>
              <w:t>g。</w:t>
            </w:r>
          </w:p>
        </w:tc>
        <w:tc>
          <w:tcPr>
            <w:tcW w:w="1559"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proofErr w:type="gramStart"/>
            <w:r>
              <w:rPr>
                <w:rFonts w:ascii="宋体" w:hAnsi="Times New Roman"/>
                <w:kern w:val="0"/>
                <w:sz w:val="18"/>
                <w:szCs w:val="20"/>
              </w:rPr>
              <w:t>果梨长梨形</w:t>
            </w:r>
            <w:proofErr w:type="gramEnd"/>
            <w:r>
              <w:rPr>
                <w:rFonts w:ascii="宋体" w:hAnsi="Times New Roman"/>
                <w:kern w:val="0"/>
                <w:sz w:val="18"/>
                <w:szCs w:val="20"/>
              </w:rPr>
              <w:t>，黄色，单果重</w:t>
            </w:r>
            <w:r>
              <w:rPr>
                <w:rFonts w:ascii="宋体" w:hAnsi="Times New Roman" w:hint="eastAsia"/>
                <w:kern w:val="0"/>
                <w:sz w:val="18"/>
                <w:szCs w:val="20"/>
              </w:rPr>
              <w:t>66.8</w:t>
            </w:r>
            <w:r>
              <w:rPr>
                <w:rFonts w:ascii="宋体" w:hAnsi="Times New Roman"/>
                <w:kern w:val="0"/>
                <w:sz w:val="18"/>
                <w:szCs w:val="20"/>
              </w:rPr>
              <w:t> </w:t>
            </w:r>
            <w:r>
              <w:rPr>
                <w:rFonts w:ascii="宋体" w:hAnsi="Times New Roman" w:hint="eastAsia"/>
                <w:kern w:val="0"/>
                <w:sz w:val="18"/>
                <w:szCs w:val="20"/>
              </w:rPr>
              <w:t>g。</w:t>
            </w:r>
          </w:p>
        </w:tc>
        <w:tc>
          <w:tcPr>
            <w:tcW w:w="1701"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kern w:val="0"/>
                <w:sz w:val="18"/>
                <w:szCs w:val="20"/>
              </w:rPr>
              <w:t>果梨</w:t>
            </w:r>
            <w:r>
              <w:rPr>
                <w:rFonts w:ascii="宋体" w:hAnsi="Times New Roman" w:hint="eastAsia"/>
                <w:kern w:val="0"/>
                <w:sz w:val="18"/>
                <w:szCs w:val="20"/>
              </w:rPr>
              <w:t>扁圆</w:t>
            </w:r>
            <w:r>
              <w:rPr>
                <w:rFonts w:ascii="宋体" w:hAnsi="Times New Roman"/>
                <w:kern w:val="0"/>
                <w:sz w:val="18"/>
                <w:szCs w:val="20"/>
              </w:rPr>
              <w:t>形，</w:t>
            </w:r>
            <w:r>
              <w:rPr>
                <w:rFonts w:ascii="宋体" w:hAnsi="Times New Roman" w:hint="eastAsia"/>
                <w:kern w:val="0"/>
                <w:sz w:val="18"/>
                <w:szCs w:val="20"/>
              </w:rPr>
              <w:t>红</w:t>
            </w:r>
            <w:r>
              <w:rPr>
                <w:rFonts w:ascii="宋体" w:hAnsi="Times New Roman"/>
                <w:kern w:val="0"/>
                <w:sz w:val="18"/>
                <w:szCs w:val="20"/>
              </w:rPr>
              <w:t>色，单果重</w:t>
            </w:r>
            <w:r>
              <w:rPr>
                <w:rFonts w:ascii="宋体" w:hAnsi="Times New Roman" w:hint="eastAsia"/>
                <w:kern w:val="0"/>
                <w:sz w:val="18"/>
                <w:szCs w:val="20"/>
              </w:rPr>
              <w:t>54.8</w:t>
            </w:r>
            <w:r>
              <w:rPr>
                <w:rFonts w:ascii="宋体" w:hAnsi="Times New Roman"/>
                <w:kern w:val="0"/>
                <w:sz w:val="18"/>
                <w:szCs w:val="20"/>
              </w:rPr>
              <w:t> </w:t>
            </w:r>
            <w:r>
              <w:rPr>
                <w:rFonts w:ascii="宋体" w:hAnsi="Times New Roman" w:hint="eastAsia"/>
                <w:kern w:val="0"/>
                <w:sz w:val="18"/>
                <w:szCs w:val="20"/>
              </w:rPr>
              <w:t>g。</w:t>
            </w:r>
          </w:p>
        </w:tc>
        <w:tc>
          <w:tcPr>
            <w:tcW w:w="1601" w:type="dxa"/>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kern w:val="0"/>
                <w:sz w:val="18"/>
                <w:szCs w:val="20"/>
              </w:rPr>
              <w:t>果梨梨形，</w:t>
            </w:r>
            <w:r>
              <w:rPr>
                <w:rFonts w:ascii="宋体" w:hAnsi="Times New Roman" w:hint="eastAsia"/>
                <w:kern w:val="0"/>
                <w:sz w:val="18"/>
                <w:szCs w:val="20"/>
              </w:rPr>
              <w:t>红</w:t>
            </w:r>
            <w:r>
              <w:rPr>
                <w:rFonts w:ascii="宋体" w:hAnsi="Times New Roman"/>
                <w:kern w:val="0"/>
                <w:sz w:val="18"/>
                <w:szCs w:val="20"/>
              </w:rPr>
              <w:t>色，单果重</w:t>
            </w:r>
            <w:r>
              <w:rPr>
                <w:rFonts w:ascii="宋体" w:hAnsi="Times New Roman" w:hint="eastAsia"/>
                <w:kern w:val="0"/>
                <w:sz w:val="18"/>
                <w:szCs w:val="20"/>
              </w:rPr>
              <w:t>41.8</w:t>
            </w:r>
            <w:r>
              <w:rPr>
                <w:rFonts w:ascii="宋体" w:hAnsi="Times New Roman"/>
                <w:kern w:val="0"/>
                <w:sz w:val="18"/>
                <w:szCs w:val="20"/>
              </w:rPr>
              <w:t> </w:t>
            </w:r>
            <w:r>
              <w:rPr>
                <w:rFonts w:ascii="宋体" w:hAnsi="Times New Roman" w:hint="eastAsia"/>
                <w:kern w:val="0"/>
                <w:sz w:val="18"/>
                <w:szCs w:val="20"/>
              </w:rPr>
              <w:t>g。</w:t>
            </w:r>
          </w:p>
        </w:tc>
      </w:tr>
      <w:tr w:rsidR="000640BA">
        <w:trPr>
          <w:trHeight w:val="968"/>
          <w:jc w:val="center"/>
        </w:trPr>
        <w:tc>
          <w:tcPr>
            <w:tcW w:w="754" w:type="dxa"/>
            <w:shd w:val="clear" w:color="auto" w:fill="auto"/>
            <w:vAlign w:val="center"/>
          </w:tcPr>
          <w:p w:rsidR="000640BA" w:rsidRDefault="00167F57">
            <w:pPr>
              <w:autoSpaceDE w:val="0"/>
              <w:autoSpaceDN w:val="0"/>
              <w:spacing w:after="0" w:line="240" w:lineRule="auto"/>
              <w:jc w:val="center"/>
              <w:rPr>
                <w:rFonts w:ascii="宋体" w:hAnsi="Times New Roman"/>
                <w:kern w:val="0"/>
                <w:sz w:val="18"/>
                <w:szCs w:val="20"/>
              </w:rPr>
            </w:pPr>
            <w:r>
              <w:rPr>
                <w:rFonts w:ascii="宋体" w:hAnsi="Times New Roman" w:hint="eastAsia"/>
                <w:kern w:val="0"/>
                <w:sz w:val="18"/>
                <w:szCs w:val="20"/>
              </w:rPr>
              <w:t>坚果</w:t>
            </w:r>
          </w:p>
        </w:tc>
        <w:tc>
          <w:tcPr>
            <w:tcW w:w="1701"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kern w:val="0"/>
                <w:sz w:val="18"/>
                <w:szCs w:val="20"/>
              </w:rPr>
              <w:t>坚果肾性，</w:t>
            </w:r>
            <w:r>
              <w:rPr>
                <w:rFonts w:ascii="宋体" w:hAnsi="Times New Roman" w:hint="eastAsia"/>
                <w:kern w:val="0"/>
                <w:sz w:val="18"/>
                <w:szCs w:val="20"/>
              </w:rPr>
              <w:t>W240级别，</w:t>
            </w:r>
            <w:r>
              <w:rPr>
                <w:rFonts w:ascii="宋体" w:hAnsi="Times New Roman"/>
                <w:kern w:val="0"/>
                <w:sz w:val="18"/>
                <w:szCs w:val="20"/>
              </w:rPr>
              <w:t>单粒重</w:t>
            </w:r>
            <w:r>
              <w:rPr>
                <w:rFonts w:ascii="宋体" w:hAnsi="Times New Roman" w:hint="eastAsia"/>
                <w:kern w:val="0"/>
                <w:sz w:val="18"/>
                <w:szCs w:val="20"/>
              </w:rPr>
              <w:t>6.5</w:t>
            </w:r>
            <w:r>
              <w:rPr>
                <w:rFonts w:ascii="宋体" w:hAnsi="Times New Roman"/>
                <w:kern w:val="0"/>
                <w:sz w:val="18"/>
                <w:szCs w:val="20"/>
              </w:rPr>
              <w:t> </w:t>
            </w:r>
            <w:r>
              <w:rPr>
                <w:rFonts w:ascii="宋体" w:hAnsi="Times New Roman" w:hint="eastAsia"/>
                <w:kern w:val="0"/>
                <w:sz w:val="18"/>
                <w:szCs w:val="20"/>
              </w:rPr>
              <w:t>g，果仁重2.02</w:t>
            </w:r>
            <w:r>
              <w:rPr>
                <w:rFonts w:ascii="宋体" w:hAnsi="Times New Roman"/>
                <w:kern w:val="0"/>
                <w:sz w:val="18"/>
                <w:szCs w:val="20"/>
              </w:rPr>
              <w:t> </w:t>
            </w:r>
            <w:r>
              <w:rPr>
                <w:rFonts w:ascii="宋体" w:hAnsi="Times New Roman" w:hint="eastAsia"/>
                <w:kern w:val="0"/>
                <w:sz w:val="18"/>
                <w:szCs w:val="20"/>
              </w:rPr>
              <w:t>g。</w:t>
            </w:r>
          </w:p>
        </w:tc>
        <w:tc>
          <w:tcPr>
            <w:tcW w:w="1559"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kern w:val="0"/>
                <w:sz w:val="18"/>
                <w:szCs w:val="20"/>
              </w:rPr>
              <w:t>坚果肾性，</w:t>
            </w:r>
            <w:r>
              <w:rPr>
                <w:rFonts w:ascii="宋体" w:hAnsi="Times New Roman" w:hint="eastAsia"/>
                <w:kern w:val="0"/>
                <w:sz w:val="18"/>
                <w:szCs w:val="20"/>
              </w:rPr>
              <w:t>W450级别，</w:t>
            </w:r>
            <w:r>
              <w:rPr>
                <w:rFonts w:ascii="宋体" w:hAnsi="Times New Roman"/>
                <w:kern w:val="0"/>
                <w:sz w:val="18"/>
                <w:szCs w:val="20"/>
              </w:rPr>
              <w:t>单粒重</w:t>
            </w:r>
            <w:r>
              <w:rPr>
                <w:rFonts w:ascii="宋体" w:hAnsi="Times New Roman" w:hint="eastAsia"/>
                <w:kern w:val="0"/>
                <w:sz w:val="18"/>
                <w:szCs w:val="20"/>
              </w:rPr>
              <w:t>4.5</w:t>
            </w:r>
            <w:r>
              <w:rPr>
                <w:rFonts w:ascii="宋体" w:hAnsi="Times New Roman"/>
                <w:kern w:val="0"/>
                <w:sz w:val="18"/>
                <w:szCs w:val="20"/>
              </w:rPr>
              <w:t> </w:t>
            </w:r>
            <w:r>
              <w:rPr>
                <w:rFonts w:ascii="宋体" w:hAnsi="Times New Roman" w:hint="eastAsia"/>
                <w:kern w:val="0"/>
                <w:sz w:val="18"/>
                <w:szCs w:val="20"/>
              </w:rPr>
              <w:t>g，果仁重1.3</w:t>
            </w:r>
            <w:r>
              <w:rPr>
                <w:rFonts w:ascii="宋体" w:hAnsi="Times New Roman"/>
                <w:kern w:val="0"/>
                <w:sz w:val="18"/>
                <w:szCs w:val="20"/>
              </w:rPr>
              <w:t> </w:t>
            </w:r>
            <w:r>
              <w:rPr>
                <w:rFonts w:ascii="宋体" w:hAnsi="Times New Roman" w:hint="eastAsia"/>
                <w:kern w:val="0"/>
                <w:sz w:val="18"/>
                <w:szCs w:val="20"/>
              </w:rPr>
              <w:t>g。</w:t>
            </w:r>
          </w:p>
        </w:tc>
        <w:tc>
          <w:tcPr>
            <w:tcW w:w="1559"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kern w:val="0"/>
                <w:sz w:val="18"/>
                <w:szCs w:val="20"/>
              </w:rPr>
              <w:t>坚果肾性，</w:t>
            </w:r>
            <w:r>
              <w:rPr>
                <w:rFonts w:ascii="宋体" w:hAnsi="Times New Roman" w:hint="eastAsia"/>
                <w:kern w:val="0"/>
                <w:sz w:val="18"/>
                <w:szCs w:val="20"/>
              </w:rPr>
              <w:t>W240级别，</w:t>
            </w:r>
            <w:r>
              <w:rPr>
                <w:rFonts w:ascii="宋体" w:hAnsi="Times New Roman"/>
                <w:kern w:val="0"/>
                <w:sz w:val="18"/>
                <w:szCs w:val="20"/>
              </w:rPr>
              <w:t>单粒重</w:t>
            </w:r>
            <w:r>
              <w:rPr>
                <w:rFonts w:ascii="宋体" w:hAnsi="Times New Roman" w:hint="eastAsia"/>
                <w:kern w:val="0"/>
                <w:sz w:val="18"/>
                <w:szCs w:val="20"/>
              </w:rPr>
              <w:t>6.2</w:t>
            </w:r>
            <w:r>
              <w:rPr>
                <w:rFonts w:ascii="宋体" w:hAnsi="Times New Roman"/>
                <w:kern w:val="0"/>
                <w:sz w:val="18"/>
                <w:szCs w:val="20"/>
              </w:rPr>
              <w:t> </w:t>
            </w:r>
            <w:r>
              <w:rPr>
                <w:rFonts w:ascii="宋体" w:hAnsi="Times New Roman" w:hint="eastAsia"/>
                <w:kern w:val="0"/>
                <w:sz w:val="18"/>
                <w:szCs w:val="20"/>
              </w:rPr>
              <w:t>g，果仁重1.9</w:t>
            </w:r>
            <w:r>
              <w:rPr>
                <w:rFonts w:ascii="宋体" w:hAnsi="Times New Roman"/>
                <w:kern w:val="0"/>
                <w:sz w:val="18"/>
                <w:szCs w:val="20"/>
              </w:rPr>
              <w:t> </w:t>
            </w:r>
            <w:r>
              <w:rPr>
                <w:rFonts w:ascii="宋体" w:hAnsi="Times New Roman" w:hint="eastAsia"/>
                <w:kern w:val="0"/>
                <w:sz w:val="18"/>
                <w:szCs w:val="20"/>
              </w:rPr>
              <w:t>g。</w:t>
            </w:r>
          </w:p>
        </w:tc>
        <w:tc>
          <w:tcPr>
            <w:tcW w:w="1701"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kern w:val="0"/>
                <w:sz w:val="18"/>
                <w:szCs w:val="20"/>
              </w:rPr>
              <w:t>坚果肾性，</w:t>
            </w:r>
            <w:r>
              <w:rPr>
                <w:rFonts w:ascii="宋体" w:hAnsi="Times New Roman" w:hint="eastAsia"/>
                <w:kern w:val="0"/>
                <w:sz w:val="18"/>
                <w:szCs w:val="20"/>
              </w:rPr>
              <w:t>W320级别，</w:t>
            </w:r>
            <w:r>
              <w:rPr>
                <w:rFonts w:ascii="宋体" w:hAnsi="Times New Roman"/>
                <w:kern w:val="0"/>
                <w:sz w:val="18"/>
                <w:szCs w:val="20"/>
              </w:rPr>
              <w:t>单粒重</w:t>
            </w:r>
            <w:r>
              <w:rPr>
                <w:rFonts w:ascii="宋体" w:hAnsi="Times New Roman" w:hint="eastAsia"/>
                <w:kern w:val="0"/>
                <w:sz w:val="18"/>
                <w:szCs w:val="20"/>
              </w:rPr>
              <w:t>4.8</w:t>
            </w:r>
            <w:r>
              <w:rPr>
                <w:rFonts w:ascii="宋体" w:hAnsi="Times New Roman"/>
                <w:kern w:val="0"/>
                <w:sz w:val="18"/>
                <w:szCs w:val="20"/>
              </w:rPr>
              <w:t> </w:t>
            </w:r>
            <w:r>
              <w:rPr>
                <w:rFonts w:ascii="宋体" w:hAnsi="Times New Roman" w:hint="eastAsia"/>
                <w:kern w:val="0"/>
                <w:sz w:val="18"/>
                <w:szCs w:val="20"/>
              </w:rPr>
              <w:t>g，果仁重1.4</w:t>
            </w:r>
            <w:r>
              <w:rPr>
                <w:rFonts w:ascii="宋体" w:hAnsi="Times New Roman"/>
                <w:kern w:val="0"/>
                <w:sz w:val="18"/>
                <w:szCs w:val="20"/>
              </w:rPr>
              <w:t> </w:t>
            </w:r>
            <w:r>
              <w:rPr>
                <w:rFonts w:ascii="宋体" w:hAnsi="Times New Roman" w:hint="eastAsia"/>
                <w:kern w:val="0"/>
                <w:sz w:val="18"/>
                <w:szCs w:val="20"/>
              </w:rPr>
              <w:t>g。</w:t>
            </w:r>
          </w:p>
        </w:tc>
        <w:tc>
          <w:tcPr>
            <w:tcW w:w="1601" w:type="dxa"/>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kern w:val="0"/>
                <w:sz w:val="18"/>
                <w:szCs w:val="20"/>
              </w:rPr>
              <w:t>坚果肾性，</w:t>
            </w:r>
            <w:r>
              <w:rPr>
                <w:rFonts w:ascii="宋体" w:hAnsi="Times New Roman" w:hint="eastAsia"/>
                <w:kern w:val="0"/>
                <w:sz w:val="18"/>
                <w:szCs w:val="20"/>
              </w:rPr>
              <w:t>W450级别，</w:t>
            </w:r>
            <w:r>
              <w:rPr>
                <w:rFonts w:ascii="宋体" w:hAnsi="Times New Roman"/>
                <w:kern w:val="0"/>
                <w:sz w:val="18"/>
                <w:szCs w:val="20"/>
              </w:rPr>
              <w:t>单粒重</w:t>
            </w:r>
            <w:r>
              <w:rPr>
                <w:rFonts w:ascii="宋体" w:hAnsi="Times New Roman" w:hint="eastAsia"/>
                <w:kern w:val="0"/>
                <w:sz w:val="18"/>
                <w:szCs w:val="20"/>
              </w:rPr>
              <w:t>4.4</w:t>
            </w:r>
            <w:r>
              <w:rPr>
                <w:rFonts w:ascii="宋体" w:hAnsi="Times New Roman"/>
                <w:kern w:val="0"/>
                <w:sz w:val="18"/>
                <w:szCs w:val="20"/>
              </w:rPr>
              <w:t> </w:t>
            </w:r>
            <w:r>
              <w:rPr>
                <w:rFonts w:ascii="宋体" w:hAnsi="Times New Roman" w:hint="eastAsia"/>
                <w:kern w:val="0"/>
                <w:sz w:val="18"/>
                <w:szCs w:val="20"/>
              </w:rPr>
              <w:t>g，果仁重1.2</w:t>
            </w:r>
            <w:r>
              <w:rPr>
                <w:rFonts w:ascii="宋体" w:hAnsi="Times New Roman"/>
                <w:kern w:val="0"/>
                <w:sz w:val="18"/>
                <w:szCs w:val="20"/>
              </w:rPr>
              <w:t> </w:t>
            </w:r>
            <w:r>
              <w:rPr>
                <w:rFonts w:ascii="宋体" w:hAnsi="Times New Roman" w:hint="eastAsia"/>
                <w:kern w:val="0"/>
                <w:sz w:val="18"/>
                <w:szCs w:val="20"/>
              </w:rPr>
              <w:t>g。</w:t>
            </w:r>
          </w:p>
        </w:tc>
      </w:tr>
      <w:tr w:rsidR="000640BA">
        <w:trPr>
          <w:trHeight w:val="714"/>
          <w:jc w:val="center"/>
        </w:trPr>
        <w:tc>
          <w:tcPr>
            <w:tcW w:w="754" w:type="dxa"/>
            <w:shd w:val="clear" w:color="auto" w:fill="auto"/>
            <w:vAlign w:val="center"/>
          </w:tcPr>
          <w:p w:rsidR="000640BA" w:rsidRDefault="00167F57">
            <w:pPr>
              <w:autoSpaceDE w:val="0"/>
              <w:autoSpaceDN w:val="0"/>
              <w:spacing w:after="0" w:line="240" w:lineRule="auto"/>
              <w:jc w:val="center"/>
              <w:rPr>
                <w:rFonts w:ascii="宋体" w:hAnsi="Times New Roman"/>
                <w:kern w:val="0"/>
                <w:sz w:val="18"/>
                <w:szCs w:val="20"/>
              </w:rPr>
            </w:pPr>
            <w:r>
              <w:rPr>
                <w:rFonts w:ascii="宋体" w:hAnsi="Times New Roman" w:hint="eastAsia"/>
                <w:kern w:val="0"/>
                <w:sz w:val="18"/>
                <w:szCs w:val="20"/>
              </w:rPr>
              <w:t>产量</w:t>
            </w:r>
          </w:p>
        </w:tc>
        <w:tc>
          <w:tcPr>
            <w:tcW w:w="1701"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hint="eastAsia"/>
                <w:kern w:val="0"/>
                <w:sz w:val="18"/>
                <w:szCs w:val="20"/>
              </w:rPr>
              <w:t>5龄树单株</w:t>
            </w:r>
            <w:r>
              <w:rPr>
                <w:rFonts w:ascii="宋体" w:hAnsi="Times New Roman"/>
                <w:kern w:val="0"/>
                <w:sz w:val="18"/>
                <w:szCs w:val="20"/>
              </w:rPr>
              <w:t>产量约</w:t>
            </w:r>
            <w:r>
              <w:rPr>
                <w:rFonts w:ascii="宋体" w:hAnsi="Times New Roman" w:hint="eastAsia"/>
                <w:kern w:val="0"/>
                <w:sz w:val="18"/>
                <w:szCs w:val="20"/>
              </w:rPr>
              <w:t>8.5</w:t>
            </w:r>
            <w:r>
              <w:rPr>
                <w:rFonts w:ascii="宋体" w:hAnsi="Times New Roman"/>
                <w:kern w:val="0"/>
                <w:sz w:val="18"/>
                <w:szCs w:val="20"/>
              </w:rPr>
              <w:t> </w:t>
            </w:r>
            <w:r>
              <w:rPr>
                <w:rFonts w:ascii="宋体" w:hAnsi="Times New Roman" w:hint="eastAsia"/>
                <w:kern w:val="0"/>
                <w:sz w:val="18"/>
                <w:szCs w:val="20"/>
              </w:rPr>
              <w:t>kg。</w:t>
            </w:r>
          </w:p>
        </w:tc>
        <w:tc>
          <w:tcPr>
            <w:tcW w:w="1559"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hint="eastAsia"/>
                <w:kern w:val="0"/>
                <w:sz w:val="18"/>
                <w:szCs w:val="20"/>
              </w:rPr>
              <w:t>5龄树单株</w:t>
            </w:r>
            <w:r>
              <w:rPr>
                <w:rFonts w:ascii="宋体" w:hAnsi="Times New Roman"/>
                <w:kern w:val="0"/>
                <w:sz w:val="18"/>
                <w:szCs w:val="20"/>
              </w:rPr>
              <w:t>产量约</w:t>
            </w:r>
            <w:r>
              <w:rPr>
                <w:rFonts w:ascii="宋体" w:hAnsi="Times New Roman" w:hint="eastAsia"/>
                <w:kern w:val="0"/>
                <w:sz w:val="18"/>
                <w:szCs w:val="20"/>
              </w:rPr>
              <w:t>7.1</w:t>
            </w:r>
            <w:r>
              <w:rPr>
                <w:rFonts w:ascii="宋体" w:hAnsi="Times New Roman"/>
                <w:kern w:val="0"/>
                <w:sz w:val="18"/>
                <w:szCs w:val="20"/>
              </w:rPr>
              <w:t> </w:t>
            </w:r>
            <w:r>
              <w:rPr>
                <w:rFonts w:ascii="宋体" w:hAnsi="Times New Roman" w:hint="eastAsia"/>
                <w:kern w:val="0"/>
                <w:sz w:val="18"/>
                <w:szCs w:val="20"/>
              </w:rPr>
              <w:t>kg。</w:t>
            </w:r>
          </w:p>
        </w:tc>
        <w:tc>
          <w:tcPr>
            <w:tcW w:w="1559"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hint="eastAsia"/>
                <w:kern w:val="0"/>
                <w:sz w:val="18"/>
                <w:szCs w:val="20"/>
              </w:rPr>
              <w:t>5龄树单株</w:t>
            </w:r>
            <w:r>
              <w:rPr>
                <w:rFonts w:ascii="宋体" w:hAnsi="Times New Roman"/>
                <w:kern w:val="0"/>
                <w:sz w:val="18"/>
                <w:szCs w:val="20"/>
              </w:rPr>
              <w:t>产量约</w:t>
            </w:r>
            <w:r>
              <w:rPr>
                <w:rFonts w:ascii="宋体" w:hAnsi="Times New Roman" w:hint="eastAsia"/>
                <w:kern w:val="0"/>
                <w:sz w:val="18"/>
                <w:szCs w:val="20"/>
              </w:rPr>
              <w:t>6.8</w:t>
            </w:r>
            <w:r>
              <w:rPr>
                <w:rFonts w:ascii="宋体" w:hAnsi="Times New Roman"/>
                <w:kern w:val="0"/>
                <w:sz w:val="18"/>
                <w:szCs w:val="20"/>
              </w:rPr>
              <w:t> </w:t>
            </w:r>
            <w:r>
              <w:rPr>
                <w:rFonts w:ascii="宋体" w:hAnsi="Times New Roman" w:hint="eastAsia"/>
                <w:kern w:val="0"/>
                <w:sz w:val="18"/>
                <w:szCs w:val="20"/>
              </w:rPr>
              <w:t>kg。</w:t>
            </w:r>
          </w:p>
        </w:tc>
        <w:tc>
          <w:tcPr>
            <w:tcW w:w="1701" w:type="dxa"/>
            <w:shd w:val="clear" w:color="auto" w:fill="auto"/>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hint="eastAsia"/>
                <w:kern w:val="0"/>
                <w:sz w:val="18"/>
                <w:szCs w:val="20"/>
              </w:rPr>
              <w:t>5龄树单株</w:t>
            </w:r>
            <w:r>
              <w:rPr>
                <w:rFonts w:ascii="宋体" w:hAnsi="Times New Roman"/>
                <w:kern w:val="0"/>
                <w:sz w:val="18"/>
                <w:szCs w:val="20"/>
              </w:rPr>
              <w:t>产量约</w:t>
            </w:r>
            <w:r>
              <w:rPr>
                <w:rFonts w:ascii="宋体" w:hAnsi="Times New Roman" w:hint="eastAsia"/>
                <w:kern w:val="0"/>
                <w:sz w:val="18"/>
                <w:szCs w:val="20"/>
              </w:rPr>
              <w:t>8.7</w:t>
            </w:r>
            <w:r>
              <w:rPr>
                <w:rFonts w:ascii="宋体" w:hAnsi="Times New Roman"/>
                <w:kern w:val="0"/>
                <w:sz w:val="18"/>
                <w:szCs w:val="20"/>
              </w:rPr>
              <w:t> </w:t>
            </w:r>
            <w:r>
              <w:rPr>
                <w:rFonts w:ascii="宋体" w:hAnsi="Times New Roman" w:hint="eastAsia"/>
                <w:kern w:val="0"/>
                <w:sz w:val="18"/>
                <w:szCs w:val="20"/>
              </w:rPr>
              <w:t>kg。</w:t>
            </w:r>
          </w:p>
        </w:tc>
        <w:tc>
          <w:tcPr>
            <w:tcW w:w="1601" w:type="dxa"/>
            <w:vAlign w:val="center"/>
          </w:tcPr>
          <w:p w:rsidR="000640BA" w:rsidRDefault="00167F57">
            <w:pPr>
              <w:autoSpaceDE w:val="0"/>
              <w:autoSpaceDN w:val="0"/>
              <w:spacing w:after="0" w:line="240" w:lineRule="auto"/>
              <w:rPr>
                <w:rFonts w:ascii="宋体" w:hAnsi="Times New Roman"/>
                <w:kern w:val="0"/>
                <w:sz w:val="18"/>
                <w:szCs w:val="20"/>
              </w:rPr>
            </w:pPr>
            <w:r>
              <w:rPr>
                <w:rFonts w:ascii="宋体" w:hAnsi="Times New Roman" w:hint="eastAsia"/>
                <w:kern w:val="0"/>
                <w:sz w:val="18"/>
                <w:szCs w:val="20"/>
              </w:rPr>
              <w:t>5龄树单株</w:t>
            </w:r>
            <w:r>
              <w:rPr>
                <w:rFonts w:ascii="宋体" w:hAnsi="Times New Roman"/>
                <w:kern w:val="0"/>
                <w:sz w:val="18"/>
                <w:szCs w:val="20"/>
              </w:rPr>
              <w:t>产量约</w:t>
            </w:r>
            <w:r>
              <w:rPr>
                <w:rFonts w:ascii="宋体" w:hAnsi="Times New Roman" w:hint="eastAsia"/>
                <w:kern w:val="0"/>
                <w:sz w:val="18"/>
                <w:szCs w:val="20"/>
              </w:rPr>
              <w:t>7.7</w:t>
            </w:r>
            <w:r>
              <w:rPr>
                <w:rFonts w:ascii="宋体" w:hAnsi="Times New Roman"/>
                <w:kern w:val="0"/>
                <w:sz w:val="18"/>
                <w:szCs w:val="20"/>
              </w:rPr>
              <w:t> </w:t>
            </w:r>
            <w:r>
              <w:rPr>
                <w:rFonts w:ascii="宋体" w:hAnsi="Times New Roman" w:hint="eastAsia"/>
                <w:kern w:val="0"/>
                <w:sz w:val="18"/>
                <w:szCs w:val="20"/>
              </w:rPr>
              <w:t>kg。</w:t>
            </w:r>
          </w:p>
        </w:tc>
      </w:tr>
    </w:tbl>
    <w:p w:rsidR="000640BA" w:rsidRDefault="00167F57">
      <w:pPr>
        <w:spacing w:beforeLines="50" w:before="120" w:after="0" w:line="360" w:lineRule="auto"/>
        <w:ind w:firstLineChars="200" w:firstLine="482"/>
        <w:rPr>
          <w:rFonts w:ascii="宋体" w:eastAsia="宋体" w:hAnsi="宋体"/>
          <w:b/>
          <w:sz w:val="24"/>
          <w:szCs w:val="24"/>
        </w:rPr>
      </w:pPr>
      <w:r>
        <w:rPr>
          <w:rFonts w:ascii="宋体" w:eastAsia="宋体" w:hAnsi="宋体" w:hint="eastAsia"/>
          <w:b/>
          <w:sz w:val="24"/>
          <w:szCs w:val="24"/>
        </w:rPr>
        <w:t>2.4种苗类型</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目前，腰果育苗以嫁接育苗和高空压条为主，嫁接育苗主要用于生产中大量育苗，高空压条以种质圃繁育和采穗圃扩繁使用，因此，本标准涉及的种苗类型为嫁接苗。</w:t>
      </w:r>
    </w:p>
    <w:p w:rsidR="000640BA" w:rsidRDefault="00167F57">
      <w:pPr>
        <w:spacing w:beforeLines="50" w:before="120" w:after="0" w:line="360" w:lineRule="auto"/>
        <w:ind w:firstLineChars="200" w:firstLine="482"/>
        <w:rPr>
          <w:rFonts w:ascii="宋体" w:eastAsia="宋体" w:hAnsi="宋体"/>
          <w:b/>
          <w:sz w:val="24"/>
          <w:szCs w:val="24"/>
        </w:rPr>
      </w:pPr>
      <w:r>
        <w:rPr>
          <w:rFonts w:ascii="宋体" w:eastAsia="宋体" w:hAnsi="宋体" w:hint="eastAsia"/>
          <w:b/>
          <w:sz w:val="24"/>
          <w:szCs w:val="24"/>
        </w:rPr>
        <w:t>2.5砧木苗繁育</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2.5.1种子采集与调制</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采摘充分成熟、坚果饱满的新鲜壳腰果，去除果梨，晒干壳腰果，当种子。种子质量应符合NY/T 361的质量要求。砧木</w:t>
      </w:r>
      <w:proofErr w:type="gramStart"/>
      <w:r>
        <w:rPr>
          <w:rFonts w:ascii="宋体" w:eastAsia="宋体" w:hAnsi="宋体" w:hint="eastAsia"/>
          <w:sz w:val="24"/>
          <w:szCs w:val="24"/>
        </w:rPr>
        <w:t>苗选择</w:t>
      </w:r>
      <w:proofErr w:type="gramEnd"/>
      <w:r>
        <w:rPr>
          <w:rFonts w:ascii="宋体" w:eastAsia="宋体" w:hAnsi="宋体" w:hint="eastAsia"/>
          <w:sz w:val="24"/>
          <w:szCs w:val="24"/>
        </w:rPr>
        <w:t>本土</w:t>
      </w:r>
      <w:r>
        <w:rPr>
          <w:rFonts w:hint="eastAsia"/>
        </w:rPr>
        <w:t>植株健壮，长势旺盛，抗性优的</w:t>
      </w:r>
      <w:r>
        <w:rPr>
          <w:rFonts w:ascii="宋体" w:eastAsia="宋体" w:hAnsi="宋体" w:hint="eastAsia"/>
          <w:sz w:val="24"/>
          <w:szCs w:val="24"/>
        </w:rPr>
        <w:t>品种。</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2.5.2育苗容器及基质</w:t>
      </w:r>
    </w:p>
    <w:p w:rsidR="000640BA" w:rsidRDefault="00167F57">
      <w:pPr>
        <w:spacing w:beforeLines="50" w:before="120" w:after="0" w:line="360" w:lineRule="auto"/>
        <w:ind w:firstLineChars="200" w:firstLine="480"/>
        <w:rPr>
          <w:rFonts w:ascii="宋体" w:eastAsia="宋体" w:hAnsi="宋体"/>
          <w:sz w:val="24"/>
          <w:szCs w:val="24"/>
        </w:rPr>
      </w:pPr>
      <w:r>
        <w:rPr>
          <w:rFonts w:hAnsi="宋体" w:hint="eastAsia"/>
          <w:sz w:val="24"/>
          <w:szCs w:val="24"/>
        </w:rPr>
        <w:t>育</w:t>
      </w:r>
      <w:r>
        <w:rPr>
          <w:rFonts w:ascii="宋体" w:eastAsia="宋体" w:hAnsi="宋体" w:hint="eastAsia"/>
          <w:sz w:val="24"/>
          <w:szCs w:val="24"/>
        </w:rPr>
        <w:t>苗容器常用塑料或无纺布育苗袋（杯），一般容器高度≥25</w:t>
      </w:r>
      <w:r>
        <w:rPr>
          <w:rFonts w:ascii="宋体" w:eastAsia="宋体" w:hAnsi="宋体"/>
          <w:sz w:val="24"/>
          <w:szCs w:val="24"/>
        </w:rPr>
        <w:t> </w:t>
      </w:r>
      <w:r>
        <w:rPr>
          <w:rFonts w:ascii="宋体" w:eastAsia="宋体" w:hAnsi="宋体" w:hint="eastAsia"/>
          <w:sz w:val="24"/>
          <w:szCs w:val="24"/>
        </w:rPr>
        <w:t>cm、直径≥10</w:t>
      </w:r>
      <w:r>
        <w:rPr>
          <w:rFonts w:ascii="宋体" w:eastAsia="宋体" w:hAnsi="宋体"/>
          <w:sz w:val="24"/>
          <w:szCs w:val="24"/>
        </w:rPr>
        <w:t> </w:t>
      </w:r>
      <w:r>
        <w:rPr>
          <w:rFonts w:ascii="宋体" w:eastAsia="宋体" w:hAnsi="宋体" w:hint="eastAsia"/>
          <w:sz w:val="24"/>
          <w:szCs w:val="24"/>
        </w:rPr>
        <w:t>cm，腰果种苗生长势强，根系发达。</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lastRenderedPageBreak/>
        <w:t>一般以椰糠</w:t>
      </w:r>
      <w:proofErr w:type="gramStart"/>
      <w:r>
        <w:rPr>
          <w:rFonts w:ascii="宋体" w:eastAsia="宋体" w:hAnsi="宋体" w:hint="eastAsia"/>
          <w:sz w:val="24"/>
          <w:szCs w:val="24"/>
        </w:rPr>
        <w:t>或粗锯木屑</w:t>
      </w:r>
      <w:proofErr w:type="gramEnd"/>
      <w:r>
        <w:rPr>
          <w:rFonts w:ascii="宋体" w:eastAsia="宋体" w:hAnsi="宋体" w:hint="eastAsia"/>
          <w:sz w:val="24"/>
          <w:szCs w:val="24"/>
        </w:rPr>
        <w:t>、土壤或有机肥和适量的蛭石、珍珠岩等为育苗基质。根据调研和资料显示，基质配比和处理采用如下方式：椰糠</w:t>
      </w:r>
      <w:r>
        <w:rPr>
          <w:rFonts w:ascii="宋体" w:eastAsia="宋体" w:hAnsi="宋体"/>
          <w:sz w:val="24"/>
          <w:szCs w:val="24"/>
        </w:rPr>
        <w:t>30 %</w:t>
      </w:r>
      <w:r>
        <w:rPr>
          <w:rFonts w:ascii="宋体" w:eastAsia="宋体" w:hAnsi="宋体" w:hint="eastAsia"/>
          <w:sz w:val="24"/>
          <w:szCs w:val="24"/>
        </w:rPr>
        <w:t>、</w:t>
      </w:r>
      <w:r>
        <w:rPr>
          <w:rFonts w:ascii="宋体" w:eastAsia="宋体" w:hAnsi="宋体"/>
          <w:sz w:val="24"/>
          <w:szCs w:val="24"/>
        </w:rPr>
        <w:t>土壤40 %</w:t>
      </w:r>
      <w:r>
        <w:rPr>
          <w:rFonts w:ascii="宋体" w:eastAsia="宋体" w:hAnsi="宋体" w:hint="eastAsia"/>
          <w:sz w:val="24"/>
          <w:szCs w:val="24"/>
        </w:rPr>
        <w:t>、</w:t>
      </w:r>
      <w:r>
        <w:rPr>
          <w:rFonts w:ascii="宋体" w:eastAsia="宋体" w:hAnsi="宋体"/>
          <w:sz w:val="24"/>
          <w:szCs w:val="24"/>
        </w:rPr>
        <w:t>蛭石/珍珠岩30 %，拌匀配成营养土，装袋时用50 %多菌灵500 </w:t>
      </w:r>
      <w:proofErr w:type="gramStart"/>
      <w:r>
        <w:rPr>
          <w:rFonts w:ascii="宋体" w:eastAsia="宋体" w:hAnsi="宋体" w:hint="eastAsia"/>
          <w:sz w:val="24"/>
          <w:szCs w:val="24"/>
        </w:rPr>
        <w:t>倍</w:t>
      </w:r>
      <w:proofErr w:type="gramEnd"/>
      <w:r>
        <w:rPr>
          <w:rFonts w:ascii="宋体" w:eastAsia="宋体" w:hAnsi="宋体" w:hint="eastAsia"/>
          <w:sz w:val="24"/>
          <w:szCs w:val="24"/>
        </w:rPr>
        <w:t>或</w:t>
      </w:r>
      <w:r>
        <w:rPr>
          <w:rFonts w:ascii="宋体" w:eastAsia="宋体" w:hAnsi="宋体"/>
          <w:sz w:val="24"/>
          <w:szCs w:val="24"/>
        </w:rPr>
        <w:t>30 %</w:t>
      </w:r>
      <w:proofErr w:type="gramStart"/>
      <w:r>
        <w:rPr>
          <w:rFonts w:ascii="宋体" w:eastAsia="宋体" w:hAnsi="宋体" w:hint="eastAsia"/>
          <w:sz w:val="24"/>
          <w:szCs w:val="24"/>
        </w:rPr>
        <w:t>甲霜恶霉灵</w:t>
      </w:r>
      <w:proofErr w:type="gramEnd"/>
      <w:r>
        <w:rPr>
          <w:rFonts w:ascii="宋体" w:eastAsia="宋体" w:hAnsi="宋体"/>
          <w:sz w:val="24"/>
          <w:szCs w:val="24"/>
        </w:rPr>
        <w:t>800～1200 </w:t>
      </w:r>
      <w:proofErr w:type="gramStart"/>
      <w:r>
        <w:rPr>
          <w:rFonts w:ascii="宋体" w:eastAsia="宋体" w:hAnsi="宋体" w:hint="eastAsia"/>
          <w:sz w:val="24"/>
          <w:szCs w:val="24"/>
        </w:rPr>
        <w:t>倍</w:t>
      </w:r>
      <w:proofErr w:type="gramEnd"/>
      <w:r>
        <w:rPr>
          <w:rFonts w:ascii="宋体" w:eastAsia="宋体" w:hAnsi="宋体" w:hint="eastAsia"/>
          <w:sz w:val="24"/>
          <w:szCs w:val="24"/>
        </w:rPr>
        <w:t>液淋透基质消毒。</w:t>
      </w:r>
    </w:p>
    <w:p w:rsidR="000640BA" w:rsidRDefault="00167F57">
      <w:pPr>
        <w:spacing w:beforeLines="50" w:before="120" w:after="0" w:line="360" w:lineRule="auto"/>
        <w:ind w:firstLineChars="200" w:firstLine="480"/>
        <w:rPr>
          <w:rFonts w:hAnsi="宋体"/>
          <w:sz w:val="24"/>
          <w:szCs w:val="24"/>
        </w:rPr>
      </w:pPr>
      <w:r>
        <w:rPr>
          <w:rFonts w:hAnsi="宋体" w:hint="eastAsia"/>
          <w:sz w:val="24"/>
          <w:szCs w:val="24"/>
        </w:rPr>
        <w:t xml:space="preserve">2.5.3 </w:t>
      </w:r>
      <w:r>
        <w:rPr>
          <w:rFonts w:hAnsi="宋体" w:hint="eastAsia"/>
          <w:sz w:val="24"/>
          <w:szCs w:val="24"/>
        </w:rPr>
        <w:t>砧木苗繁育及管理</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腰果种子在播种前用50</w:t>
      </w:r>
      <w:r>
        <w:rPr>
          <w:rFonts w:ascii="宋体" w:eastAsia="宋体" w:hAnsi="宋体"/>
          <w:sz w:val="24"/>
          <w:szCs w:val="24"/>
        </w:rPr>
        <w:t> </w:t>
      </w:r>
      <w:r>
        <w:rPr>
          <w:rFonts w:ascii="宋体" w:eastAsia="宋体" w:hAnsi="宋体" w:hint="eastAsia"/>
          <w:sz w:val="24"/>
          <w:szCs w:val="24"/>
        </w:rPr>
        <w:t>%多菌灵3000倍液浸泡1d</w:t>
      </w:r>
      <w:r>
        <w:rPr>
          <w:rFonts w:ascii="宋体" w:eastAsia="宋体" w:hAnsi="宋体"/>
          <w:sz w:val="24"/>
          <w:szCs w:val="24"/>
        </w:rPr>
        <w:t> </w:t>
      </w:r>
      <w:r>
        <w:rPr>
          <w:rFonts w:ascii="宋体" w:eastAsia="宋体" w:hAnsi="宋体" w:hint="eastAsia"/>
          <w:sz w:val="24"/>
          <w:szCs w:val="24"/>
        </w:rPr>
        <w:t>，捞出用清水清洗两遍后，将洗净的种子排放在20.0</w:t>
      </w:r>
      <w:r>
        <w:rPr>
          <w:rFonts w:ascii="宋体" w:eastAsia="宋体" w:hAnsi="宋体"/>
          <w:sz w:val="24"/>
          <w:szCs w:val="24"/>
        </w:rPr>
        <w:t> </w:t>
      </w:r>
      <w:r>
        <w:rPr>
          <w:rFonts w:ascii="宋体" w:eastAsia="宋体" w:hAnsi="宋体" w:hint="eastAsia"/>
          <w:sz w:val="24"/>
          <w:szCs w:val="24"/>
        </w:rPr>
        <w:t>cm～30.0</w:t>
      </w:r>
      <w:r>
        <w:rPr>
          <w:rFonts w:ascii="宋体" w:eastAsia="宋体" w:hAnsi="宋体"/>
          <w:sz w:val="24"/>
          <w:szCs w:val="24"/>
        </w:rPr>
        <w:t> </w:t>
      </w:r>
      <w:r>
        <w:rPr>
          <w:rFonts w:ascii="宋体" w:eastAsia="宋体" w:hAnsi="宋体" w:hint="eastAsia"/>
          <w:sz w:val="24"/>
          <w:szCs w:val="24"/>
        </w:rPr>
        <w:t>cm高的沙床上，覆盖细沙2.0</w:t>
      </w:r>
      <w:r>
        <w:rPr>
          <w:rFonts w:ascii="宋体" w:eastAsia="宋体" w:hAnsi="宋体"/>
          <w:sz w:val="24"/>
          <w:szCs w:val="24"/>
        </w:rPr>
        <w:t> </w:t>
      </w:r>
      <w:r>
        <w:rPr>
          <w:rFonts w:ascii="宋体" w:eastAsia="宋体" w:hAnsi="宋体" w:hint="eastAsia"/>
          <w:sz w:val="24"/>
          <w:szCs w:val="24"/>
        </w:rPr>
        <w:t>cm～3.0</w:t>
      </w:r>
      <w:r>
        <w:rPr>
          <w:rFonts w:ascii="宋体" w:eastAsia="宋体" w:hAnsi="宋体"/>
          <w:sz w:val="24"/>
          <w:szCs w:val="24"/>
        </w:rPr>
        <w:t> </w:t>
      </w:r>
      <w:r>
        <w:rPr>
          <w:rFonts w:ascii="宋体" w:eastAsia="宋体" w:hAnsi="宋体" w:hint="eastAsia"/>
          <w:sz w:val="24"/>
          <w:szCs w:val="24"/>
        </w:rPr>
        <w:t>cm，盖草并充分淋水，注意保湿，待胚芽露出地面时即可移入育苗袋育苗。待腰果冒芽后，</w:t>
      </w:r>
      <w:proofErr w:type="gramStart"/>
      <w:r>
        <w:rPr>
          <w:rFonts w:ascii="宋体" w:eastAsia="宋体" w:hAnsi="宋体" w:hint="eastAsia"/>
          <w:sz w:val="24"/>
          <w:szCs w:val="24"/>
        </w:rPr>
        <w:t>用小挖铲在</w:t>
      </w:r>
      <w:proofErr w:type="gramEnd"/>
      <w:r>
        <w:rPr>
          <w:rFonts w:ascii="宋体" w:eastAsia="宋体" w:hAnsi="宋体" w:hint="eastAsia"/>
          <w:sz w:val="24"/>
          <w:szCs w:val="24"/>
        </w:rPr>
        <w:t>装满育苗基质的育苗容器中央挖开与腰果种子大小基本一致的小穴，将冒芽的腰果种子种进去。胚芽朝上，播种后淋透水。</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播种后注意经常保湿，以育苗基质有一半见白为界，干旱即要淋水。</w:t>
      </w:r>
      <w:proofErr w:type="gramStart"/>
      <w:r>
        <w:rPr>
          <w:rFonts w:ascii="宋体" w:eastAsia="宋体" w:hAnsi="宋体" w:hint="eastAsia"/>
          <w:sz w:val="24"/>
          <w:szCs w:val="24"/>
        </w:rPr>
        <w:t>出芽见</w:t>
      </w:r>
      <w:proofErr w:type="gramEnd"/>
      <w:r>
        <w:rPr>
          <w:rFonts w:ascii="宋体" w:eastAsia="宋体" w:hAnsi="宋体" w:hint="eastAsia"/>
          <w:sz w:val="24"/>
          <w:szCs w:val="24"/>
        </w:rPr>
        <w:t>叶后，可施薄粪水或1 %尿素溶液，每隔10 d～15 d</w:t>
      </w:r>
      <w:proofErr w:type="gramStart"/>
      <w:r>
        <w:rPr>
          <w:rFonts w:ascii="宋体" w:eastAsia="宋体" w:hAnsi="宋体" w:hint="eastAsia"/>
          <w:sz w:val="24"/>
          <w:szCs w:val="24"/>
        </w:rPr>
        <w:t>淋施一次</w:t>
      </w:r>
      <w:proofErr w:type="gramEnd"/>
      <w:r>
        <w:rPr>
          <w:rFonts w:ascii="宋体" w:eastAsia="宋体" w:hAnsi="宋体" w:hint="eastAsia"/>
          <w:sz w:val="24"/>
          <w:szCs w:val="24"/>
        </w:rPr>
        <w:t>，肥料浓度可逐次增加。在苗高30.0 cm ～40.0 cm 时打顶（图5），以促苗茎增粗生长，方便嫁接。在砧木苗繁育过程中，要及时除尽苗床、步道及棚内其余空间杂草。</w:t>
      </w:r>
    </w:p>
    <w:p w:rsidR="000640BA" w:rsidRDefault="00167F57">
      <w:pPr>
        <w:spacing w:beforeLines="50" w:before="120" w:after="0" w:line="360" w:lineRule="auto"/>
        <w:ind w:firstLineChars="200" w:firstLine="480"/>
        <w:jc w:val="center"/>
        <w:rPr>
          <w:rFonts w:hAnsi="宋体"/>
          <w:sz w:val="24"/>
          <w:szCs w:val="24"/>
        </w:rPr>
      </w:pPr>
      <w:r>
        <w:rPr>
          <w:rFonts w:hAnsi="宋体"/>
          <w:noProof/>
          <w:color w:val="FF0000"/>
          <w:sz w:val="24"/>
          <w:szCs w:val="24"/>
        </w:rPr>
        <w:drawing>
          <wp:inline distT="0" distB="0" distL="0" distR="0" wp14:anchorId="57F3E5EE" wp14:editId="42C8C58F">
            <wp:extent cx="1548765" cy="2207260"/>
            <wp:effectExtent l="0" t="0" r="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48765" cy="2207260"/>
                    </a:xfrm>
                    <a:prstGeom prst="rect">
                      <a:avLst/>
                    </a:prstGeom>
                    <a:noFill/>
                  </pic:spPr>
                </pic:pic>
              </a:graphicData>
            </a:graphic>
          </wp:inline>
        </w:drawing>
      </w:r>
      <w:r>
        <w:rPr>
          <w:rFonts w:hAnsi="宋体"/>
          <w:noProof/>
          <w:sz w:val="24"/>
          <w:szCs w:val="24"/>
        </w:rPr>
        <w:drawing>
          <wp:inline distT="0" distB="0" distL="0" distR="0" wp14:anchorId="2B4FE095" wp14:editId="3267819B">
            <wp:extent cx="1644650" cy="2197100"/>
            <wp:effectExtent l="0" t="0" r="0" b="0"/>
            <wp:docPr id="2758586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58690"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4650" cy="2197100"/>
                    </a:xfrm>
                    <a:prstGeom prst="rect">
                      <a:avLst/>
                    </a:prstGeom>
                    <a:noFill/>
                    <a:ln>
                      <a:noFill/>
                    </a:ln>
                  </pic:spPr>
                </pic:pic>
              </a:graphicData>
            </a:graphic>
          </wp:inline>
        </w:drawing>
      </w:r>
      <w:r>
        <w:rPr>
          <w:rFonts w:ascii="宋体" w:eastAsia="宋体" w:hAnsi="宋体" w:hint="eastAsia"/>
          <w:noProof/>
          <w:color w:val="FF0000"/>
          <w:sz w:val="24"/>
          <w:szCs w:val="24"/>
        </w:rPr>
        <w:drawing>
          <wp:inline distT="0" distB="0" distL="0" distR="0" wp14:anchorId="47E3EA1B" wp14:editId="0D98DCA3">
            <wp:extent cx="1737360" cy="2194560"/>
            <wp:effectExtent l="0" t="0" r="0" b="0"/>
            <wp:docPr id="6" name="图片 6" descr="C:\Users\Administrator\AppData\Local\Microsoft\Windows\INetCache\Content.Word\砧木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Microsoft\Windows\INetCache\Content.Word\砧木苗.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37360" cy="2194560"/>
                    </a:xfrm>
                    <a:prstGeom prst="rect">
                      <a:avLst/>
                    </a:prstGeom>
                    <a:noFill/>
                    <a:ln>
                      <a:noFill/>
                    </a:ln>
                  </pic:spPr>
                </pic:pic>
              </a:graphicData>
            </a:graphic>
          </wp:inline>
        </w:drawing>
      </w:r>
    </w:p>
    <w:p w:rsidR="000640BA" w:rsidRDefault="00167F57">
      <w:pPr>
        <w:spacing w:before="120" w:after="0" w:line="240" w:lineRule="auto"/>
        <w:jc w:val="center"/>
        <w:rPr>
          <w:rFonts w:ascii="宋体" w:eastAsia="宋体" w:hAnsi="宋体" w:cs="宋体"/>
          <w:b/>
          <w:kern w:val="0"/>
          <w:sz w:val="18"/>
          <w:szCs w:val="18"/>
        </w:rPr>
      </w:pPr>
      <w:r>
        <w:rPr>
          <w:rFonts w:ascii="宋体" w:eastAsia="宋体" w:hAnsi="宋体" w:cs="宋体" w:hint="eastAsia"/>
          <w:b/>
          <w:kern w:val="0"/>
          <w:sz w:val="18"/>
          <w:szCs w:val="18"/>
        </w:rPr>
        <w:t>图5 腰果砧木苗繁育</w:t>
      </w:r>
    </w:p>
    <w:p w:rsidR="000640BA" w:rsidRDefault="00167F57">
      <w:pPr>
        <w:spacing w:beforeLines="50" w:before="120" w:after="0" w:line="360" w:lineRule="auto"/>
        <w:ind w:firstLineChars="200" w:firstLine="482"/>
        <w:rPr>
          <w:rFonts w:ascii="宋体" w:eastAsia="宋体" w:hAnsi="宋体"/>
          <w:b/>
          <w:sz w:val="24"/>
          <w:szCs w:val="24"/>
        </w:rPr>
      </w:pPr>
      <w:r>
        <w:rPr>
          <w:rFonts w:ascii="宋体" w:eastAsia="宋体" w:hAnsi="宋体" w:hint="eastAsia"/>
          <w:b/>
          <w:sz w:val="24"/>
          <w:szCs w:val="24"/>
        </w:rPr>
        <w:t>2.6 嫁接育苗</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2.6.1 砧木准备及嫁接时期</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lastRenderedPageBreak/>
        <w:t>待砧木苗培育到径粗（离地面15cm 处）≥0.5 cm 时，即可嫁接。嫁接时间在每年3 月～6 月和8 月～11 月进行。</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2.6.2　穗条选择与处理</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从采穗圃或者优良品种母株上剪取生长健壮、老熟的当年生枝条作为接穗枝条。将枝条剪成10 cm～12cm的茎段（图6D），保有2～3个芽点，处理好的接穗放置在铺有洁净的、经消毒处理过的湿毛巾篮子里。剪取的接穗宜在当天嫁接完毕，未使用完的或嫁接地距离采穗圃较远，用消毒过的湿毛巾包裹，放在6 ℃～8 ℃冰箱冷藏，暂存期不应超过2 d。</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2.6.3 嫁接与管理</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（1）切砧木开芽接位：推荐使用</w:t>
      </w:r>
      <w:proofErr w:type="gramStart"/>
      <w:r>
        <w:rPr>
          <w:rFonts w:ascii="宋体" w:eastAsia="宋体" w:hAnsi="宋体" w:hint="eastAsia"/>
          <w:sz w:val="24"/>
          <w:szCs w:val="24"/>
        </w:rPr>
        <w:t>芽</w:t>
      </w:r>
      <w:proofErr w:type="gramEnd"/>
      <w:r>
        <w:rPr>
          <w:rFonts w:ascii="宋体" w:eastAsia="宋体" w:hAnsi="宋体" w:hint="eastAsia"/>
          <w:sz w:val="24"/>
          <w:szCs w:val="24"/>
        </w:rPr>
        <w:t>嫁接的方法。在砧木离地面10.0 cm～15.0 cm处剪断（图6C），用利刀沿主干中心垂直纵切一刀，深度1.5 cm～2.5 cm。</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（2）削接穗：选与砧木粗度基本一致的接穗，用利刀削</w:t>
      </w:r>
      <w:proofErr w:type="gramStart"/>
      <w:r>
        <w:rPr>
          <w:rFonts w:ascii="宋体" w:eastAsia="宋体" w:hAnsi="宋体" w:hint="eastAsia"/>
          <w:sz w:val="24"/>
          <w:szCs w:val="24"/>
        </w:rPr>
        <w:t>契</w:t>
      </w:r>
      <w:proofErr w:type="gramEnd"/>
      <w:r>
        <w:rPr>
          <w:rFonts w:ascii="宋体" w:eastAsia="宋体" w:hAnsi="宋体" w:hint="eastAsia"/>
          <w:sz w:val="24"/>
          <w:szCs w:val="24"/>
        </w:rPr>
        <w:t>形斜面，保留2～3个芽点。</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（3）安放接穗：将切削好的接穗轻轻插入砧木切口，至少保证接穗一侧的形成层与砧木对齐。</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（4）绑带绑缚：用嫁接绑带自下而上覆瓦状绑紧，圈与圈之间重叠1/3左右，缠绕包扎至接穗</w:t>
      </w:r>
      <w:proofErr w:type="gramStart"/>
      <w:r>
        <w:rPr>
          <w:rFonts w:ascii="宋体" w:eastAsia="宋体" w:hAnsi="宋体" w:hint="eastAsia"/>
          <w:sz w:val="24"/>
          <w:szCs w:val="24"/>
        </w:rPr>
        <w:t>芽</w:t>
      </w:r>
      <w:proofErr w:type="gramEnd"/>
      <w:r>
        <w:rPr>
          <w:rFonts w:ascii="宋体" w:eastAsia="宋体" w:hAnsi="宋体" w:hint="eastAsia"/>
          <w:sz w:val="24"/>
          <w:szCs w:val="24"/>
        </w:rPr>
        <w:t>顶端，最后一圈略高于切口顶部，使其封闭良好。绑扎松紧适宜，以避免雨水进入而影响愈合，提高成活率（图6A）。</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（5）解绑：嫁接成活后幼芽可自行顶破薄膜生长。在嫁接后30 d～50 d，</w:t>
      </w:r>
      <w:proofErr w:type="gramStart"/>
      <w:r>
        <w:rPr>
          <w:rFonts w:ascii="宋体" w:eastAsia="宋体" w:hAnsi="宋体" w:hint="eastAsia"/>
          <w:sz w:val="24"/>
          <w:szCs w:val="24"/>
        </w:rPr>
        <w:t>第一蓬梢叶片</w:t>
      </w:r>
      <w:proofErr w:type="gramEnd"/>
      <w:r>
        <w:rPr>
          <w:rFonts w:ascii="宋体" w:eastAsia="宋体" w:hAnsi="宋体" w:hint="eastAsia"/>
          <w:sz w:val="24"/>
          <w:szCs w:val="24"/>
        </w:rPr>
        <w:t>稳定后解去残留的绑带。</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（6）</w:t>
      </w:r>
      <w:proofErr w:type="gramStart"/>
      <w:r>
        <w:rPr>
          <w:rFonts w:ascii="宋体" w:eastAsia="宋体" w:hAnsi="宋体" w:hint="eastAsia"/>
          <w:sz w:val="24"/>
          <w:szCs w:val="24"/>
        </w:rPr>
        <w:t>抹芽与除</w:t>
      </w:r>
      <w:proofErr w:type="gramEnd"/>
      <w:r>
        <w:rPr>
          <w:rFonts w:ascii="宋体" w:eastAsia="宋体" w:hAnsi="宋体" w:hint="eastAsia"/>
          <w:sz w:val="24"/>
          <w:szCs w:val="24"/>
        </w:rPr>
        <w:t>萌：嫁接后至出圃前,及时抹除砧木上的萌芽</w:t>
      </w:r>
      <w:proofErr w:type="gramStart"/>
      <w:r>
        <w:rPr>
          <w:rFonts w:ascii="宋体" w:eastAsia="宋体" w:hAnsi="宋体" w:hint="eastAsia"/>
          <w:sz w:val="24"/>
          <w:szCs w:val="24"/>
        </w:rPr>
        <w:t>及萌条</w:t>
      </w:r>
      <w:proofErr w:type="gramEnd"/>
      <w:r>
        <w:rPr>
          <w:rFonts w:ascii="宋体" w:eastAsia="宋体" w:hAnsi="宋体" w:hint="eastAsia"/>
          <w:sz w:val="24"/>
          <w:szCs w:val="24"/>
        </w:rPr>
        <w:t>（图6B）。</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（7）光照调节：腰果</w:t>
      </w:r>
      <w:proofErr w:type="gramStart"/>
      <w:r>
        <w:rPr>
          <w:rFonts w:ascii="宋体" w:eastAsia="宋体" w:hAnsi="宋体" w:hint="eastAsia"/>
          <w:sz w:val="24"/>
          <w:szCs w:val="24"/>
        </w:rPr>
        <w:t>嫁接苗应放在</w:t>
      </w:r>
      <w:proofErr w:type="gramEnd"/>
      <w:r>
        <w:rPr>
          <w:rFonts w:ascii="宋体" w:eastAsia="宋体" w:hAnsi="宋体" w:hint="eastAsia"/>
          <w:sz w:val="24"/>
          <w:szCs w:val="24"/>
        </w:rPr>
        <w:t>阴凉处10d～15d，以便顶芽发芽。嫁接后约15d接穗可能冒出芽。长芽的嫁接</w:t>
      </w:r>
      <w:proofErr w:type="gramStart"/>
      <w:r>
        <w:rPr>
          <w:rFonts w:ascii="宋体" w:eastAsia="宋体" w:hAnsi="宋体" w:hint="eastAsia"/>
          <w:sz w:val="24"/>
          <w:szCs w:val="24"/>
        </w:rPr>
        <w:t>苗可以</w:t>
      </w:r>
      <w:proofErr w:type="gramEnd"/>
      <w:r>
        <w:rPr>
          <w:rFonts w:ascii="宋体" w:eastAsia="宋体" w:hAnsi="宋体" w:hint="eastAsia"/>
          <w:sz w:val="24"/>
          <w:szCs w:val="24"/>
        </w:rPr>
        <w:t>再放15d～20d，以便长出新梢；长到5～7片叶时，天气晴朗时从前日16：00点至次日9：00点将遮阳网打开，增加光照，随着叶片数的增多，遮阳时间逐步缩短，阴雨天气完全撤除，持续至出圃。</w:t>
      </w:r>
      <w:proofErr w:type="gramStart"/>
      <w:r>
        <w:rPr>
          <w:rFonts w:ascii="宋体" w:eastAsia="宋体" w:hAnsi="宋体" w:hint="eastAsia"/>
          <w:sz w:val="24"/>
          <w:szCs w:val="24"/>
        </w:rPr>
        <w:t>嫁接苗将在</w:t>
      </w:r>
      <w:proofErr w:type="gramEnd"/>
      <w:r>
        <w:rPr>
          <w:rFonts w:ascii="宋体" w:eastAsia="宋体" w:hAnsi="宋体" w:hint="eastAsia"/>
          <w:sz w:val="24"/>
          <w:szCs w:val="24"/>
        </w:rPr>
        <w:t>户外再放3～4个</w:t>
      </w:r>
      <w:r>
        <w:rPr>
          <w:rFonts w:ascii="宋体" w:eastAsia="宋体" w:hAnsi="宋体" w:hint="eastAsia"/>
          <w:sz w:val="24"/>
          <w:szCs w:val="24"/>
        </w:rPr>
        <w:lastRenderedPageBreak/>
        <w:t>月，健康的嫁接</w:t>
      </w:r>
      <w:proofErr w:type="gramStart"/>
      <w:r>
        <w:rPr>
          <w:rFonts w:ascii="宋体" w:eastAsia="宋体" w:hAnsi="宋体" w:hint="eastAsia"/>
          <w:sz w:val="24"/>
          <w:szCs w:val="24"/>
        </w:rPr>
        <w:t>苗可能</w:t>
      </w:r>
      <w:proofErr w:type="gramEnd"/>
      <w:r>
        <w:rPr>
          <w:rFonts w:ascii="宋体" w:eastAsia="宋体" w:hAnsi="宋体" w:hint="eastAsia"/>
          <w:sz w:val="24"/>
          <w:szCs w:val="24"/>
        </w:rPr>
        <w:t>有10～15片完全发育成熟的叶子，基部茎粗3cm～4cm，高35cm～40cm。一般嫁接后3～4个月即可种植嫁接苗。</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（8）水分管理：根据天气、基质干湿和苗木大小生长等情况，适当淋水。嫁接成活至第二</w:t>
      </w:r>
      <w:proofErr w:type="gramStart"/>
      <w:r>
        <w:rPr>
          <w:rFonts w:ascii="宋体" w:eastAsia="宋体" w:hAnsi="宋体" w:hint="eastAsia"/>
          <w:sz w:val="24"/>
          <w:szCs w:val="24"/>
        </w:rPr>
        <w:t>蓬梢成熟</w:t>
      </w:r>
      <w:proofErr w:type="gramEnd"/>
      <w:r>
        <w:rPr>
          <w:rFonts w:ascii="宋体" w:eastAsia="宋体" w:hAnsi="宋体" w:hint="eastAsia"/>
          <w:sz w:val="24"/>
          <w:szCs w:val="24"/>
        </w:rPr>
        <w:t>阶段，遇旱每周灌水1～2次，一般容器内表层基质不干可不浇水。</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（9）养分管理：接穗萌发第一次新梢老熟后即可开始施肥。采用滴灌施肥，施用含</w:t>
      </w:r>
      <w:proofErr w:type="gramStart"/>
      <w:r>
        <w:rPr>
          <w:rFonts w:ascii="宋体" w:eastAsia="宋体" w:hAnsi="宋体" w:hint="eastAsia"/>
          <w:sz w:val="24"/>
          <w:szCs w:val="24"/>
        </w:rPr>
        <w:t>螯</w:t>
      </w:r>
      <w:proofErr w:type="gramEnd"/>
      <w:r>
        <w:rPr>
          <w:rFonts w:ascii="宋体" w:eastAsia="宋体" w:hAnsi="宋体" w:hint="eastAsia"/>
          <w:sz w:val="24"/>
          <w:szCs w:val="24"/>
        </w:rPr>
        <w:t>合微量元素的全水溶复合肥500～1000 PPM（N：P</w:t>
      </w:r>
      <w:r>
        <w:rPr>
          <w:rFonts w:ascii="宋体" w:eastAsia="宋体" w:hAnsi="宋体" w:hint="eastAsia"/>
          <w:sz w:val="24"/>
          <w:szCs w:val="24"/>
          <w:vertAlign w:val="subscript"/>
        </w:rPr>
        <w:t>2</w:t>
      </w:r>
      <w:r>
        <w:rPr>
          <w:rFonts w:ascii="宋体" w:eastAsia="宋体" w:hAnsi="宋体" w:hint="eastAsia"/>
          <w:sz w:val="24"/>
          <w:szCs w:val="24"/>
        </w:rPr>
        <w:t>O</w:t>
      </w:r>
      <w:r>
        <w:rPr>
          <w:rFonts w:ascii="宋体" w:eastAsia="宋体" w:hAnsi="宋体" w:hint="eastAsia"/>
          <w:sz w:val="24"/>
          <w:szCs w:val="24"/>
          <w:vertAlign w:val="subscript"/>
        </w:rPr>
        <w:t>5</w:t>
      </w:r>
      <w:r>
        <w:rPr>
          <w:rFonts w:ascii="宋体" w:eastAsia="宋体" w:hAnsi="宋体" w:hint="eastAsia"/>
          <w:sz w:val="24"/>
          <w:szCs w:val="24"/>
        </w:rPr>
        <w:t>：K</w:t>
      </w:r>
      <w:r>
        <w:rPr>
          <w:rFonts w:ascii="宋体" w:eastAsia="宋体" w:hAnsi="宋体" w:hint="eastAsia"/>
          <w:sz w:val="24"/>
          <w:szCs w:val="24"/>
          <w:vertAlign w:val="subscript"/>
        </w:rPr>
        <w:t>2</w:t>
      </w:r>
      <w:r>
        <w:rPr>
          <w:rFonts w:ascii="宋体" w:eastAsia="宋体" w:hAnsi="宋体" w:hint="eastAsia"/>
          <w:sz w:val="24"/>
          <w:szCs w:val="24"/>
        </w:rPr>
        <w:t>O=5：2：2），每月施肥2～3次；每15d喷施一次含氨基酸和微量元素的叶面肥。</w:t>
      </w:r>
    </w:p>
    <w:p w:rsidR="000640BA" w:rsidRDefault="00167F57">
      <w:pPr>
        <w:spacing w:beforeLines="50" w:before="120" w:after="0" w:line="360" w:lineRule="auto"/>
        <w:ind w:firstLineChars="200" w:firstLine="480"/>
        <w:jc w:val="center"/>
        <w:rPr>
          <w:rFonts w:ascii="宋体" w:eastAsia="宋体" w:hAnsi="宋体"/>
          <w:color w:val="FF0000"/>
          <w:sz w:val="24"/>
          <w:szCs w:val="24"/>
        </w:rPr>
      </w:pPr>
      <w:r>
        <w:rPr>
          <w:rFonts w:hAnsi="宋体"/>
          <w:noProof/>
          <w:sz w:val="24"/>
          <w:szCs w:val="24"/>
        </w:rPr>
        <w:drawing>
          <wp:inline distT="0" distB="0" distL="0" distR="0" wp14:anchorId="3C550FFD" wp14:editId="26532E49">
            <wp:extent cx="1754505" cy="2339975"/>
            <wp:effectExtent l="0" t="0" r="0" b="3175"/>
            <wp:docPr id="5" name="图片 5" descr="QQ图片2019080916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908091626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55000" cy="2340000"/>
                    </a:xfrm>
                    <a:prstGeom prst="rect">
                      <a:avLst/>
                    </a:prstGeom>
                    <a:noFill/>
                    <a:ln>
                      <a:noFill/>
                    </a:ln>
                  </pic:spPr>
                </pic:pic>
              </a:graphicData>
            </a:graphic>
          </wp:inline>
        </w:drawing>
      </w:r>
      <w:r w:rsidR="002965E2">
        <w:rPr>
          <w:rFonts w:ascii="宋体" w:eastAsia="宋体" w:hAnsi="宋体" w:hint="eastAsia"/>
          <w:noProof/>
          <w:color w:val="FF0000"/>
          <w:sz w:val="24"/>
          <w:szCs w:val="24"/>
        </w:rPr>
        <w:t xml:space="preserve"> </w:t>
      </w:r>
      <w:r w:rsidR="002965E2">
        <w:rPr>
          <w:rFonts w:ascii="宋体" w:eastAsia="宋体" w:hAnsi="宋体" w:hint="eastAsia"/>
          <w:noProof/>
          <w:color w:val="FF0000"/>
          <w:sz w:val="24"/>
          <w:szCs w:val="24"/>
        </w:rPr>
        <w:drawing>
          <wp:inline distT="0" distB="0" distL="0" distR="0" wp14:anchorId="1BF377C4" wp14:editId="66465146">
            <wp:extent cx="1836420" cy="2341245"/>
            <wp:effectExtent l="0" t="0" r="0" b="1905"/>
            <wp:docPr id="8" name="图片 8" descr="C:\Users\Administrator\AppData\Local\Microsoft\Windows\INetCache\Content.Word\嫁接后管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Microsoft\Windows\INetCache\Content.Word\嫁接后管理.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35000" cy="2340000"/>
                    </a:xfrm>
                    <a:prstGeom prst="rect">
                      <a:avLst/>
                    </a:prstGeom>
                    <a:noFill/>
                    <a:ln>
                      <a:noFill/>
                    </a:ln>
                  </pic:spPr>
                </pic:pic>
              </a:graphicData>
            </a:graphic>
          </wp:inline>
        </w:drawing>
      </w:r>
    </w:p>
    <w:p w:rsidR="000640BA" w:rsidRDefault="00167F57">
      <w:pPr>
        <w:spacing w:beforeLines="50" w:before="120" w:after="0" w:line="360" w:lineRule="auto"/>
        <w:ind w:firstLineChars="1400" w:firstLine="2520"/>
        <w:rPr>
          <w:rFonts w:ascii="宋体" w:eastAsia="宋体" w:hAnsi="宋体"/>
          <w:sz w:val="18"/>
          <w:szCs w:val="24"/>
        </w:rPr>
      </w:pPr>
      <w:r>
        <w:rPr>
          <w:rFonts w:ascii="宋体" w:eastAsia="宋体" w:hAnsi="宋体" w:hint="eastAsia"/>
          <w:sz w:val="18"/>
          <w:szCs w:val="24"/>
        </w:rPr>
        <w:t>A、嫁接时捆绑方式           B嫁接后分芽生长情况</w:t>
      </w:r>
    </w:p>
    <w:p w:rsidR="000640BA" w:rsidRDefault="00167F57">
      <w:pPr>
        <w:spacing w:beforeLines="50" w:before="120" w:after="0" w:line="360" w:lineRule="auto"/>
        <w:ind w:firstLineChars="200" w:firstLine="480"/>
        <w:jc w:val="center"/>
        <w:rPr>
          <w:rFonts w:ascii="宋体" w:eastAsia="宋体" w:hAnsi="宋体"/>
          <w:color w:val="FF0000"/>
          <w:sz w:val="24"/>
          <w:szCs w:val="24"/>
        </w:rPr>
      </w:pPr>
      <w:r>
        <w:rPr>
          <w:rFonts w:ascii="宋体" w:eastAsia="宋体" w:hAnsi="宋体"/>
          <w:noProof/>
          <w:color w:val="FF0000"/>
          <w:sz w:val="24"/>
          <w:szCs w:val="24"/>
        </w:rPr>
        <w:drawing>
          <wp:inline distT="0" distB="0" distL="0" distR="0" wp14:anchorId="4423E670" wp14:editId="304C30C1">
            <wp:extent cx="1746250" cy="2349500"/>
            <wp:effectExtent l="0" t="0" r="0" b="0"/>
            <wp:docPr id="870763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6396" name="图片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746250" cy="2349500"/>
                    </a:xfrm>
                    <a:prstGeom prst="rect">
                      <a:avLst/>
                    </a:prstGeom>
                    <a:noFill/>
                    <a:ln>
                      <a:noFill/>
                    </a:ln>
                  </pic:spPr>
                </pic:pic>
              </a:graphicData>
            </a:graphic>
          </wp:inline>
        </w:drawing>
      </w:r>
      <w:r w:rsidR="002965E2">
        <w:rPr>
          <w:rFonts w:ascii="宋体" w:eastAsia="宋体" w:hAnsi="宋体" w:hint="eastAsia"/>
          <w:noProof/>
          <w:color w:val="FF0000"/>
          <w:sz w:val="24"/>
          <w:szCs w:val="24"/>
        </w:rPr>
        <w:t xml:space="preserve"> </w:t>
      </w:r>
      <w:r w:rsidR="002965E2">
        <w:rPr>
          <w:rFonts w:ascii="宋体" w:eastAsia="宋体" w:hAnsi="宋体" w:hint="eastAsia"/>
          <w:noProof/>
          <w:color w:val="FF0000"/>
          <w:sz w:val="24"/>
          <w:szCs w:val="24"/>
        </w:rPr>
        <w:drawing>
          <wp:inline distT="0" distB="0" distL="0" distR="0" wp14:anchorId="2EA8935C" wp14:editId="1429EAB8">
            <wp:extent cx="1750695" cy="2339975"/>
            <wp:effectExtent l="0" t="0" r="1905" b="3175"/>
            <wp:docPr id="7" name="图片 7" descr="C:\Users\Administrator\AppData\Local\Microsoft\Windows\INetCache\Content.Word\IMG_20190820_11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Microsoft\Windows\INetCache\Content.Word\IMG_20190820_11215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750730" cy="2340000"/>
                    </a:xfrm>
                    <a:prstGeom prst="rect">
                      <a:avLst/>
                    </a:prstGeom>
                    <a:noFill/>
                    <a:ln>
                      <a:noFill/>
                    </a:ln>
                  </pic:spPr>
                </pic:pic>
              </a:graphicData>
            </a:graphic>
          </wp:inline>
        </w:drawing>
      </w:r>
    </w:p>
    <w:p w:rsidR="000640BA" w:rsidRDefault="00167F57">
      <w:pPr>
        <w:spacing w:beforeLines="50" w:before="120" w:after="0" w:line="360" w:lineRule="auto"/>
        <w:ind w:firstLineChars="1800" w:firstLine="3240"/>
        <w:rPr>
          <w:rFonts w:ascii="宋体" w:eastAsia="宋体" w:hAnsi="宋体"/>
          <w:sz w:val="18"/>
          <w:szCs w:val="24"/>
        </w:rPr>
      </w:pPr>
      <w:r>
        <w:rPr>
          <w:rFonts w:ascii="宋体" w:eastAsia="宋体" w:hAnsi="宋体" w:hint="eastAsia"/>
          <w:sz w:val="18"/>
          <w:szCs w:val="24"/>
        </w:rPr>
        <w:t>C、嫁接高度              D、接穗长度</w:t>
      </w:r>
    </w:p>
    <w:p w:rsidR="000640BA" w:rsidRDefault="00167F57">
      <w:pPr>
        <w:spacing w:before="120" w:after="0" w:line="240" w:lineRule="auto"/>
        <w:jc w:val="center"/>
        <w:rPr>
          <w:rFonts w:ascii="宋体" w:eastAsia="宋体" w:hAnsi="宋体" w:cs="宋体"/>
          <w:b/>
          <w:kern w:val="0"/>
          <w:sz w:val="18"/>
          <w:szCs w:val="18"/>
        </w:rPr>
      </w:pPr>
      <w:r>
        <w:rPr>
          <w:rFonts w:ascii="宋体" w:eastAsia="宋体" w:hAnsi="宋体" w:cs="宋体" w:hint="eastAsia"/>
          <w:b/>
          <w:kern w:val="0"/>
          <w:sz w:val="18"/>
          <w:szCs w:val="18"/>
        </w:rPr>
        <w:t>图6 腰果嫁接苗嫁接情况</w:t>
      </w:r>
    </w:p>
    <w:p w:rsidR="000640BA" w:rsidRDefault="00167F57">
      <w:pPr>
        <w:spacing w:beforeLines="50" w:before="120" w:after="0" w:line="360" w:lineRule="auto"/>
        <w:ind w:firstLineChars="200" w:firstLine="482"/>
        <w:rPr>
          <w:rFonts w:ascii="宋体" w:eastAsia="宋体" w:hAnsi="宋体"/>
          <w:b/>
          <w:sz w:val="24"/>
          <w:szCs w:val="24"/>
        </w:rPr>
      </w:pPr>
      <w:r>
        <w:rPr>
          <w:rFonts w:ascii="宋体" w:eastAsia="宋体" w:hAnsi="宋体" w:hint="eastAsia"/>
          <w:b/>
          <w:sz w:val="24"/>
          <w:szCs w:val="24"/>
        </w:rPr>
        <w:lastRenderedPageBreak/>
        <w:t>2.7 病虫害防治</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经调查和资料查询，接穗萌芽展叶后，要注意防止</w:t>
      </w:r>
      <w:proofErr w:type="gramStart"/>
      <w:r>
        <w:rPr>
          <w:rFonts w:ascii="宋体" w:eastAsia="宋体" w:hAnsi="宋体" w:hint="eastAsia"/>
          <w:sz w:val="24"/>
          <w:szCs w:val="24"/>
        </w:rPr>
        <w:t>蓟</w:t>
      </w:r>
      <w:proofErr w:type="gramEnd"/>
      <w:r>
        <w:rPr>
          <w:rFonts w:ascii="宋体" w:eastAsia="宋体" w:hAnsi="宋体" w:hint="eastAsia"/>
          <w:sz w:val="24"/>
          <w:szCs w:val="24"/>
        </w:rPr>
        <w:t>马、毒</w:t>
      </w:r>
      <w:r w:rsidRPr="00395665">
        <w:rPr>
          <w:rFonts w:ascii="宋体" w:eastAsia="宋体" w:hAnsi="宋体" w:hint="eastAsia"/>
          <w:sz w:val="24"/>
          <w:szCs w:val="24"/>
        </w:rPr>
        <w:t>蛾</w:t>
      </w:r>
      <w:r>
        <w:rPr>
          <w:rFonts w:ascii="宋体" w:eastAsia="宋体" w:hAnsi="宋体" w:hint="eastAsia"/>
          <w:sz w:val="24"/>
          <w:szCs w:val="24"/>
        </w:rPr>
        <w:t>等害虫危害嫩梢嫩叶（图7A-</w:t>
      </w:r>
      <w:r w:rsidR="002965E2">
        <w:rPr>
          <w:rFonts w:ascii="宋体" w:eastAsia="宋体" w:hAnsi="宋体" w:hint="eastAsia"/>
          <w:sz w:val="24"/>
          <w:szCs w:val="24"/>
        </w:rPr>
        <w:t>B</w:t>
      </w:r>
      <w:r>
        <w:rPr>
          <w:rFonts w:ascii="宋体" w:eastAsia="宋体" w:hAnsi="宋体" w:hint="eastAsia"/>
          <w:sz w:val="24"/>
          <w:szCs w:val="24"/>
        </w:rPr>
        <w:t>）；苗期的病害主要有腰果</w:t>
      </w:r>
      <w:r w:rsidR="002965E2">
        <w:rPr>
          <w:rFonts w:ascii="宋体" w:eastAsia="宋体" w:hAnsi="宋体" w:hint="eastAsia"/>
          <w:sz w:val="24"/>
          <w:szCs w:val="24"/>
        </w:rPr>
        <w:t>叶疫</w:t>
      </w:r>
      <w:r>
        <w:rPr>
          <w:rFonts w:ascii="宋体" w:eastAsia="宋体" w:hAnsi="宋体" w:hint="eastAsia"/>
          <w:sz w:val="24"/>
          <w:szCs w:val="24"/>
        </w:rPr>
        <w:t>病、腰果</w:t>
      </w:r>
      <w:r w:rsidR="002965E2">
        <w:rPr>
          <w:rFonts w:ascii="宋体" w:eastAsia="宋体" w:hAnsi="宋体" w:hint="eastAsia"/>
          <w:sz w:val="24"/>
          <w:szCs w:val="24"/>
        </w:rPr>
        <w:t>叶</w:t>
      </w:r>
      <w:r>
        <w:rPr>
          <w:rFonts w:ascii="宋体" w:eastAsia="宋体" w:hAnsi="宋体" w:hint="eastAsia"/>
          <w:sz w:val="24"/>
          <w:szCs w:val="24"/>
        </w:rPr>
        <w:t>炭疽病（图7D-F）。</w:t>
      </w:r>
    </w:p>
    <w:p w:rsidR="000640BA" w:rsidRDefault="00167F57">
      <w:pPr>
        <w:spacing w:beforeLines="50" w:before="120" w:after="0" w:line="360" w:lineRule="auto"/>
        <w:ind w:firstLineChars="200" w:firstLine="440"/>
        <w:rPr>
          <w:rFonts w:ascii="宋体" w:eastAsia="宋体" w:hAnsi="宋体" w:hint="eastAsia"/>
          <w:sz w:val="24"/>
          <w:szCs w:val="24"/>
        </w:rPr>
      </w:pPr>
      <w:r>
        <w:rPr>
          <w:noProof/>
        </w:rPr>
        <w:drawing>
          <wp:inline distT="0" distB="0" distL="114300" distR="114300" wp14:anchorId="2ABD96D9" wp14:editId="4650C405">
            <wp:extent cx="1853531" cy="1236784"/>
            <wp:effectExtent l="0" t="0" r="0" b="1905"/>
            <wp:docPr id="32772" name="Picture 4" descr="F:\photo\虫害\虫\茶蓑蛾\IMG_7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descr="F:\photo\虫害\虫\茶蓑蛾\IMG_7588.JPG"/>
                    <pic:cNvPicPr>
                      <a:picLocks noChangeAspect="1" noChangeArrowheads="1"/>
                    </pic:cNvPicPr>
                  </pic:nvPicPr>
                  <pic:blipFill>
                    <a:blip r:embed="rId36" cstate="print"/>
                    <a:srcRect/>
                    <a:stretch>
                      <a:fillRect/>
                    </a:stretch>
                  </pic:blipFill>
                  <pic:spPr>
                    <a:xfrm>
                      <a:off x="0" y="0"/>
                      <a:ext cx="1849519" cy="1234107"/>
                    </a:xfrm>
                    <a:prstGeom prst="rect">
                      <a:avLst/>
                    </a:prstGeom>
                    <a:noFill/>
                  </pic:spPr>
                </pic:pic>
              </a:graphicData>
            </a:graphic>
          </wp:inline>
        </w:drawing>
      </w:r>
      <w:r w:rsidR="002965E2">
        <w:rPr>
          <w:rFonts w:hint="eastAsia"/>
          <w:noProof/>
        </w:rPr>
        <w:t xml:space="preserve"> </w:t>
      </w:r>
      <w:r w:rsidR="002965E2">
        <w:rPr>
          <w:noProof/>
        </w:rPr>
        <w:drawing>
          <wp:inline distT="0" distB="0" distL="114300" distR="114300" wp14:anchorId="3D39B0C3" wp14:editId="693EF856">
            <wp:extent cx="1343351" cy="1237247"/>
            <wp:effectExtent l="0" t="0" r="9525" b="1270"/>
            <wp:docPr id="12" name="Picture 2" descr="IMG_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IMG_4704"/>
                    <pic:cNvPicPr>
                      <a:picLocks noChangeAspect="1" noChangeArrowheads="1"/>
                    </pic:cNvPicPr>
                  </pic:nvPicPr>
                  <pic:blipFill>
                    <a:blip r:embed="rId37" cstate="print"/>
                    <a:srcRect r="25350"/>
                    <a:stretch>
                      <a:fillRect/>
                    </a:stretch>
                  </pic:blipFill>
                  <pic:spPr>
                    <a:xfrm>
                      <a:off x="0" y="0"/>
                      <a:ext cx="1344777" cy="1238560"/>
                    </a:xfrm>
                    <a:prstGeom prst="rect">
                      <a:avLst/>
                    </a:prstGeom>
                    <a:noFill/>
                    <a:ln>
                      <a:noFill/>
                    </a:ln>
                  </pic:spPr>
                </pic:pic>
              </a:graphicData>
            </a:graphic>
          </wp:inline>
        </w:drawing>
      </w:r>
    </w:p>
    <w:p w:rsidR="002965E2" w:rsidRDefault="002965E2" w:rsidP="002965E2">
      <w:pPr>
        <w:spacing w:beforeLines="50" w:before="120" w:after="0" w:line="360" w:lineRule="auto"/>
        <w:ind w:firstLineChars="200" w:firstLine="440"/>
        <w:rPr>
          <w:rFonts w:ascii="宋体" w:eastAsia="宋体" w:hAnsi="宋体" w:hint="eastAsia"/>
          <w:sz w:val="24"/>
          <w:szCs w:val="24"/>
        </w:rPr>
      </w:pPr>
      <w:r>
        <w:rPr>
          <w:rFonts w:hint="eastAsia"/>
        </w:rPr>
        <w:t>A:</w:t>
      </w:r>
      <w:r>
        <w:rPr>
          <w:rFonts w:hint="eastAsia"/>
        </w:rPr>
        <w:t>毒蛾危害</w:t>
      </w:r>
    </w:p>
    <w:p w:rsidR="002965E2" w:rsidRDefault="00167F57">
      <w:pPr>
        <w:spacing w:beforeLines="50" w:before="120" w:after="0" w:line="360" w:lineRule="auto"/>
        <w:ind w:firstLineChars="200" w:firstLine="440"/>
        <w:rPr>
          <w:rFonts w:hint="eastAsia"/>
        </w:rPr>
      </w:pPr>
      <w:r>
        <w:rPr>
          <w:noProof/>
        </w:rPr>
        <w:drawing>
          <wp:inline distT="0" distB="0" distL="0" distR="0" wp14:anchorId="16D8D841" wp14:editId="17ECE2B9">
            <wp:extent cx="1308100" cy="1216660"/>
            <wp:effectExtent l="0" t="0" r="6350" b="2540"/>
            <wp:docPr id="1543779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79266"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308357" cy="1216800"/>
                    </a:xfrm>
                    <a:prstGeom prst="rect">
                      <a:avLst/>
                    </a:prstGeom>
                    <a:noFill/>
                    <a:ln>
                      <a:noFill/>
                    </a:ln>
                  </pic:spPr>
                </pic:pic>
              </a:graphicData>
            </a:graphic>
          </wp:inline>
        </w:drawing>
      </w:r>
      <w:r>
        <w:rPr>
          <w:noProof/>
        </w:rPr>
        <w:drawing>
          <wp:inline distT="0" distB="0" distL="0" distR="0" wp14:anchorId="75C29404" wp14:editId="44B5623A">
            <wp:extent cx="1824990" cy="1216660"/>
            <wp:effectExtent l="0" t="0" r="3810" b="2540"/>
            <wp:docPr id="8201786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78696" name="图片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825200" cy="1216800"/>
                    </a:xfrm>
                    <a:prstGeom prst="rect">
                      <a:avLst/>
                    </a:prstGeom>
                    <a:noFill/>
                    <a:ln>
                      <a:noFill/>
                    </a:ln>
                  </pic:spPr>
                </pic:pic>
              </a:graphicData>
            </a:graphic>
          </wp:inline>
        </w:drawing>
      </w:r>
      <w:r>
        <w:rPr>
          <w:noProof/>
        </w:rPr>
        <w:drawing>
          <wp:inline distT="0" distB="0" distL="0" distR="0" wp14:anchorId="7D861FD0" wp14:editId="1D7F591D">
            <wp:extent cx="1824990" cy="1216660"/>
            <wp:effectExtent l="0" t="0" r="3810" b="2540"/>
            <wp:docPr id="15471580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58069" name="图片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825200" cy="1216800"/>
                    </a:xfrm>
                    <a:prstGeom prst="rect">
                      <a:avLst/>
                    </a:prstGeom>
                    <a:noFill/>
                    <a:ln>
                      <a:noFill/>
                    </a:ln>
                  </pic:spPr>
                </pic:pic>
              </a:graphicData>
            </a:graphic>
          </wp:inline>
        </w:drawing>
      </w:r>
    </w:p>
    <w:p w:rsidR="000640BA" w:rsidRDefault="00167F57">
      <w:pPr>
        <w:spacing w:beforeLines="50" w:before="120" w:after="0" w:line="360" w:lineRule="auto"/>
        <w:ind w:firstLineChars="200" w:firstLine="440"/>
        <w:rPr>
          <w:rFonts w:hint="eastAsia"/>
        </w:rPr>
      </w:pPr>
      <w:r>
        <w:rPr>
          <w:rFonts w:hint="eastAsia"/>
        </w:rPr>
        <w:t>B:</w:t>
      </w:r>
      <w:proofErr w:type="gramStart"/>
      <w:r w:rsidR="002965E2">
        <w:rPr>
          <w:rFonts w:hint="eastAsia"/>
        </w:rPr>
        <w:t>蓟</w:t>
      </w:r>
      <w:proofErr w:type="gramEnd"/>
      <w:r w:rsidR="002965E2">
        <w:rPr>
          <w:rFonts w:hint="eastAsia"/>
        </w:rPr>
        <w:t>马危害</w:t>
      </w:r>
    </w:p>
    <w:p w:rsidR="002965E2" w:rsidRDefault="002965E2" w:rsidP="002965E2">
      <w:pPr>
        <w:spacing w:beforeLines="50" w:before="120" w:after="0" w:line="360" w:lineRule="auto"/>
        <w:ind w:firstLineChars="200" w:firstLine="440"/>
        <w:rPr>
          <w:rFonts w:ascii="宋体" w:eastAsia="宋体" w:hAnsi="宋体"/>
          <w:sz w:val="24"/>
          <w:szCs w:val="24"/>
        </w:rPr>
      </w:pPr>
      <w:r>
        <w:rPr>
          <w:noProof/>
        </w:rPr>
        <w:drawing>
          <wp:inline distT="0" distB="0" distL="0" distR="0" wp14:anchorId="49FEDCF3" wp14:editId="516F2D91">
            <wp:extent cx="1570892" cy="1296154"/>
            <wp:effectExtent l="0" t="0" r="0" b="0"/>
            <wp:docPr id="9427288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28847" name="图片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568350" cy="1294057"/>
                    </a:xfrm>
                    <a:prstGeom prst="rect">
                      <a:avLst/>
                    </a:prstGeom>
                    <a:noFill/>
                    <a:ln>
                      <a:noFill/>
                    </a:ln>
                  </pic:spPr>
                </pic:pic>
              </a:graphicData>
            </a:graphic>
          </wp:inline>
        </w:drawing>
      </w:r>
      <w:r>
        <w:rPr>
          <w:rFonts w:hint="eastAsia"/>
          <w:noProof/>
        </w:rPr>
        <w:t xml:space="preserve">   </w:t>
      </w:r>
      <w:r>
        <w:rPr>
          <w:noProof/>
        </w:rPr>
        <w:drawing>
          <wp:inline distT="0" distB="0" distL="114300" distR="114300" wp14:anchorId="313404F8" wp14:editId="33AF6A26">
            <wp:extent cx="1943100" cy="1295400"/>
            <wp:effectExtent l="0" t="0" r="0" b="0"/>
            <wp:docPr id="14339" name="Picture 3" descr="F:\photo\莫桑比克\病虫害调查\photos and ppt for training\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F:\photo\莫桑比克\病虫害调查\photos and ppt for training\29-2.JPG"/>
                    <pic:cNvPicPr>
                      <a:picLocks noChangeAspect="1" noChangeArrowheads="1"/>
                    </pic:cNvPicPr>
                  </pic:nvPicPr>
                  <pic:blipFill>
                    <a:blip r:embed="rId42" cstate="print"/>
                    <a:stretch>
                      <a:fillRect/>
                    </a:stretch>
                  </pic:blipFill>
                  <pic:spPr>
                    <a:xfrm>
                      <a:off x="0" y="0"/>
                      <a:ext cx="1944170" cy="1296113"/>
                    </a:xfrm>
                    <a:prstGeom prst="rect">
                      <a:avLst/>
                    </a:prstGeom>
                    <a:noFill/>
                    <a:ln>
                      <a:noFill/>
                    </a:ln>
                  </pic:spPr>
                </pic:pic>
              </a:graphicData>
            </a:graphic>
          </wp:inline>
        </w:drawing>
      </w:r>
    </w:p>
    <w:p w:rsidR="002965E2" w:rsidRDefault="002965E2" w:rsidP="002965E2">
      <w:pPr>
        <w:spacing w:beforeLines="50" w:before="120" w:after="0" w:line="360" w:lineRule="auto"/>
        <w:ind w:firstLineChars="200" w:firstLine="440"/>
      </w:pPr>
      <w:r>
        <w:rPr>
          <w:rFonts w:hint="eastAsia"/>
        </w:rPr>
        <w:t>（</w:t>
      </w:r>
      <w:r>
        <w:rPr>
          <w:rFonts w:hint="eastAsia"/>
        </w:rPr>
        <w:t>D:</w:t>
      </w:r>
      <w:r>
        <w:rPr>
          <w:rFonts w:hint="eastAsia"/>
        </w:rPr>
        <w:t>炭疽病危害）</w:t>
      </w:r>
      <w:r>
        <w:rPr>
          <w:rFonts w:hint="eastAsia"/>
        </w:rPr>
        <w:t xml:space="preserve">                            </w:t>
      </w:r>
      <w:r>
        <w:rPr>
          <w:rFonts w:hint="eastAsia"/>
        </w:rPr>
        <w:t>（</w:t>
      </w:r>
      <w:r>
        <w:rPr>
          <w:rFonts w:hint="eastAsia"/>
        </w:rPr>
        <w:t>E:</w:t>
      </w:r>
      <w:r>
        <w:rPr>
          <w:rFonts w:hint="eastAsia"/>
        </w:rPr>
        <w:t>叶疫病危害）</w:t>
      </w:r>
    </w:p>
    <w:p w:rsidR="000640BA" w:rsidRDefault="00167F57">
      <w:pPr>
        <w:spacing w:before="120" w:after="0" w:line="240" w:lineRule="auto"/>
        <w:jc w:val="center"/>
        <w:rPr>
          <w:rFonts w:ascii="宋体" w:eastAsia="宋体" w:hAnsi="宋体" w:cs="宋体"/>
          <w:b/>
          <w:kern w:val="0"/>
          <w:sz w:val="18"/>
          <w:szCs w:val="24"/>
        </w:rPr>
      </w:pPr>
      <w:r>
        <w:rPr>
          <w:rFonts w:ascii="宋体" w:eastAsia="宋体" w:hAnsi="宋体" w:cs="宋体" w:hint="eastAsia"/>
          <w:b/>
          <w:kern w:val="0"/>
          <w:sz w:val="18"/>
          <w:szCs w:val="24"/>
        </w:rPr>
        <w:t>图7 腰果常见病虫害表现症状</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常见的腰果苗期病虫害及药剂防治方法可按表3方法处理。</w:t>
      </w:r>
    </w:p>
    <w:p w:rsidR="000640BA" w:rsidRDefault="00167F57">
      <w:pPr>
        <w:spacing w:before="120" w:after="0" w:line="240" w:lineRule="auto"/>
        <w:jc w:val="center"/>
        <w:rPr>
          <w:rFonts w:ascii="宋体" w:eastAsia="宋体" w:hAnsi="宋体" w:cs="宋体"/>
          <w:b/>
          <w:kern w:val="0"/>
          <w:sz w:val="18"/>
          <w:szCs w:val="24"/>
        </w:rPr>
      </w:pPr>
      <w:r>
        <w:rPr>
          <w:rFonts w:ascii="宋体" w:eastAsia="宋体" w:hAnsi="宋体" w:cs="宋体" w:hint="eastAsia"/>
          <w:b/>
          <w:kern w:val="0"/>
          <w:sz w:val="18"/>
          <w:szCs w:val="24"/>
        </w:rPr>
        <w:t>表3 腰果苗期主要病虫害推荐药剂防治方法</w:t>
      </w:r>
    </w:p>
    <w:tbl>
      <w:tblPr>
        <w:tblStyle w:val="a8"/>
        <w:tblW w:w="979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646"/>
        <w:gridCol w:w="567"/>
        <w:gridCol w:w="3827"/>
        <w:gridCol w:w="3685"/>
        <w:gridCol w:w="1069"/>
      </w:tblGrid>
      <w:tr w:rsidR="000640BA" w:rsidTr="00395665">
        <w:trPr>
          <w:trHeight w:val="560"/>
          <w:tblHeader/>
          <w:jc w:val="center"/>
        </w:trPr>
        <w:tc>
          <w:tcPr>
            <w:tcW w:w="646" w:type="dxa"/>
            <w:tcBorders>
              <w:top w:val="single" w:sz="8" w:space="0" w:color="auto"/>
              <w:bottom w:val="single" w:sz="8" w:space="0" w:color="auto"/>
            </w:tcBorders>
            <w:shd w:val="clear" w:color="auto" w:fill="auto"/>
            <w:vAlign w:val="center"/>
          </w:tcPr>
          <w:p w:rsidR="000640BA" w:rsidRDefault="00167F57">
            <w:pPr>
              <w:pStyle w:val="ab"/>
              <w:rPr>
                <w:rFonts w:hAnsi="宋体"/>
                <w:szCs w:val="21"/>
              </w:rPr>
            </w:pPr>
            <w:r>
              <w:rPr>
                <w:rFonts w:hAnsi="宋体" w:hint="eastAsia"/>
                <w:szCs w:val="21"/>
              </w:rPr>
              <w:t>类别</w:t>
            </w:r>
          </w:p>
        </w:tc>
        <w:tc>
          <w:tcPr>
            <w:tcW w:w="567" w:type="dxa"/>
            <w:tcBorders>
              <w:top w:val="single" w:sz="8" w:space="0" w:color="auto"/>
              <w:bottom w:val="single" w:sz="8" w:space="0" w:color="auto"/>
            </w:tcBorders>
            <w:shd w:val="clear" w:color="auto" w:fill="auto"/>
            <w:vAlign w:val="center"/>
          </w:tcPr>
          <w:p w:rsidR="000640BA" w:rsidRDefault="00167F57">
            <w:pPr>
              <w:pStyle w:val="ab"/>
              <w:rPr>
                <w:rFonts w:hAnsi="宋体"/>
                <w:szCs w:val="21"/>
              </w:rPr>
            </w:pPr>
            <w:r>
              <w:rPr>
                <w:rFonts w:hAnsi="宋体" w:hint="eastAsia"/>
                <w:szCs w:val="21"/>
              </w:rPr>
              <w:t>名称</w:t>
            </w:r>
          </w:p>
        </w:tc>
        <w:tc>
          <w:tcPr>
            <w:tcW w:w="3827" w:type="dxa"/>
            <w:tcBorders>
              <w:top w:val="single" w:sz="8" w:space="0" w:color="auto"/>
              <w:bottom w:val="single" w:sz="8" w:space="0" w:color="auto"/>
            </w:tcBorders>
            <w:shd w:val="clear" w:color="auto" w:fill="auto"/>
            <w:vAlign w:val="center"/>
          </w:tcPr>
          <w:p w:rsidR="000640BA" w:rsidRDefault="00167F57">
            <w:pPr>
              <w:pStyle w:val="ab"/>
              <w:rPr>
                <w:rFonts w:hAnsi="宋体"/>
                <w:szCs w:val="21"/>
              </w:rPr>
            </w:pPr>
            <w:r>
              <w:rPr>
                <w:rFonts w:hAnsi="宋体" w:hint="eastAsia"/>
                <w:szCs w:val="21"/>
              </w:rPr>
              <w:t>病害特征</w:t>
            </w:r>
          </w:p>
        </w:tc>
        <w:tc>
          <w:tcPr>
            <w:tcW w:w="3685" w:type="dxa"/>
            <w:tcBorders>
              <w:top w:val="single" w:sz="8" w:space="0" w:color="auto"/>
              <w:bottom w:val="single" w:sz="8" w:space="0" w:color="auto"/>
            </w:tcBorders>
            <w:shd w:val="clear" w:color="auto" w:fill="auto"/>
            <w:vAlign w:val="center"/>
          </w:tcPr>
          <w:p w:rsidR="000640BA" w:rsidRDefault="00167F57">
            <w:pPr>
              <w:pStyle w:val="ab"/>
              <w:rPr>
                <w:rFonts w:hAnsi="宋体"/>
                <w:szCs w:val="21"/>
              </w:rPr>
            </w:pPr>
            <w:r>
              <w:rPr>
                <w:rFonts w:hAnsi="宋体" w:hint="eastAsia"/>
                <w:szCs w:val="21"/>
              </w:rPr>
              <w:t>防治方法</w:t>
            </w:r>
          </w:p>
        </w:tc>
        <w:tc>
          <w:tcPr>
            <w:tcW w:w="1069" w:type="dxa"/>
            <w:tcBorders>
              <w:top w:val="single" w:sz="8" w:space="0" w:color="auto"/>
              <w:bottom w:val="single" w:sz="8" w:space="0" w:color="auto"/>
            </w:tcBorders>
            <w:shd w:val="clear" w:color="auto" w:fill="auto"/>
            <w:vAlign w:val="center"/>
          </w:tcPr>
          <w:p w:rsidR="000640BA" w:rsidRDefault="00167F57">
            <w:pPr>
              <w:pStyle w:val="ab"/>
              <w:rPr>
                <w:rFonts w:hAnsi="宋体"/>
                <w:szCs w:val="21"/>
              </w:rPr>
            </w:pPr>
            <w:r>
              <w:rPr>
                <w:rFonts w:hAnsi="宋体" w:hint="eastAsia"/>
                <w:szCs w:val="21"/>
              </w:rPr>
              <w:t>注意事项</w:t>
            </w:r>
          </w:p>
        </w:tc>
      </w:tr>
      <w:tr w:rsidR="000640BA" w:rsidTr="00395665">
        <w:trPr>
          <w:trHeight w:val="581"/>
          <w:jc w:val="center"/>
        </w:trPr>
        <w:tc>
          <w:tcPr>
            <w:tcW w:w="646" w:type="dxa"/>
            <w:vMerge w:val="restart"/>
            <w:tcBorders>
              <w:top w:val="single" w:sz="8" w:space="0" w:color="auto"/>
            </w:tcBorders>
            <w:shd w:val="clear" w:color="auto" w:fill="auto"/>
            <w:vAlign w:val="center"/>
          </w:tcPr>
          <w:p w:rsidR="000640BA" w:rsidRDefault="00167F57">
            <w:pPr>
              <w:pStyle w:val="ab"/>
              <w:rPr>
                <w:rFonts w:hAnsi="宋体"/>
                <w:szCs w:val="21"/>
              </w:rPr>
            </w:pPr>
            <w:r>
              <w:rPr>
                <w:rFonts w:hAnsi="宋体" w:hint="eastAsia"/>
                <w:szCs w:val="21"/>
              </w:rPr>
              <w:t>病害</w:t>
            </w:r>
          </w:p>
        </w:tc>
        <w:tc>
          <w:tcPr>
            <w:tcW w:w="567" w:type="dxa"/>
            <w:tcBorders>
              <w:top w:val="single" w:sz="4" w:space="0" w:color="auto"/>
              <w:left w:val="single" w:sz="4" w:space="0" w:color="auto"/>
            </w:tcBorders>
            <w:shd w:val="clear" w:color="auto" w:fill="FFFFFF"/>
            <w:vAlign w:val="center"/>
          </w:tcPr>
          <w:p w:rsidR="000640BA" w:rsidRDefault="00167F57">
            <w:pPr>
              <w:pStyle w:val="ab"/>
              <w:rPr>
                <w:rFonts w:hAnsi="宋体"/>
                <w:szCs w:val="21"/>
              </w:rPr>
            </w:pPr>
            <w:r>
              <w:rPr>
                <w:rFonts w:hAnsi="宋体" w:hint="eastAsia"/>
                <w:szCs w:val="21"/>
              </w:rPr>
              <w:t>腰果</w:t>
            </w:r>
            <w:r>
              <w:rPr>
                <w:rFonts w:hint="eastAsia"/>
              </w:rPr>
              <w:t>叶疫病</w:t>
            </w:r>
          </w:p>
        </w:tc>
        <w:tc>
          <w:tcPr>
            <w:tcW w:w="3827" w:type="dxa"/>
            <w:tcBorders>
              <w:top w:val="single" w:sz="4" w:space="0" w:color="auto"/>
              <w:left w:val="single" w:sz="4" w:space="0" w:color="auto"/>
            </w:tcBorders>
            <w:shd w:val="clear" w:color="auto" w:fill="FFFFFF"/>
          </w:tcPr>
          <w:p w:rsidR="000640BA" w:rsidRDefault="00167F57">
            <w:pPr>
              <w:pStyle w:val="ab"/>
              <w:jc w:val="left"/>
              <w:rPr>
                <w:rFonts w:hAnsi="宋体"/>
                <w:szCs w:val="21"/>
              </w:rPr>
            </w:pPr>
            <w:r>
              <w:rPr>
                <w:rFonts w:hAnsi="宋体" w:hint="eastAsia"/>
                <w:szCs w:val="21"/>
              </w:rPr>
              <w:t>首要损害腰果树的叶片，实生苗和</w:t>
            </w:r>
            <w:proofErr w:type="gramStart"/>
            <w:r>
              <w:rPr>
                <w:rFonts w:hAnsi="宋体" w:hint="eastAsia"/>
                <w:szCs w:val="21"/>
              </w:rPr>
              <w:t>幼树叶</w:t>
            </w:r>
            <w:proofErr w:type="gramEnd"/>
            <w:r>
              <w:rPr>
                <w:rFonts w:hAnsi="宋体" w:hint="eastAsia"/>
                <w:szCs w:val="21"/>
              </w:rPr>
              <w:t>片最易发作，病害发作初期，在叶片生灰褐色至黑褐色圆形至不规则形病斑，后发展为叶尖枯或叶缘枯，严峻时叶片很多枯死，影响植株成长，叶柄</w:t>
            </w:r>
            <w:r>
              <w:rPr>
                <w:rFonts w:hAnsi="宋体" w:hint="eastAsia"/>
                <w:szCs w:val="21"/>
              </w:rPr>
              <w:lastRenderedPageBreak/>
              <w:t>有时也生部分褐斑，易引起落叶。</w:t>
            </w:r>
          </w:p>
        </w:tc>
        <w:tc>
          <w:tcPr>
            <w:tcW w:w="3685" w:type="dxa"/>
            <w:tcBorders>
              <w:top w:val="single" w:sz="4" w:space="0" w:color="auto"/>
              <w:left w:val="single" w:sz="4" w:space="0" w:color="auto"/>
            </w:tcBorders>
            <w:shd w:val="clear" w:color="auto" w:fill="FFFFFF"/>
          </w:tcPr>
          <w:p w:rsidR="000640BA" w:rsidRDefault="00167F57" w:rsidP="00395665">
            <w:pPr>
              <w:pStyle w:val="Other1"/>
              <w:ind w:firstLine="0"/>
              <w:jc w:val="left"/>
              <w:rPr>
                <w:szCs w:val="21"/>
              </w:rPr>
            </w:pPr>
            <w:r>
              <w:rPr>
                <w:rFonts w:cs="Times New Roman" w:hint="eastAsia"/>
                <w:kern w:val="0"/>
                <w:szCs w:val="21"/>
                <w:lang w:val="en-US" w:eastAsia="zh-CN" w:bidi="ar-SA"/>
              </w:rPr>
              <w:lastRenderedPageBreak/>
              <w:t>1.在多旱时节做好果园的排水作业，坚持园内适合的湿度。2.科学对果树修剪，进步通风透光性。3.在结合修剪，将病叶、老叶、落叶集</w:t>
            </w:r>
            <w:r>
              <w:rPr>
                <w:rFonts w:cs="Times New Roman" w:hint="eastAsia"/>
                <w:kern w:val="0"/>
                <w:szCs w:val="21"/>
                <w:lang w:val="en-US" w:eastAsia="zh-CN" w:bidi="ar-SA"/>
              </w:rPr>
              <w:lastRenderedPageBreak/>
              <w:t>中焚毁。并对果树增施有机肥、磷钾肥，增强树势。</w:t>
            </w:r>
          </w:p>
        </w:tc>
        <w:tc>
          <w:tcPr>
            <w:tcW w:w="1069" w:type="dxa"/>
            <w:tcBorders>
              <w:top w:val="single" w:sz="4" w:space="0" w:color="auto"/>
              <w:left w:val="single" w:sz="4" w:space="0" w:color="auto"/>
              <w:right w:val="single" w:sz="4" w:space="0" w:color="auto"/>
            </w:tcBorders>
            <w:shd w:val="clear" w:color="auto" w:fill="FFFFFF"/>
          </w:tcPr>
          <w:p w:rsidR="000640BA" w:rsidRDefault="00167F57">
            <w:pPr>
              <w:pStyle w:val="ab"/>
              <w:rPr>
                <w:rFonts w:hAnsi="宋体"/>
                <w:szCs w:val="21"/>
              </w:rPr>
            </w:pPr>
            <w:r>
              <w:rPr>
                <w:rFonts w:hAnsi="宋体" w:hint="eastAsia"/>
                <w:szCs w:val="21"/>
              </w:rPr>
              <w:lastRenderedPageBreak/>
              <w:t>做好预防，并对病株周围的基质进行消毒处</w:t>
            </w:r>
            <w:r>
              <w:rPr>
                <w:rFonts w:hAnsi="宋体" w:hint="eastAsia"/>
                <w:szCs w:val="21"/>
              </w:rPr>
              <w:lastRenderedPageBreak/>
              <w:t>理。</w:t>
            </w:r>
          </w:p>
        </w:tc>
      </w:tr>
      <w:tr w:rsidR="000640BA" w:rsidTr="00395665">
        <w:trPr>
          <w:trHeight w:val="581"/>
          <w:jc w:val="center"/>
        </w:trPr>
        <w:tc>
          <w:tcPr>
            <w:tcW w:w="646" w:type="dxa"/>
            <w:vMerge/>
            <w:shd w:val="clear" w:color="auto" w:fill="auto"/>
            <w:vAlign w:val="center"/>
          </w:tcPr>
          <w:p w:rsidR="000640BA" w:rsidRDefault="000640BA">
            <w:pPr>
              <w:pStyle w:val="ab"/>
              <w:rPr>
                <w:rFonts w:hAnsi="宋体"/>
                <w:szCs w:val="21"/>
              </w:rPr>
            </w:pPr>
          </w:p>
        </w:tc>
        <w:tc>
          <w:tcPr>
            <w:tcW w:w="567" w:type="dxa"/>
            <w:tcBorders>
              <w:top w:val="single" w:sz="4" w:space="0" w:color="auto"/>
              <w:left w:val="single" w:sz="4" w:space="0" w:color="auto"/>
              <w:right w:val="single" w:sz="4" w:space="0" w:color="auto"/>
            </w:tcBorders>
            <w:shd w:val="clear" w:color="auto" w:fill="FFFFFF"/>
            <w:vAlign w:val="center"/>
          </w:tcPr>
          <w:p w:rsidR="000640BA" w:rsidRDefault="00167F57">
            <w:pPr>
              <w:pStyle w:val="ab"/>
              <w:rPr>
                <w:rFonts w:hAnsi="宋体"/>
                <w:szCs w:val="21"/>
              </w:rPr>
            </w:pPr>
            <w:r>
              <w:rPr>
                <w:rFonts w:hAnsi="宋体" w:hint="eastAsia"/>
                <w:szCs w:val="21"/>
              </w:rPr>
              <w:t>腰果炭疽病</w:t>
            </w:r>
          </w:p>
        </w:tc>
        <w:tc>
          <w:tcPr>
            <w:tcW w:w="3827" w:type="dxa"/>
            <w:tcBorders>
              <w:top w:val="single" w:sz="4" w:space="0" w:color="auto"/>
              <w:left w:val="single" w:sz="4" w:space="0" w:color="auto"/>
            </w:tcBorders>
            <w:shd w:val="clear" w:color="auto" w:fill="FFFFFF"/>
          </w:tcPr>
          <w:p w:rsidR="000640BA" w:rsidRDefault="00167F57">
            <w:pPr>
              <w:pStyle w:val="ab"/>
              <w:jc w:val="left"/>
              <w:rPr>
                <w:rFonts w:hAnsi="宋体"/>
                <w:szCs w:val="21"/>
              </w:rPr>
            </w:pPr>
            <w:r>
              <w:rPr>
                <w:rFonts w:hAnsi="宋体" w:hint="eastAsia"/>
                <w:szCs w:val="21"/>
              </w:rPr>
              <w:t>幼苗茎基部或稍偏上部产生紫红至紫褐色条纹，后扩大成梭形病斑，稍凹陷，严重时失水纵裂，幼苗</w:t>
            </w:r>
            <w:proofErr w:type="gramStart"/>
            <w:r>
              <w:rPr>
                <w:rFonts w:hAnsi="宋体" w:hint="eastAsia"/>
                <w:szCs w:val="21"/>
              </w:rPr>
              <w:t>萎</w:t>
            </w:r>
            <w:proofErr w:type="gramEnd"/>
            <w:r>
              <w:rPr>
                <w:rFonts w:hAnsi="宋体" w:hint="eastAsia"/>
                <w:szCs w:val="21"/>
              </w:rPr>
              <w:t>倒死亡。潮湿时，病斑上产生桔红色粘物质（分生孢子）。叶部病斑呈不整圆形，易干枯开裂。</w:t>
            </w:r>
          </w:p>
        </w:tc>
        <w:tc>
          <w:tcPr>
            <w:tcW w:w="3685" w:type="dxa"/>
            <w:tcBorders>
              <w:top w:val="single" w:sz="4" w:space="0" w:color="auto"/>
              <w:left w:val="single" w:sz="4" w:space="0" w:color="auto"/>
            </w:tcBorders>
            <w:shd w:val="clear" w:color="auto" w:fill="FFFFFF"/>
          </w:tcPr>
          <w:p w:rsidR="000640BA" w:rsidRDefault="00167F57">
            <w:pPr>
              <w:pStyle w:val="ab"/>
              <w:jc w:val="left"/>
              <w:rPr>
                <w:rFonts w:hAnsi="宋体"/>
                <w:szCs w:val="21"/>
              </w:rPr>
            </w:pPr>
            <w:r>
              <w:rPr>
                <w:rFonts w:hAnsi="宋体" w:hint="eastAsia"/>
                <w:szCs w:val="21"/>
              </w:rPr>
              <w:t>可用50%多菌灵800倍液、70%甲基托布津1000倍液对准根茎部及叶片均匀喷雾，每隔2周喷施1次，连续2次～3次。</w:t>
            </w:r>
          </w:p>
        </w:tc>
        <w:tc>
          <w:tcPr>
            <w:tcW w:w="1069" w:type="dxa"/>
            <w:tcBorders>
              <w:top w:val="single" w:sz="4" w:space="0" w:color="auto"/>
              <w:left w:val="single" w:sz="4" w:space="0" w:color="auto"/>
              <w:right w:val="single" w:sz="4" w:space="0" w:color="auto"/>
            </w:tcBorders>
            <w:shd w:val="clear" w:color="auto" w:fill="FFFFFF"/>
          </w:tcPr>
          <w:p w:rsidR="000640BA" w:rsidRDefault="00167F57">
            <w:pPr>
              <w:pStyle w:val="Other1"/>
              <w:wordWrap/>
              <w:spacing w:after="0" w:line="240" w:lineRule="auto"/>
              <w:ind w:firstLine="0"/>
              <w:jc w:val="center"/>
              <w:rPr>
                <w:kern w:val="0"/>
                <w:szCs w:val="21"/>
              </w:rPr>
            </w:pPr>
            <w:r>
              <w:rPr>
                <w:rFonts w:hint="eastAsia"/>
                <w:kern w:val="0"/>
                <w:szCs w:val="21"/>
                <w:lang w:eastAsia="zh-CN"/>
              </w:rPr>
              <w:t>做好预防，及时挖掘病株并烧毁。</w:t>
            </w:r>
          </w:p>
        </w:tc>
      </w:tr>
      <w:tr w:rsidR="000640BA" w:rsidTr="00395665">
        <w:trPr>
          <w:trHeight w:val="560"/>
          <w:jc w:val="center"/>
        </w:trPr>
        <w:tc>
          <w:tcPr>
            <w:tcW w:w="646" w:type="dxa"/>
            <w:vMerge w:val="restart"/>
            <w:shd w:val="clear" w:color="auto" w:fill="auto"/>
            <w:vAlign w:val="center"/>
          </w:tcPr>
          <w:p w:rsidR="000640BA" w:rsidRDefault="00167F57">
            <w:pPr>
              <w:pStyle w:val="ab"/>
              <w:rPr>
                <w:rFonts w:hAnsi="宋体"/>
                <w:szCs w:val="21"/>
              </w:rPr>
            </w:pPr>
            <w:r>
              <w:rPr>
                <w:rFonts w:hAnsi="宋体" w:hint="eastAsia"/>
                <w:szCs w:val="21"/>
              </w:rPr>
              <w:t>虫害</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640BA" w:rsidRDefault="00167F57">
            <w:pPr>
              <w:pStyle w:val="ab"/>
              <w:rPr>
                <w:rFonts w:hAnsi="宋体"/>
                <w:szCs w:val="21"/>
              </w:rPr>
            </w:pPr>
            <w:r>
              <w:rPr>
                <w:rFonts w:hint="eastAsia"/>
              </w:rPr>
              <w:t>毒蛾</w:t>
            </w:r>
          </w:p>
        </w:tc>
        <w:tc>
          <w:tcPr>
            <w:tcW w:w="3827" w:type="dxa"/>
            <w:tcBorders>
              <w:top w:val="single" w:sz="4" w:space="0" w:color="auto"/>
              <w:left w:val="single" w:sz="4" w:space="0" w:color="auto"/>
              <w:bottom w:val="single" w:sz="4" w:space="0" w:color="auto"/>
            </w:tcBorders>
            <w:shd w:val="clear" w:color="auto" w:fill="FFFFFF"/>
          </w:tcPr>
          <w:p w:rsidR="000640BA" w:rsidRDefault="00167F57">
            <w:pPr>
              <w:pStyle w:val="ab"/>
              <w:jc w:val="left"/>
              <w:rPr>
                <w:rFonts w:hAnsi="宋体"/>
                <w:szCs w:val="21"/>
              </w:rPr>
            </w:pPr>
            <w:r>
              <w:rPr>
                <w:rFonts w:hint="eastAsia"/>
              </w:rPr>
              <w:t>苗期主要危害嫩叶、嫩梢。嫩叶危害会产生一个</w:t>
            </w:r>
            <w:proofErr w:type="gramStart"/>
            <w:r>
              <w:rPr>
                <w:rFonts w:hint="eastAsia"/>
              </w:rPr>
              <w:t>褐</w:t>
            </w:r>
            <w:proofErr w:type="gramEnd"/>
            <w:r>
              <w:rPr>
                <w:rFonts w:hint="eastAsia"/>
              </w:rPr>
              <w:t>红色的小点，逐渐扩大，随着时间的推移，点会变得中空，后期叶片会皱缩，生长缓慢。</w:t>
            </w:r>
          </w:p>
        </w:tc>
        <w:tc>
          <w:tcPr>
            <w:tcW w:w="3685" w:type="dxa"/>
            <w:tcBorders>
              <w:top w:val="single" w:sz="4" w:space="0" w:color="auto"/>
              <w:left w:val="single" w:sz="4" w:space="0" w:color="auto"/>
              <w:bottom w:val="single" w:sz="4" w:space="0" w:color="auto"/>
            </w:tcBorders>
            <w:shd w:val="clear" w:color="auto" w:fill="FFFFFF"/>
          </w:tcPr>
          <w:p w:rsidR="000640BA" w:rsidRDefault="00167F57">
            <w:pPr>
              <w:pStyle w:val="ab"/>
              <w:jc w:val="left"/>
              <w:rPr>
                <w:rFonts w:hAnsi="宋体"/>
                <w:szCs w:val="21"/>
              </w:rPr>
            </w:pPr>
            <w:r>
              <w:rPr>
                <w:rFonts w:hAnsi="宋体" w:hint="eastAsia"/>
                <w:szCs w:val="21"/>
              </w:rPr>
              <w:t>选择在上午6点～9点或下午5点后进行药剂防治；在嫩叶、嫩梢生长期采用5%高效</w:t>
            </w:r>
            <w:proofErr w:type="gramStart"/>
            <w:r>
              <w:rPr>
                <w:rFonts w:hAnsi="宋体" w:hint="eastAsia"/>
                <w:szCs w:val="21"/>
              </w:rPr>
              <w:t>氯氟氰菊酯</w:t>
            </w:r>
            <w:proofErr w:type="gramEnd"/>
            <w:r>
              <w:rPr>
                <w:rFonts w:hAnsi="宋体" w:hint="eastAsia"/>
                <w:szCs w:val="21"/>
              </w:rPr>
              <w:t>1200倍喷雾、5</w:t>
            </w:r>
            <w:r>
              <w:t> </w:t>
            </w:r>
            <w:r>
              <w:rPr>
                <w:rFonts w:hAnsi="宋体" w:hint="eastAsia"/>
                <w:szCs w:val="21"/>
              </w:rPr>
              <w:t>%</w:t>
            </w:r>
            <w:proofErr w:type="gramStart"/>
            <w:r>
              <w:rPr>
                <w:rFonts w:hAnsi="宋体" w:hint="eastAsia"/>
                <w:szCs w:val="21"/>
              </w:rPr>
              <w:t>啶</w:t>
            </w:r>
            <w:proofErr w:type="gramEnd"/>
            <w:r>
              <w:rPr>
                <w:rFonts w:hAnsi="宋体" w:hint="eastAsia"/>
                <w:szCs w:val="21"/>
              </w:rPr>
              <w:t>虫</w:t>
            </w:r>
            <w:proofErr w:type="gramStart"/>
            <w:r>
              <w:rPr>
                <w:rFonts w:hAnsi="宋体" w:hint="eastAsia"/>
                <w:szCs w:val="21"/>
              </w:rPr>
              <w:t>脒</w:t>
            </w:r>
            <w:proofErr w:type="gramEnd"/>
            <w:r>
              <w:rPr>
                <w:rFonts w:hAnsi="宋体" w:hint="eastAsia"/>
                <w:szCs w:val="21"/>
              </w:rPr>
              <w:t>600倍喷雾防治，每10</w:t>
            </w:r>
            <w:r>
              <w:t> </w:t>
            </w:r>
            <w:r>
              <w:rPr>
                <w:rFonts w:hAnsi="宋体" w:hint="eastAsia"/>
                <w:szCs w:val="21"/>
              </w:rPr>
              <w:t>d～15</w:t>
            </w:r>
            <w:r>
              <w:t> </w:t>
            </w:r>
            <w:r>
              <w:rPr>
                <w:rFonts w:hAnsi="宋体" w:hint="eastAsia"/>
                <w:szCs w:val="21"/>
              </w:rPr>
              <w:t>d 1次。</w:t>
            </w:r>
          </w:p>
        </w:tc>
        <w:tc>
          <w:tcPr>
            <w:tcW w:w="1069" w:type="dxa"/>
            <w:tcBorders>
              <w:top w:val="single" w:sz="4" w:space="0" w:color="auto"/>
              <w:left w:val="single" w:sz="4" w:space="0" w:color="auto"/>
              <w:bottom w:val="single" w:sz="4" w:space="0" w:color="auto"/>
              <w:right w:val="single" w:sz="4" w:space="0" w:color="auto"/>
            </w:tcBorders>
            <w:shd w:val="clear" w:color="auto" w:fill="FFFFFF"/>
          </w:tcPr>
          <w:p w:rsidR="000640BA" w:rsidRDefault="00167F57">
            <w:pPr>
              <w:pStyle w:val="ab"/>
              <w:rPr>
                <w:rFonts w:hAnsi="宋体"/>
                <w:szCs w:val="21"/>
              </w:rPr>
            </w:pPr>
            <w:r>
              <w:rPr>
                <w:rFonts w:hAnsi="宋体" w:hint="eastAsia"/>
                <w:szCs w:val="21"/>
              </w:rPr>
              <w:t>早预防、早发现、早防治。</w:t>
            </w:r>
          </w:p>
        </w:tc>
      </w:tr>
      <w:tr w:rsidR="000640BA" w:rsidTr="00395665">
        <w:trPr>
          <w:trHeight w:val="601"/>
          <w:jc w:val="center"/>
        </w:trPr>
        <w:tc>
          <w:tcPr>
            <w:tcW w:w="646" w:type="dxa"/>
            <w:vMerge/>
            <w:shd w:val="clear" w:color="auto" w:fill="auto"/>
            <w:vAlign w:val="center"/>
          </w:tcPr>
          <w:p w:rsidR="000640BA" w:rsidRDefault="000640BA">
            <w:pPr>
              <w:pStyle w:val="ab"/>
              <w:rPr>
                <w:rFonts w:hAnsi="宋体"/>
                <w:szCs w:val="21"/>
              </w:rPr>
            </w:pPr>
          </w:p>
        </w:tc>
        <w:tc>
          <w:tcPr>
            <w:tcW w:w="567" w:type="dxa"/>
            <w:shd w:val="clear" w:color="auto" w:fill="auto"/>
            <w:vAlign w:val="center"/>
          </w:tcPr>
          <w:p w:rsidR="000640BA" w:rsidRDefault="00167F57">
            <w:pPr>
              <w:pStyle w:val="ab"/>
              <w:rPr>
                <w:rFonts w:hAnsi="宋体"/>
                <w:szCs w:val="21"/>
              </w:rPr>
            </w:pPr>
            <w:proofErr w:type="gramStart"/>
            <w:r>
              <w:rPr>
                <w:rFonts w:hAnsi="宋体" w:hint="eastAsia"/>
                <w:szCs w:val="21"/>
              </w:rPr>
              <w:t>蓟</w:t>
            </w:r>
            <w:proofErr w:type="gramEnd"/>
            <w:r>
              <w:rPr>
                <w:rFonts w:hAnsi="宋体" w:hint="eastAsia"/>
                <w:szCs w:val="21"/>
              </w:rPr>
              <w:t>马</w:t>
            </w:r>
          </w:p>
        </w:tc>
        <w:tc>
          <w:tcPr>
            <w:tcW w:w="3827" w:type="dxa"/>
            <w:shd w:val="clear" w:color="auto" w:fill="auto"/>
          </w:tcPr>
          <w:p w:rsidR="000640BA" w:rsidRDefault="00167F57">
            <w:pPr>
              <w:pStyle w:val="ab"/>
              <w:jc w:val="left"/>
              <w:rPr>
                <w:rFonts w:hAnsi="宋体"/>
                <w:szCs w:val="21"/>
              </w:rPr>
            </w:pPr>
            <w:proofErr w:type="gramStart"/>
            <w:r>
              <w:rPr>
                <w:rFonts w:hAnsi="宋体" w:hint="eastAsia"/>
                <w:szCs w:val="21"/>
              </w:rPr>
              <w:t>蓟</w:t>
            </w:r>
            <w:proofErr w:type="gramEnd"/>
            <w:r>
              <w:rPr>
                <w:rFonts w:hAnsi="宋体" w:hint="eastAsia"/>
                <w:szCs w:val="21"/>
              </w:rPr>
              <w:t>马具有</w:t>
            </w:r>
            <w:proofErr w:type="gramStart"/>
            <w:r>
              <w:rPr>
                <w:rFonts w:hAnsi="宋体" w:hint="eastAsia"/>
                <w:szCs w:val="21"/>
              </w:rPr>
              <w:t>趋嫩性</w:t>
            </w:r>
            <w:proofErr w:type="gramEnd"/>
            <w:r>
              <w:rPr>
                <w:rFonts w:hAnsi="宋体" w:hint="eastAsia"/>
                <w:szCs w:val="21"/>
              </w:rPr>
              <w:t>，主要取食腰果幼苗的新梢、新叶、嫩芽、</w:t>
            </w:r>
            <w:proofErr w:type="gramStart"/>
            <w:r>
              <w:rPr>
                <w:rFonts w:hAnsi="宋体" w:hint="eastAsia"/>
                <w:szCs w:val="21"/>
              </w:rPr>
              <w:t>嫩茎等幼嫩</w:t>
            </w:r>
            <w:proofErr w:type="gramEnd"/>
            <w:r>
              <w:rPr>
                <w:rFonts w:hAnsi="宋体" w:hint="eastAsia"/>
                <w:szCs w:val="21"/>
              </w:rPr>
              <w:t>组织，嫩叶嫩梢变硬卷曲枯萎，叶面上有密集的小白点或长条状斑块，后期叶脉变黑褐色，受害嫩梢节间变短，生长缓慢。叶背面出现长条状或斑点状黄白、银灰色斑块，后期斑块失绿、黄枯、叶脉变黑褐色，叶片逐渐皱缩、干枯。</w:t>
            </w:r>
          </w:p>
        </w:tc>
        <w:tc>
          <w:tcPr>
            <w:tcW w:w="3685" w:type="dxa"/>
            <w:shd w:val="clear" w:color="auto" w:fill="auto"/>
          </w:tcPr>
          <w:p w:rsidR="000640BA" w:rsidRDefault="00167F57">
            <w:pPr>
              <w:pStyle w:val="Other1"/>
              <w:tabs>
                <w:tab w:val="left" w:pos="389"/>
              </w:tabs>
              <w:wordWrap/>
              <w:spacing w:after="0" w:line="240" w:lineRule="auto"/>
              <w:ind w:firstLine="0"/>
              <w:jc w:val="left"/>
              <w:rPr>
                <w:kern w:val="0"/>
                <w:szCs w:val="21"/>
                <w:lang w:eastAsia="zh-CN"/>
              </w:rPr>
            </w:pPr>
            <w:r>
              <w:rPr>
                <w:rFonts w:hint="eastAsia"/>
                <w:kern w:val="0"/>
                <w:szCs w:val="21"/>
                <w:lang w:eastAsia="zh-CN"/>
              </w:rPr>
              <w:t>1.蓟马具有趋蓝性，我们在大棚里面挂上蓝色的沾虫板，能够粘到很多的成虫；</w:t>
            </w:r>
          </w:p>
          <w:p w:rsidR="000640BA" w:rsidRDefault="00167F57">
            <w:pPr>
              <w:pStyle w:val="ab"/>
              <w:jc w:val="left"/>
              <w:rPr>
                <w:rFonts w:hAnsi="宋体"/>
                <w:szCs w:val="21"/>
              </w:rPr>
            </w:pPr>
            <w:r>
              <w:rPr>
                <w:rFonts w:hAnsi="宋体" w:hint="eastAsia"/>
                <w:szCs w:val="21"/>
              </w:rPr>
              <w:t>2.选择早晨或下午光线较弱的条件下进行药剂防治，采用10</w:t>
            </w:r>
            <w:r>
              <w:t> </w:t>
            </w:r>
            <w:r>
              <w:rPr>
                <w:rFonts w:hAnsi="宋体" w:hint="eastAsia"/>
                <w:szCs w:val="21"/>
              </w:rPr>
              <w:t>%</w:t>
            </w:r>
            <w:proofErr w:type="gramStart"/>
            <w:r>
              <w:rPr>
                <w:rFonts w:hAnsi="宋体" w:hint="eastAsia"/>
                <w:szCs w:val="21"/>
              </w:rPr>
              <w:t>吡</w:t>
            </w:r>
            <w:proofErr w:type="gramEnd"/>
            <w:r>
              <w:rPr>
                <w:rFonts w:hAnsi="宋体" w:hint="eastAsia"/>
                <w:szCs w:val="21"/>
              </w:rPr>
              <w:t>虫</w:t>
            </w:r>
            <w:proofErr w:type="gramStart"/>
            <w:r>
              <w:rPr>
                <w:rFonts w:hAnsi="宋体" w:hint="eastAsia"/>
                <w:szCs w:val="21"/>
              </w:rPr>
              <w:t>啉</w:t>
            </w:r>
            <w:proofErr w:type="gramEnd"/>
            <w:r>
              <w:rPr>
                <w:rFonts w:hAnsi="宋体" w:hint="eastAsia"/>
                <w:szCs w:val="21"/>
              </w:rPr>
              <w:t>可湿性粉剂（1000～1500）</w:t>
            </w:r>
            <w:proofErr w:type="gramStart"/>
            <w:r>
              <w:rPr>
                <w:rFonts w:hAnsi="宋体" w:hint="eastAsia"/>
                <w:szCs w:val="21"/>
              </w:rPr>
              <w:t>倍</w:t>
            </w:r>
            <w:proofErr w:type="gramEnd"/>
            <w:r>
              <w:rPr>
                <w:rFonts w:hAnsi="宋体" w:hint="eastAsia"/>
                <w:szCs w:val="21"/>
              </w:rPr>
              <w:t>、25</w:t>
            </w:r>
            <w:r>
              <w:t> </w:t>
            </w:r>
            <w:r>
              <w:rPr>
                <w:rFonts w:hAnsi="宋体" w:hint="eastAsia"/>
                <w:szCs w:val="21"/>
              </w:rPr>
              <w:t>%</w:t>
            </w:r>
            <w:proofErr w:type="gramStart"/>
            <w:r>
              <w:rPr>
                <w:rFonts w:hAnsi="宋体" w:hint="eastAsia"/>
                <w:szCs w:val="21"/>
              </w:rPr>
              <w:t>呋</w:t>
            </w:r>
            <w:proofErr w:type="gramEnd"/>
            <w:r>
              <w:rPr>
                <w:rFonts w:hAnsi="宋体" w:hint="eastAsia"/>
                <w:szCs w:val="21"/>
              </w:rPr>
              <w:t>虫胺可溶性粉剂（3000）</w:t>
            </w:r>
            <w:proofErr w:type="gramStart"/>
            <w:r>
              <w:rPr>
                <w:rFonts w:hAnsi="宋体" w:hint="eastAsia"/>
                <w:szCs w:val="21"/>
              </w:rPr>
              <w:t>倍</w:t>
            </w:r>
            <w:proofErr w:type="gramEnd"/>
            <w:r>
              <w:rPr>
                <w:rFonts w:hAnsi="宋体" w:hint="eastAsia"/>
                <w:szCs w:val="21"/>
              </w:rPr>
              <w:t>、4.5</w:t>
            </w:r>
            <w:r>
              <w:t> </w:t>
            </w:r>
            <w:r>
              <w:rPr>
                <w:rFonts w:hAnsi="宋体" w:hint="eastAsia"/>
                <w:szCs w:val="21"/>
              </w:rPr>
              <w:t>%高效</w:t>
            </w:r>
            <w:proofErr w:type="gramStart"/>
            <w:r>
              <w:rPr>
                <w:rFonts w:hAnsi="宋体" w:hint="eastAsia"/>
                <w:szCs w:val="21"/>
              </w:rPr>
              <w:t>氯氟氰菊酯</w:t>
            </w:r>
            <w:proofErr w:type="gramEnd"/>
            <w:r>
              <w:rPr>
                <w:rFonts w:hAnsi="宋体" w:hint="eastAsia"/>
                <w:szCs w:val="21"/>
              </w:rPr>
              <w:t>乳油（1000～2000）</w:t>
            </w:r>
            <w:proofErr w:type="gramStart"/>
            <w:r>
              <w:rPr>
                <w:rFonts w:hAnsi="宋体" w:hint="eastAsia"/>
                <w:szCs w:val="21"/>
              </w:rPr>
              <w:t>倍</w:t>
            </w:r>
            <w:proofErr w:type="gramEnd"/>
            <w:r>
              <w:rPr>
                <w:rFonts w:hAnsi="宋体" w:hint="eastAsia"/>
                <w:szCs w:val="21"/>
              </w:rPr>
              <w:t>液、5</w:t>
            </w:r>
            <w:r>
              <w:t> </w:t>
            </w:r>
            <w:r>
              <w:rPr>
                <w:rFonts w:hAnsi="宋体" w:hint="eastAsia"/>
                <w:szCs w:val="21"/>
              </w:rPr>
              <w:t>%</w:t>
            </w:r>
            <w:proofErr w:type="gramStart"/>
            <w:r>
              <w:rPr>
                <w:rFonts w:hAnsi="宋体" w:hint="eastAsia"/>
                <w:szCs w:val="21"/>
              </w:rPr>
              <w:t>啶</w:t>
            </w:r>
            <w:proofErr w:type="gramEnd"/>
            <w:r>
              <w:rPr>
                <w:rFonts w:hAnsi="宋体" w:hint="eastAsia"/>
                <w:szCs w:val="21"/>
              </w:rPr>
              <w:t>虫</w:t>
            </w:r>
            <w:proofErr w:type="gramStart"/>
            <w:r>
              <w:rPr>
                <w:rFonts w:hAnsi="宋体" w:hint="eastAsia"/>
                <w:szCs w:val="21"/>
              </w:rPr>
              <w:t>脒</w:t>
            </w:r>
            <w:proofErr w:type="gramEnd"/>
            <w:r>
              <w:rPr>
                <w:rFonts w:hAnsi="宋体" w:hint="eastAsia"/>
                <w:szCs w:val="21"/>
              </w:rPr>
              <w:t>600倍均匀喷施幼苗和地表进行全面防治。</w:t>
            </w:r>
          </w:p>
        </w:tc>
        <w:tc>
          <w:tcPr>
            <w:tcW w:w="1069" w:type="dxa"/>
            <w:shd w:val="clear" w:color="auto" w:fill="auto"/>
          </w:tcPr>
          <w:p w:rsidR="000640BA" w:rsidRDefault="00167F57">
            <w:pPr>
              <w:pStyle w:val="ab"/>
              <w:rPr>
                <w:rFonts w:hAnsi="宋体"/>
                <w:szCs w:val="21"/>
              </w:rPr>
            </w:pPr>
            <w:r>
              <w:rPr>
                <w:rFonts w:hAnsi="宋体" w:hint="eastAsia"/>
                <w:szCs w:val="21"/>
              </w:rPr>
              <w:t>早预防、早发现、早防治。</w:t>
            </w:r>
          </w:p>
        </w:tc>
      </w:tr>
    </w:tbl>
    <w:p w:rsidR="000640BA" w:rsidRDefault="00167F57">
      <w:pPr>
        <w:spacing w:beforeLines="50" w:before="120" w:after="0" w:line="360" w:lineRule="auto"/>
        <w:ind w:firstLineChars="200" w:firstLine="482"/>
        <w:rPr>
          <w:rFonts w:ascii="宋体" w:eastAsia="宋体" w:hAnsi="宋体"/>
          <w:b/>
          <w:sz w:val="24"/>
          <w:szCs w:val="24"/>
        </w:rPr>
      </w:pPr>
      <w:r>
        <w:rPr>
          <w:rFonts w:ascii="宋体" w:eastAsia="宋体" w:hAnsi="宋体" w:hint="eastAsia"/>
          <w:b/>
          <w:sz w:val="24"/>
          <w:szCs w:val="24"/>
        </w:rPr>
        <w:t>3.技术参数的试验验证论述</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本文件选择腰果砧木苗和嫁接苗为试样，参考《腰果嫁接苗》（DB46/T 431-2017）的检测方法和种苗质量要求，进行了腰果种苗繁育中砧木苗和嫁接</w:t>
      </w:r>
      <w:proofErr w:type="gramStart"/>
      <w:r>
        <w:rPr>
          <w:rFonts w:ascii="宋体" w:eastAsia="宋体" w:hAnsi="宋体" w:hint="eastAsia"/>
          <w:sz w:val="24"/>
          <w:szCs w:val="24"/>
        </w:rPr>
        <w:t>苗调查</w:t>
      </w:r>
      <w:proofErr w:type="gramEnd"/>
      <w:r>
        <w:rPr>
          <w:rFonts w:ascii="宋体" w:eastAsia="宋体" w:hAnsi="宋体" w:hint="eastAsia"/>
          <w:sz w:val="24"/>
          <w:szCs w:val="24"/>
        </w:rPr>
        <w:t>分析。</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根据资料和调查显示，腰果砧木苗在播种后2～3月可以嫁接；嫁接后2～3月，</w:t>
      </w:r>
      <w:proofErr w:type="gramStart"/>
      <w:r>
        <w:rPr>
          <w:rFonts w:ascii="宋体" w:eastAsia="宋体" w:hAnsi="宋体" w:hint="eastAsia"/>
          <w:sz w:val="24"/>
          <w:szCs w:val="24"/>
        </w:rPr>
        <w:t>大部分新稍长度</w:t>
      </w:r>
      <w:proofErr w:type="gramEnd"/>
      <w:r>
        <w:rPr>
          <w:rFonts w:ascii="宋体" w:eastAsia="宋体" w:hAnsi="宋体" w:hint="eastAsia"/>
          <w:sz w:val="24"/>
          <w:szCs w:val="24"/>
        </w:rPr>
        <w:t>可以达到15cm以上。因此，确定腰果砧木苗3个月即可嫁接，嫁接苗出圃在6个月左右。</w:t>
      </w:r>
    </w:p>
    <w:p w:rsidR="000640BA" w:rsidRDefault="00167F57">
      <w:pPr>
        <w:spacing w:beforeLines="50" w:before="120" w:after="0" w:line="360" w:lineRule="auto"/>
        <w:ind w:firstLineChars="200" w:firstLine="482"/>
        <w:rPr>
          <w:rFonts w:ascii="宋体" w:eastAsia="宋体" w:hAnsi="宋体"/>
          <w:b/>
          <w:sz w:val="24"/>
          <w:szCs w:val="24"/>
        </w:rPr>
      </w:pPr>
      <w:r>
        <w:rPr>
          <w:rFonts w:ascii="宋体" w:eastAsia="宋体" w:hAnsi="宋体" w:hint="eastAsia"/>
          <w:b/>
          <w:sz w:val="24"/>
          <w:szCs w:val="24"/>
        </w:rPr>
        <w:t>3.1 砧木苗调查</w:t>
      </w:r>
    </w:p>
    <w:p w:rsidR="000640BA" w:rsidRDefault="00167F57">
      <w:pPr>
        <w:spacing w:beforeLines="50" w:before="120" w:after="0" w:line="360" w:lineRule="auto"/>
        <w:ind w:firstLineChars="200" w:firstLine="480"/>
        <w:rPr>
          <w:rFonts w:ascii="宋体" w:eastAsia="宋体" w:hAnsi="宋体"/>
          <w:b/>
          <w:sz w:val="24"/>
          <w:szCs w:val="24"/>
        </w:rPr>
      </w:pPr>
      <w:r>
        <w:rPr>
          <w:rFonts w:ascii="宋体" w:eastAsia="宋体" w:hAnsi="宋体" w:hint="eastAsia"/>
          <w:sz w:val="24"/>
          <w:szCs w:val="24"/>
        </w:rPr>
        <w:t>2019年8月在乐东腰果研究中心苗圃进行嫁接前砧木苗调查。调查了待嫁接的砧木苗，其种子来源于优良母树，选用成熟饱满、无病虫害的种子繁育砧木苗；播种后3～4月，砧木苗下部出现木质化时可以嫁接。育苗袋规格为25*15（l*d），调查的了2300株砧木苗，实地抽检了中230株（图8）。</w:t>
      </w:r>
      <w:r>
        <w:rPr>
          <w:rFonts w:ascii="宋体" w:eastAsia="宋体" w:hAnsi="宋体" w:hint="eastAsia"/>
          <w:b/>
          <w:sz w:val="24"/>
          <w:szCs w:val="24"/>
        </w:rPr>
        <w:t>根据调查，砧木茎粗、嫁接口高度、接穗是嫁接初期主要关注的指标，苗</w:t>
      </w:r>
      <w:proofErr w:type="gramStart"/>
      <w:r>
        <w:rPr>
          <w:rFonts w:ascii="宋体" w:eastAsia="宋体" w:hAnsi="宋体" w:hint="eastAsia"/>
          <w:b/>
          <w:sz w:val="24"/>
          <w:szCs w:val="24"/>
        </w:rPr>
        <w:t>高不能</w:t>
      </w:r>
      <w:proofErr w:type="gramEnd"/>
      <w:r>
        <w:rPr>
          <w:rFonts w:ascii="宋体" w:eastAsia="宋体" w:hAnsi="宋体" w:hint="eastAsia"/>
          <w:b/>
          <w:sz w:val="24"/>
          <w:szCs w:val="24"/>
        </w:rPr>
        <w:t>作为砧木苗质量指标。</w:t>
      </w:r>
      <w:r>
        <w:rPr>
          <w:rFonts w:ascii="宋体" w:eastAsia="宋体" w:hAnsi="宋体" w:hint="eastAsia"/>
          <w:sz w:val="24"/>
          <w:szCs w:val="24"/>
        </w:rPr>
        <w:t>嫁接前，调查的砧木苗15cm处的粗度为0.35cm～0.90cm之间，茎粗≥0.50cm的苗木占83.3%（图8A）；嫁接口高度在10cm～20cm，其中14cm～18cm之间的</w:t>
      </w:r>
      <w:proofErr w:type="gramStart"/>
      <w:r>
        <w:rPr>
          <w:rFonts w:ascii="宋体" w:eastAsia="宋体" w:hAnsi="宋体" w:hint="eastAsia"/>
          <w:sz w:val="24"/>
          <w:szCs w:val="24"/>
        </w:rPr>
        <w:t>砧木苗占</w:t>
      </w:r>
      <w:proofErr w:type="gramEnd"/>
      <w:r>
        <w:rPr>
          <w:rFonts w:ascii="宋体" w:eastAsia="宋体" w:hAnsi="宋体" w:hint="eastAsia"/>
          <w:sz w:val="24"/>
          <w:szCs w:val="24"/>
        </w:rPr>
        <w:t>87.1%（图8B）;接穗长度在8cm～19cm，</w:t>
      </w:r>
      <w:r>
        <w:rPr>
          <w:rFonts w:ascii="宋体" w:eastAsia="宋体" w:hAnsi="宋体" w:hint="eastAsia"/>
          <w:sz w:val="24"/>
          <w:szCs w:val="24"/>
        </w:rPr>
        <w:lastRenderedPageBreak/>
        <w:t>其中10cm～12cm长度的接穗占81.4%（图8C）。</w:t>
      </w:r>
      <w:r>
        <w:rPr>
          <w:rFonts w:ascii="宋体" w:eastAsia="宋体" w:hAnsi="宋体" w:hint="eastAsia"/>
          <w:b/>
          <w:sz w:val="24"/>
          <w:szCs w:val="24"/>
        </w:rPr>
        <w:t>因此，确定砧木茎粗</w:t>
      </w:r>
      <w:r>
        <w:rPr>
          <w:rFonts w:ascii="宋体" w:eastAsia="宋体" w:hAnsi="宋体" w:hint="eastAsia"/>
          <w:sz w:val="24"/>
          <w:szCs w:val="24"/>
        </w:rPr>
        <w:t>≥0.50cm</w:t>
      </w:r>
      <w:r>
        <w:rPr>
          <w:rFonts w:ascii="宋体" w:eastAsia="宋体" w:hAnsi="宋体" w:hint="eastAsia"/>
          <w:b/>
          <w:sz w:val="24"/>
          <w:szCs w:val="24"/>
        </w:rPr>
        <w:t>、嫁接口高度在14～18cm为最佳嫁接时期。接穗长度以10cm～12cm为宜。</w:t>
      </w:r>
    </w:p>
    <w:p w:rsidR="000640BA" w:rsidRDefault="00167F57">
      <w:pPr>
        <w:spacing w:beforeLines="50" w:before="120" w:after="0" w:line="360" w:lineRule="auto"/>
        <w:ind w:firstLineChars="200" w:firstLine="440"/>
        <w:rPr>
          <w:rFonts w:ascii="黑体" w:eastAsia="黑体" w:hAnsi="黑体"/>
          <w:sz w:val="24"/>
          <w:szCs w:val="24"/>
        </w:rPr>
      </w:pPr>
      <w:r>
        <w:rPr>
          <w:rFonts w:ascii="宋体" w:eastAsia="宋体" w:hAnsi="宋体"/>
          <w:noProof/>
        </w:rPr>
        <w:drawing>
          <wp:inline distT="0" distB="0" distL="0" distR="0" wp14:anchorId="1373E880" wp14:editId="60AB2CBF">
            <wp:extent cx="2699385" cy="2159635"/>
            <wp:effectExtent l="0" t="0" r="5715"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rPr>
        <w:drawing>
          <wp:inline distT="0" distB="0" distL="0" distR="0" wp14:anchorId="21E088B6" wp14:editId="3DE9621E">
            <wp:extent cx="2804160" cy="2202180"/>
            <wp:effectExtent l="0" t="0" r="0" b="762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640BA" w:rsidRDefault="00167F57">
      <w:pPr>
        <w:spacing w:beforeLines="50" w:before="120" w:after="0" w:line="360" w:lineRule="auto"/>
        <w:ind w:firstLineChars="200" w:firstLine="440"/>
        <w:rPr>
          <w:rFonts w:ascii="黑体" w:eastAsia="黑体" w:hAnsi="黑体"/>
          <w:sz w:val="24"/>
          <w:szCs w:val="24"/>
        </w:rPr>
      </w:pPr>
      <w:r>
        <w:rPr>
          <w:noProof/>
        </w:rPr>
        <w:drawing>
          <wp:inline distT="0" distB="0" distL="0" distR="0" wp14:anchorId="3D65F4FC" wp14:editId="0B744A75">
            <wp:extent cx="3291840" cy="1985010"/>
            <wp:effectExtent l="0" t="0" r="381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640BA" w:rsidRDefault="00167F57">
      <w:pPr>
        <w:spacing w:before="120" w:after="0" w:line="240" w:lineRule="auto"/>
        <w:jc w:val="center"/>
        <w:rPr>
          <w:rFonts w:ascii="宋体" w:eastAsia="宋体" w:hAnsi="宋体" w:cs="宋体"/>
          <w:b/>
          <w:kern w:val="0"/>
          <w:sz w:val="18"/>
          <w:szCs w:val="24"/>
        </w:rPr>
      </w:pPr>
      <w:r>
        <w:rPr>
          <w:rFonts w:ascii="宋体" w:eastAsia="宋体" w:hAnsi="宋体" w:cs="宋体" w:hint="eastAsia"/>
          <w:b/>
          <w:kern w:val="0"/>
          <w:sz w:val="18"/>
          <w:szCs w:val="24"/>
        </w:rPr>
        <w:t>图8 嫁接时砧木茎粗、嫁接口高度，接穗长度范围</w:t>
      </w:r>
    </w:p>
    <w:p w:rsidR="000640BA" w:rsidRDefault="00167F57">
      <w:pPr>
        <w:spacing w:beforeLines="50" w:before="120" w:after="0" w:line="360" w:lineRule="auto"/>
        <w:ind w:firstLineChars="200" w:firstLine="482"/>
        <w:rPr>
          <w:rFonts w:ascii="宋体" w:eastAsia="宋体" w:hAnsi="宋体"/>
          <w:b/>
          <w:sz w:val="24"/>
          <w:szCs w:val="24"/>
        </w:rPr>
      </w:pPr>
      <w:r>
        <w:rPr>
          <w:rFonts w:ascii="宋体" w:eastAsia="宋体" w:hAnsi="宋体" w:hint="eastAsia"/>
          <w:b/>
          <w:sz w:val="24"/>
          <w:szCs w:val="24"/>
        </w:rPr>
        <w:t>3.2 嫁接</w:t>
      </w:r>
      <w:proofErr w:type="gramStart"/>
      <w:r>
        <w:rPr>
          <w:rFonts w:ascii="宋体" w:eastAsia="宋体" w:hAnsi="宋体" w:hint="eastAsia"/>
          <w:b/>
          <w:sz w:val="24"/>
          <w:szCs w:val="24"/>
        </w:rPr>
        <w:t>苗质量</w:t>
      </w:r>
      <w:proofErr w:type="gramEnd"/>
      <w:r>
        <w:rPr>
          <w:rFonts w:ascii="宋体" w:eastAsia="宋体" w:hAnsi="宋体" w:hint="eastAsia"/>
          <w:b/>
          <w:sz w:val="24"/>
          <w:szCs w:val="24"/>
        </w:rPr>
        <w:t>调查</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t>参考《腰果嫁接苗》（DB46/T 431-2017）质量检测标准的要求，2019年3月，分别对热带作物品种资源研究所（FL30)、腰果研究中心(FL30)、腰果研究中心(HL2-21)、新品种测试分中心(GA63)、新品种测试分中心（HL2-13）出圃的嫁接种苗进行调查。容器规格为25*15cm（l*d）;选择出圃容器完好，土团不松散，根部健康;植株茎秆直立，生长正常，</w:t>
      </w:r>
      <w:proofErr w:type="gramStart"/>
      <w:r>
        <w:rPr>
          <w:rFonts w:ascii="宋体" w:eastAsia="宋体" w:hAnsi="宋体" w:hint="eastAsia"/>
          <w:sz w:val="24"/>
          <w:szCs w:val="24"/>
        </w:rPr>
        <w:t>芽心展开</w:t>
      </w:r>
      <w:proofErr w:type="gramEnd"/>
      <w:r>
        <w:rPr>
          <w:rFonts w:ascii="宋体" w:eastAsia="宋体" w:hAnsi="宋体" w:hint="eastAsia"/>
          <w:sz w:val="24"/>
          <w:szCs w:val="24"/>
        </w:rPr>
        <w:t>无皱缩。至少2次</w:t>
      </w:r>
      <w:proofErr w:type="gramStart"/>
      <w:r>
        <w:rPr>
          <w:rFonts w:ascii="宋体" w:eastAsia="宋体" w:hAnsi="宋体" w:hint="eastAsia"/>
          <w:sz w:val="24"/>
          <w:szCs w:val="24"/>
        </w:rPr>
        <w:t>梢</w:t>
      </w:r>
      <w:proofErr w:type="gramEnd"/>
      <w:r>
        <w:rPr>
          <w:rFonts w:ascii="宋体" w:eastAsia="宋体" w:hAnsi="宋体" w:hint="eastAsia"/>
          <w:sz w:val="24"/>
          <w:szCs w:val="24"/>
        </w:rPr>
        <w:t>叶片稳定老熟，叶片颜色呈深绿色，无明显机械损伤，无检疫性病虫害。接穗抽梢无扭曲现象，嫁接口愈合良好，无绑带绞</w:t>
      </w:r>
      <w:proofErr w:type="gramStart"/>
      <w:r>
        <w:rPr>
          <w:rFonts w:ascii="宋体" w:eastAsia="宋体" w:hAnsi="宋体" w:hint="eastAsia"/>
          <w:sz w:val="24"/>
          <w:szCs w:val="24"/>
        </w:rPr>
        <w:t>缢</w:t>
      </w:r>
      <w:proofErr w:type="gramEnd"/>
      <w:r>
        <w:rPr>
          <w:rFonts w:ascii="宋体" w:eastAsia="宋体" w:hAnsi="宋体" w:hint="eastAsia"/>
          <w:sz w:val="24"/>
          <w:szCs w:val="24"/>
        </w:rPr>
        <w:t>现象的</w:t>
      </w:r>
      <w:proofErr w:type="gramStart"/>
      <w:r>
        <w:rPr>
          <w:rFonts w:ascii="宋体" w:eastAsia="宋体" w:hAnsi="宋体" w:hint="eastAsia"/>
          <w:sz w:val="24"/>
          <w:szCs w:val="24"/>
        </w:rPr>
        <w:t>苗进行</w:t>
      </w:r>
      <w:proofErr w:type="gramEnd"/>
      <w:r>
        <w:rPr>
          <w:rFonts w:ascii="宋体" w:eastAsia="宋体" w:hAnsi="宋体" w:hint="eastAsia"/>
          <w:sz w:val="24"/>
          <w:szCs w:val="24"/>
        </w:rPr>
        <w:t>检测调查。</w:t>
      </w:r>
    </w:p>
    <w:p w:rsidR="000640BA" w:rsidRDefault="00167F57">
      <w:pPr>
        <w:spacing w:beforeLines="50" w:before="120" w:after="0" w:line="360" w:lineRule="auto"/>
        <w:ind w:firstLineChars="200" w:firstLine="480"/>
        <w:rPr>
          <w:rFonts w:ascii="宋体" w:eastAsia="宋体" w:hAnsi="宋体"/>
          <w:sz w:val="24"/>
          <w:szCs w:val="24"/>
        </w:rPr>
      </w:pPr>
      <w:r>
        <w:rPr>
          <w:rFonts w:ascii="宋体" w:eastAsia="宋体" w:hAnsi="宋体" w:hint="eastAsia"/>
          <w:sz w:val="24"/>
          <w:szCs w:val="24"/>
        </w:rPr>
        <w:lastRenderedPageBreak/>
        <w:t>根据地方</w:t>
      </w:r>
      <w:proofErr w:type="gramStart"/>
      <w:r>
        <w:rPr>
          <w:rFonts w:ascii="宋体" w:eastAsia="宋体" w:hAnsi="宋体" w:hint="eastAsia"/>
          <w:sz w:val="24"/>
          <w:szCs w:val="24"/>
        </w:rPr>
        <w:t>标准标准</w:t>
      </w:r>
      <w:proofErr w:type="gramEnd"/>
      <w:r>
        <w:rPr>
          <w:rFonts w:ascii="宋体" w:eastAsia="宋体" w:hAnsi="宋体" w:hint="eastAsia"/>
          <w:sz w:val="24"/>
          <w:szCs w:val="24"/>
        </w:rPr>
        <w:t>质量要求调查显示，砧木茎粗≥0.80的种苗比例为26.5%～41.7%，砧木茎粗0.51cm～0.79cm的种苗比例为55.6%～60.3%；新梢长度≥25cm的种苗比例为13.9%～82.4%，新梢长度15cm～25cm的种苗比例为17.6%～55.7%；新梢茎粗≥0.65cm的种苗比例为26.4%～44.1%，新梢茎粗0.51cm～0.65cm的种苗比例为33.8%～51.4%。其种苗质量80%以上达到一级和二级种苗质量要求（表4），结果表明，</w:t>
      </w:r>
      <w:r>
        <w:rPr>
          <w:rFonts w:ascii="宋体" w:eastAsia="宋体" w:hAnsi="宋体" w:hint="eastAsia"/>
          <w:b/>
          <w:sz w:val="24"/>
          <w:szCs w:val="24"/>
        </w:rPr>
        <w:t>腰果嫁接苗嫁接3～4个月可以出圃，大部分达到种苗出圃质量要求（图9）</w:t>
      </w:r>
      <w:r>
        <w:rPr>
          <w:rFonts w:ascii="宋体" w:eastAsia="宋体" w:hAnsi="宋体" w:hint="eastAsia"/>
          <w:sz w:val="24"/>
          <w:szCs w:val="24"/>
        </w:rPr>
        <w:t>。</w:t>
      </w:r>
    </w:p>
    <w:p w:rsidR="000640BA" w:rsidRDefault="00167F57">
      <w:pPr>
        <w:spacing w:before="120" w:after="0" w:line="240" w:lineRule="auto"/>
        <w:jc w:val="center"/>
        <w:rPr>
          <w:rFonts w:ascii="宋体" w:eastAsia="宋体" w:hAnsi="宋体" w:cs="宋体"/>
          <w:b/>
          <w:kern w:val="0"/>
          <w:sz w:val="18"/>
          <w:szCs w:val="24"/>
        </w:rPr>
      </w:pPr>
      <w:r>
        <w:rPr>
          <w:rFonts w:ascii="宋体" w:eastAsia="宋体" w:hAnsi="宋体" w:cs="宋体" w:hint="eastAsia"/>
          <w:b/>
          <w:kern w:val="0"/>
          <w:sz w:val="18"/>
          <w:szCs w:val="24"/>
        </w:rPr>
        <w:t>表4 腰果嫁接苗种苗质量分析</w:t>
      </w:r>
    </w:p>
    <w:tbl>
      <w:tblPr>
        <w:tblW w:w="93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16"/>
        <w:gridCol w:w="516"/>
        <w:gridCol w:w="569"/>
        <w:gridCol w:w="558"/>
        <w:gridCol w:w="516"/>
        <w:gridCol w:w="620"/>
        <w:gridCol w:w="516"/>
        <w:gridCol w:w="682"/>
        <w:gridCol w:w="589"/>
        <w:gridCol w:w="517"/>
        <w:gridCol w:w="568"/>
        <w:gridCol w:w="516"/>
        <w:gridCol w:w="526"/>
        <w:gridCol w:w="666"/>
        <w:gridCol w:w="558"/>
      </w:tblGrid>
      <w:tr w:rsidR="000640BA">
        <w:trPr>
          <w:trHeight w:val="381"/>
        </w:trPr>
        <w:tc>
          <w:tcPr>
            <w:tcW w:w="977" w:type="dxa"/>
            <w:shd w:val="clear" w:color="auto" w:fill="auto"/>
            <w:vAlign w:val="center"/>
          </w:tcPr>
          <w:p w:rsidR="000640BA" w:rsidRDefault="00167F57">
            <w:pPr>
              <w:spacing w:after="0" w:line="240" w:lineRule="auto"/>
              <w:jc w:val="center"/>
              <w:rPr>
                <w:rFonts w:ascii="宋体" w:eastAsia="宋体" w:hAnsi="宋体" w:cs="宋体"/>
                <w:b/>
                <w:kern w:val="0"/>
                <w:sz w:val="15"/>
                <w:szCs w:val="15"/>
              </w:rPr>
            </w:pPr>
            <w:r>
              <w:rPr>
                <w:rFonts w:ascii="宋体" w:eastAsia="宋体" w:hAnsi="宋体" w:cs="宋体" w:hint="eastAsia"/>
                <w:b/>
                <w:kern w:val="0"/>
                <w:sz w:val="15"/>
                <w:szCs w:val="15"/>
              </w:rPr>
              <w:t>项目</w:t>
            </w:r>
          </w:p>
        </w:tc>
        <w:tc>
          <w:tcPr>
            <w:tcW w:w="1558" w:type="dxa"/>
            <w:gridSpan w:val="3"/>
            <w:shd w:val="clear" w:color="auto" w:fill="auto"/>
            <w:vAlign w:val="center"/>
          </w:tcPr>
          <w:p w:rsidR="000640BA" w:rsidRDefault="00167F57">
            <w:pPr>
              <w:spacing w:after="0" w:line="240" w:lineRule="auto"/>
              <w:jc w:val="center"/>
              <w:rPr>
                <w:rFonts w:ascii="宋体" w:eastAsia="宋体" w:hAnsi="宋体" w:cs="宋体"/>
                <w:b/>
                <w:bCs/>
                <w:kern w:val="0"/>
                <w:sz w:val="15"/>
                <w:szCs w:val="15"/>
              </w:rPr>
            </w:pPr>
            <w:r>
              <w:rPr>
                <w:rFonts w:ascii="宋体" w:eastAsia="宋体" w:hAnsi="宋体" w:cs="宋体" w:hint="eastAsia"/>
                <w:b/>
                <w:bCs/>
                <w:kern w:val="0"/>
                <w:sz w:val="15"/>
                <w:szCs w:val="15"/>
              </w:rPr>
              <w:t>苗高</w:t>
            </w:r>
          </w:p>
        </w:tc>
        <w:tc>
          <w:tcPr>
            <w:tcW w:w="1735" w:type="dxa"/>
            <w:gridSpan w:val="3"/>
            <w:shd w:val="clear" w:color="auto" w:fill="auto"/>
            <w:vAlign w:val="center"/>
          </w:tcPr>
          <w:p w:rsidR="000640BA" w:rsidRDefault="00167F57">
            <w:pPr>
              <w:spacing w:after="0" w:line="240" w:lineRule="auto"/>
              <w:jc w:val="center"/>
              <w:rPr>
                <w:rFonts w:ascii="宋体" w:eastAsia="宋体" w:hAnsi="宋体" w:cs="宋体"/>
                <w:b/>
                <w:bCs/>
                <w:kern w:val="0"/>
                <w:sz w:val="15"/>
                <w:szCs w:val="15"/>
              </w:rPr>
            </w:pPr>
            <w:r>
              <w:rPr>
                <w:rFonts w:ascii="宋体" w:eastAsia="宋体" w:hAnsi="宋体" w:cs="宋体" w:hint="eastAsia"/>
                <w:b/>
                <w:bCs/>
                <w:kern w:val="0"/>
                <w:sz w:val="15"/>
                <w:szCs w:val="15"/>
              </w:rPr>
              <w:t>嫁接口高度</w:t>
            </w:r>
          </w:p>
        </w:tc>
        <w:tc>
          <w:tcPr>
            <w:tcW w:w="1781" w:type="dxa"/>
            <w:gridSpan w:val="3"/>
            <w:shd w:val="clear" w:color="auto" w:fill="auto"/>
            <w:vAlign w:val="center"/>
          </w:tcPr>
          <w:p w:rsidR="000640BA" w:rsidRDefault="00167F57">
            <w:pPr>
              <w:spacing w:after="0" w:line="240" w:lineRule="auto"/>
              <w:jc w:val="center"/>
              <w:rPr>
                <w:rFonts w:ascii="宋体" w:eastAsia="宋体" w:hAnsi="宋体" w:cs="宋体"/>
                <w:b/>
                <w:bCs/>
                <w:kern w:val="0"/>
                <w:sz w:val="15"/>
                <w:szCs w:val="15"/>
              </w:rPr>
            </w:pPr>
            <w:r>
              <w:rPr>
                <w:rFonts w:ascii="宋体" w:eastAsia="宋体" w:hAnsi="宋体" w:cs="宋体" w:hint="eastAsia"/>
                <w:b/>
                <w:bCs/>
                <w:kern w:val="0"/>
                <w:sz w:val="15"/>
                <w:szCs w:val="15"/>
              </w:rPr>
              <w:t>砧木茎粗</w:t>
            </w:r>
          </w:p>
        </w:tc>
        <w:tc>
          <w:tcPr>
            <w:tcW w:w="1586" w:type="dxa"/>
            <w:gridSpan w:val="3"/>
            <w:shd w:val="clear" w:color="auto" w:fill="auto"/>
            <w:vAlign w:val="center"/>
          </w:tcPr>
          <w:p w:rsidR="000640BA" w:rsidRDefault="00167F57">
            <w:pPr>
              <w:spacing w:after="0" w:line="240" w:lineRule="auto"/>
              <w:jc w:val="center"/>
              <w:rPr>
                <w:rFonts w:ascii="宋体" w:eastAsia="宋体" w:hAnsi="宋体" w:cs="宋体"/>
                <w:b/>
                <w:bCs/>
                <w:kern w:val="0"/>
                <w:sz w:val="15"/>
                <w:szCs w:val="15"/>
              </w:rPr>
            </w:pPr>
            <w:r>
              <w:rPr>
                <w:rFonts w:ascii="宋体" w:eastAsia="宋体" w:hAnsi="宋体" w:cs="宋体" w:hint="eastAsia"/>
                <w:b/>
                <w:bCs/>
                <w:kern w:val="0"/>
                <w:sz w:val="15"/>
                <w:szCs w:val="15"/>
              </w:rPr>
              <w:t>新梢长度</w:t>
            </w:r>
          </w:p>
        </w:tc>
        <w:tc>
          <w:tcPr>
            <w:tcW w:w="1727" w:type="dxa"/>
            <w:gridSpan w:val="3"/>
            <w:shd w:val="clear" w:color="auto" w:fill="auto"/>
            <w:vAlign w:val="center"/>
          </w:tcPr>
          <w:p w:rsidR="000640BA" w:rsidRDefault="00167F57">
            <w:pPr>
              <w:spacing w:after="0" w:line="240" w:lineRule="auto"/>
              <w:jc w:val="center"/>
              <w:rPr>
                <w:rFonts w:ascii="宋体" w:eastAsia="宋体" w:hAnsi="宋体" w:cs="宋体"/>
                <w:b/>
                <w:bCs/>
                <w:kern w:val="0"/>
                <w:sz w:val="15"/>
                <w:szCs w:val="15"/>
              </w:rPr>
            </w:pPr>
            <w:r>
              <w:rPr>
                <w:rFonts w:ascii="宋体" w:eastAsia="宋体" w:hAnsi="宋体" w:cs="宋体" w:hint="eastAsia"/>
                <w:b/>
                <w:bCs/>
                <w:kern w:val="0"/>
                <w:sz w:val="15"/>
                <w:szCs w:val="15"/>
              </w:rPr>
              <w:t>新梢茎粗</w:t>
            </w:r>
          </w:p>
        </w:tc>
      </w:tr>
      <w:tr w:rsidR="000640BA">
        <w:trPr>
          <w:trHeight w:val="381"/>
        </w:trPr>
        <w:tc>
          <w:tcPr>
            <w:tcW w:w="977"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proofErr w:type="gramStart"/>
            <w:r>
              <w:rPr>
                <w:rFonts w:ascii="宋体" w:eastAsia="宋体" w:hAnsi="宋体" w:cs="宋体" w:hint="eastAsia"/>
                <w:kern w:val="0"/>
                <w:sz w:val="15"/>
                <w:szCs w:val="15"/>
              </w:rPr>
              <w:t>判级</w:t>
            </w:r>
            <w:proofErr w:type="gramEnd"/>
          </w:p>
        </w:tc>
        <w:tc>
          <w:tcPr>
            <w:tcW w:w="488"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等外</w:t>
            </w:r>
          </w:p>
        </w:tc>
        <w:tc>
          <w:tcPr>
            <w:tcW w:w="488"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二级</w:t>
            </w:r>
          </w:p>
        </w:tc>
        <w:tc>
          <w:tcPr>
            <w:tcW w:w="581"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一级</w:t>
            </w:r>
          </w:p>
        </w:tc>
        <w:tc>
          <w:tcPr>
            <w:tcW w:w="568"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等外</w:t>
            </w:r>
          </w:p>
        </w:tc>
        <w:tc>
          <w:tcPr>
            <w:tcW w:w="503"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二级</w:t>
            </w:r>
          </w:p>
        </w:tc>
        <w:tc>
          <w:tcPr>
            <w:tcW w:w="664"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一级</w:t>
            </w:r>
          </w:p>
        </w:tc>
        <w:tc>
          <w:tcPr>
            <w:tcW w:w="488"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等外</w:t>
            </w:r>
          </w:p>
        </w:tc>
        <w:tc>
          <w:tcPr>
            <w:tcW w:w="686"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二级</w:t>
            </w:r>
          </w:p>
        </w:tc>
        <w:tc>
          <w:tcPr>
            <w:tcW w:w="607"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一级</w:t>
            </w:r>
          </w:p>
        </w:tc>
        <w:tc>
          <w:tcPr>
            <w:tcW w:w="517"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等外</w:t>
            </w:r>
          </w:p>
        </w:tc>
        <w:tc>
          <w:tcPr>
            <w:tcW w:w="581"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二级</w:t>
            </w:r>
          </w:p>
        </w:tc>
        <w:tc>
          <w:tcPr>
            <w:tcW w:w="488"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一级</w:t>
            </w:r>
          </w:p>
        </w:tc>
        <w:tc>
          <w:tcPr>
            <w:tcW w:w="529"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等外</w:t>
            </w:r>
          </w:p>
        </w:tc>
        <w:tc>
          <w:tcPr>
            <w:tcW w:w="630"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二级</w:t>
            </w:r>
          </w:p>
        </w:tc>
        <w:tc>
          <w:tcPr>
            <w:tcW w:w="568"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一级</w:t>
            </w:r>
          </w:p>
        </w:tc>
      </w:tr>
      <w:tr w:rsidR="000640BA">
        <w:trPr>
          <w:trHeight w:val="450"/>
        </w:trPr>
        <w:tc>
          <w:tcPr>
            <w:tcW w:w="977" w:type="dxa"/>
            <w:vMerge w:val="restart"/>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分级范围（cm）</w:t>
            </w:r>
          </w:p>
        </w:tc>
        <w:tc>
          <w:tcPr>
            <w:tcW w:w="488" w:type="dxa"/>
            <w:vMerge w:val="restart"/>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＜40</w:t>
            </w:r>
          </w:p>
        </w:tc>
        <w:tc>
          <w:tcPr>
            <w:tcW w:w="488" w:type="dxa"/>
            <w:vMerge w:val="restart"/>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40～50</w:t>
            </w:r>
          </w:p>
        </w:tc>
        <w:tc>
          <w:tcPr>
            <w:tcW w:w="581" w:type="dxa"/>
            <w:vMerge w:val="restart"/>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＞50</w:t>
            </w:r>
          </w:p>
        </w:tc>
        <w:tc>
          <w:tcPr>
            <w:tcW w:w="568" w:type="dxa"/>
            <w:vMerge w:val="restart"/>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＜20</w:t>
            </w:r>
          </w:p>
        </w:tc>
        <w:tc>
          <w:tcPr>
            <w:tcW w:w="503" w:type="dxa"/>
            <w:vMerge w:val="restart"/>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20～35</w:t>
            </w:r>
          </w:p>
        </w:tc>
        <w:tc>
          <w:tcPr>
            <w:tcW w:w="664" w:type="dxa"/>
            <w:vMerge w:val="restart"/>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＞35</w:t>
            </w:r>
          </w:p>
        </w:tc>
        <w:tc>
          <w:tcPr>
            <w:tcW w:w="488" w:type="dxa"/>
            <w:vMerge w:val="restart"/>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≤0.50</w:t>
            </w:r>
          </w:p>
        </w:tc>
        <w:tc>
          <w:tcPr>
            <w:tcW w:w="686" w:type="dxa"/>
            <w:vMerge w:val="restart"/>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0.51～0.79</w:t>
            </w:r>
          </w:p>
        </w:tc>
        <w:tc>
          <w:tcPr>
            <w:tcW w:w="607" w:type="dxa"/>
            <w:vMerge w:val="restart"/>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≥0.80</w:t>
            </w:r>
          </w:p>
        </w:tc>
        <w:tc>
          <w:tcPr>
            <w:tcW w:w="517" w:type="dxa"/>
            <w:vMerge w:val="restart"/>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≤15</w:t>
            </w:r>
          </w:p>
        </w:tc>
        <w:tc>
          <w:tcPr>
            <w:tcW w:w="581" w:type="dxa"/>
            <w:vMerge w:val="restart"/>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15～25</w:t>
            </w:r>
          </w:p>
        </w:tc>
        <w:tc>
          <w:tcPr>
            <w:tcW w:w="488" w:type="dxa"/>
            <w:vMerge w:val="restart"/>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≥25</w:t>
            </w:r>
          </w:p>
        </w:tc>
        <w:tc>
          <w:tcPr>
            <w:tcW w:w="529" w:type="dxa"/>
            <w:vMerge w:val="restart"/>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≤0.50</w:t>
            </w:r>
          </w:p>
        </w:tc>
        <w:tc>
          <w:tcPr>
            <w:tcW w:w="630" w:type="dxa"/>
            <w:vMerge w:val="restart"/>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0.51～0.65</w:t>
            </w:r>
          </w:p>
        </w:tc>
        <w:tc>
          <w:tcPr>
            <w:tcW w:w="568" w:type="dxa"/>
            <w:vMerge w:val="restart"/>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≥0.65</w:t>
            </w:r>
          </w:p>
        </w:tc>
      </w:tr>
      <w:tr w:rsidR="000640BA">
        <w:trPr>
          <w:trHeight w:val="450"/>
        </w:trPr>
        <w:tc>
          <w:tcPr>
            <w:tcW w:w="977" w:type="dxa"/>
            <w:vMerge/>
            <w:vAlign w:val="center"/>
          </w:tcPr>
          <w:p w:rsidR="000640BA" w:rsidRDefault="000640BA">
            <w:pPr>
              <w:spacing w:after="0" w:line="240" w:lineRule="auto"/>
              <w:rPr>
                <w:rFonts w:ascii="宋体" w:eastAsia="宋体" w:hAnsi="宋体" w:cs="宋体"/>
                <w:kern w:val="0"/>
                <w:sz w:val="15"/>
                <w:szCs w:val="15"/>
              </w:rPr>
            </w:pPr>
          </w:p>
        </w:tc>
        <w:tc>
          <w:tcPr>
            <w:tcW w:w="488" w:type="dxa"/>
            <w:vMerge/>
            <w:vAlign w:val="center"/>
          </w:tcPr>
          <w:p w:rsidR="000640BA" w:rsidRDefault="000640BA">
            <w:pPr>
              <w:spacing w:after="0" w:line="240" w:lineRule="auto"/>
              <w:rPr>
                <w:rFonts w:ascii="宋体" w:eastAsia="宋体" w:hAnsi="宋体" w:cs="宋体"/>
                <w:kern w:val="0"/>
                <w:sz w:val="15"/>
                <w:szCs w:val="15"/>
              </w:rPr>
            </w:pPr>
          </w:p>
        </w:tc>
        <w:tc>
          <w:tcPr>
            <w:tcW w:w="488" w:type="dxa"/>
            <w:vMerge/>
            <w:vAlign w:val="center"/>
          </w:tcPr>
          <w:p w:rsidR="000640BA" w:rsidRDefault="000640BA">
            <w:pPr>
              <w:spacing w:after="0" w:line="240" w:lineRule="auto"/>
              <w:rPr>
                <w:rFonts w:ascii="宋体" w:eastAsia="宋体" w:hAnsi="宋体" w:cs="宋体"/>
                <w:kern w:val="0"/>
                <w:sz w:val="15"/>
                <w:szCs w:val="15"/>
              </w:rPr>
            </w:pPr>
          </w:p>
        </w:tc>
        <w:tc>
          <w:tcPr>
            <w:tcW w:w="581" w:type="dxa"/>
            <w:vMerge/>
            <w:vAlign w:val="center"/>
          </w:tcPr>
          <w:p w:rsidR="000640BA" w:rsidRDefault="000640BA">
            <w:pPr>
              <w:spacing w:after="0" w:line="240" w:lineRule="auto"/>
              <w:rPr>
                <w:rFonts w:ascii="宋体" w:eastAsia="宋体" w:hAnsi="宋体" w:cs="宋体"/>
                <w:kern w:val="0"/>
                <w:sz w:val="15"/>
                <w:szCs w:val="15"/>
              </w:rPr>
            </w:pPr>
          </w:p>
        </w:tc>
        <w:tc>
          <w:tcPr>
            <w:tcW w:w="568" w:type="dxa"/>
            <w:vMerge/>
            <w:vAlign w:val="center"/>
          </w:tcPr>
          <w:p w:rsidR="000640BA" w:rsidRDefault="000640BA">
            <w:pPr>
              <w:spacing w:after="0" w:line="240" w:lineRule="auto"/>
              <w:rPr>
                <w:rFonts w:ascii="宋体" w:eastAsia="宋体" w:hAnsi="宋体" w:cs="宋体"/>
                <w:kern w:val="0"/>
                <w:sz w:val="15"/>
                <w:szCs w:val="15"/>
              </w:rPr>
            </w:pPr>
          </w:p>
        </w:tc>
        <w:tc>
          <w:tcPr>
            <w:tcW w:w="503" w:type="dxa"/>
            <w:vMerge/>
            <w:vAlign w:val="center"/>
          </w:tcPr>
          <w:p w:rsidR="000640BA" w:rsidRDefault="000640BA">
            <w:pPr>
              <w:spacing w:after="0" w:line="240" w:lineRule="auto"/>
              <w:rPr>
                <w:rFonts w:ascii="宋体" w:eastAsia="宋体" w:hAnsi="宋体" w:cs="宋体"/>
                <w:kern w:val="0"/>
                <w:sz w:val="15"/>
                <w:szCs w:val="15"/>
              </w:rPr>
            </w:pPr>
          </w:p>
        </w:tc>
        <w:tc>
          <w:tcPr>
            <w:tcW w:w="664" w:type="dxa"/>
            <w:vMerge/>
            <w:vAlign w:val="center"/>
          </w:tcPr>
          <w:p w:rsidR="000640BA" w:rsidRDefault="000640BA">
            <w:pPr>
              <w:spacing w:after="0" w:line="240" w:lineRule="auto"/>
              <w:rPr>
                <w:rFonts w:ascii="宋体" w:eastAsia="宋体" w:hAnsi="宋体" w:cs="宋体"/>
                <w:kern w:val="0"/>
                <w:sz w:val="15"/>
                <w:szCs w:val="15"/>
              </w:rPr>
            </w:pPr>
          </w:p>
        </w:tc>
        <w:tc>
          <w:tcPr>
            <w:tcW w:w="488" w:type="dxa"/>
            <w:vMerge/>
            <w:vAlign w:val="center"/>
          </w:tcPr>
          <w:p w:rsidR="000640BA" w:rsidRDefault="000640BA">
            <w:pPr>
              <w:spacing w:after="0" w:line="240" w:lineRule="auto"/>
              <w:rPr>
                <w:rFonts w:ascii="宋体" w:eastAsia="宋体" w:hAnsi="宋体" w:cs="宋体"/>
                <w:kern w:val="0"/>
                <w:sz w:val="15"/>
                <w:szCs w:val="15"/>
              </w:rPr>
            </w:pPr>
          </w:p>
        </w:tc>
        <w:tc>
          <w:tcPr>
            <w:tcW w:w="686" w:type="dxa"/>
            <w:vMerge/>
            <w:vAlign w:val="center"/>
          </w:tcPr>
          <w:p w:rsidR="000640BA" w:rsidRDefault="000640BA">
            <w:pPr>
              <w:spacing w:after="0" w:line="240" w:lineRule="auto"/>
              <w:rPr>
                <w:rFonts w:ascii="宋体" w:eastAsia="宋体" w:hAnsi="宋体" w:cs="宋体"/>
                <w:bCs/>
                <w:kern w:val="0"/>
                <w:sz w:val="15"/>
                <w:szCs w:val="15"/>
              </w:rPr>
            </w:pPr>
          </w:p>
        </w:tc>
        <w:tc>
          <w:tcPr>
            <w:tcW w:w="607" w:type="dxa"/>
            <w:vMerge/>
            <w:vAlign w:val="center"/>
          </w:tcPr>
          <w:p w:rsidR="000640BA" w:rsidRDefault="000640BA">
            <w:pPr>
              <w:spacing w:after="0" w:line="240" w:lineRule="auto"/>
              <w:rPr>
                <w:rFonts w:ascii="宋体" w:eastAsia="宋体" w:hAnsi="宋体" w:cs="宋体"/>
                <w:bCs/>
                <w:kern w:val="0"/>
                <w:sz w:val="15"/>
                <w:szCs w:val="15"/>
              </w:rPr>
            </w:pPr>
          </w:p>
        </w:tc>
        <w:tc>
          <w:tcPr>
            <w:tcW w:w="517" w:type="dxa"/>
            <w:vMerge/>
            <w:vAlign w:val="center"/>
          </w:tcPr>
          <w:p w:rsidR="000640BA" w:rsidRDefault="000640BA">
            <w:pPr>
              <w:spacing w:after="0" w:line="240" w:lineRule="auto"/>
              <w:rPr>
                <w:rFonts w:ascii="宋体" w:eastAsia="宋体" w:hAnsi="宋体" w:cs="宋体"/>
                <w:kern w:val="0"/>
                <w:sz w:val="15"/>
                <w:szCs w:val="15"/>
              </w:rPr>
            </w:pPr>
          </w:p>
        </w:tc>
        <w:tc>
          <w:tcPr>
            <w:tcW w:w="581" w:type="dxa"/>
            <w:vMerge/>
            <w:vAlign w:val="center"/>
          </w:tcPr>
          <w:p w:rsidR="000640BA" w:rsidRDefault="000640BA">
            <w:pPr>
              <w:spacing w:after="0" w:line="240" w:lineRule="auto"/>
              <w:rPr>
                <w:rFonts w:ascii="宋体" w:eastAsia="宋体" w:hAnsi="宋体" w:cs="宋体"/>
                <w:kern w:val="0"/>
                <w:sz w:val="15"/>
                <w:szCs w:val="15"/>
              </w:rPr>
            </w:pPr>
          </w:p>
        </w:tc>
        <w:tc>
          <w:tcPr>
            <w:tcW w:w="488" w:type="dxa"/>
            <w:vMerge/>
            <w:vAlign w:val="center"/>
          </w:tcPr>
          <w:p w:rsidR="000640BA" w:rsidRDefault="000640BA">
            <w:pPr>
              <w:spacing w:after="0" w:line="240" w:lineRule="auto"/>
              <w:rPr>
                <w:rFonts w:ascii="宋体" w:eastAsia="宋体" w:hAnsi="宋体" w:cs="宋体"/>
                <w:kern w:val="0"/>
                <w:sz w:val="15"/>
                <w:szCs w:val="15"/>
              </w:rPr>
            </w:pPr>
          </w:p>
        </w:tc>
        <w:tc>
          <w:tcPr>
            <w:tcW w:w="529" w:type="dxa"/>
            <w:vMerge/>
            <w:vAlign w:val="center"/>
          </w:tcPr>
          <w:p w:rsidR="000640BA" w:rsidRDefault="000640BA">
            <w:pPr>
              <w:spacing w:after="0" w:line="240" w:lineRule="auto"/>
              <w:rPr>
                <w:rFonts w:ascii="宋体" w:eastAsia="宋体" w:hAnsi="宋体" w:cs="宋体"/>
                <w:kern w:val="0"/>
                <w:sz w:val="15"/>
                <w:szCs w:val="15"/>
              </w:rPr>
            </w:pPr>
          </w:p>
        </w:tc>
        <w:tc>
          <w:tcPr>
            <w:tcW w:w="630" w:type="dxa"/>
            <w:vMerge/>
            <w:vAlign w:val="center"/>
          </w:tcPr>
          <w:p w:rsidR="000640BA" w:rsidRDefault="000640BA">
            <w:pPr>
              <w:spacing w:after="0" w:line="240" w:lineRule="auto"/>
              <w:rPr>
                <w:rFonts w:ascii="宋体" w:eastAsia="宋体" w:hAnsi="宋体" w:cs="宋体"/>
                <w:kern w:val="0"/>
                <w:sz w:val="15"/>
                <w:szCs w:val="15"/>
              </w:rPr>
            </w:pPr>
          </w:p>
        </w:tc>
        <w:tc>
          <w:tcPr>
            <w:tcW w:w="568" w:type="dxa"/>
            <w:vMerge/>
            <w:vAlign w:val="center"/>
          </w:tcPr>
          <w:p w:rsidR="000640BA" w:rsidRDefault="000640BA">
            <w:pPr>
              <w:spacing w:after="0" w:line="240" w:lineRule="auto"/>
              <w:rPr>
                <w:rFonts w:ascii="宋体" w:eastAsia="宋体" w:hAnsi="宋体" w:cs="宋体"/>
                <w:kern w:val="0"/>
                <w:sz w:val="15"/>
                <w:szCs w:val="15"/>
              </w:rPr>
            </w:pPr>
          </w:p>
        </w:tc>
      </w:tr>
      <w:tr w:rsidR="000640BA">
        <w:trPr>
          <w:trHeight w:val="508"/>
        </w:trPr>
        <w:tc>
          <w:tcPr>
            <w:tcW w:w="977"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热带作物品种资源研究所（FL30)</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1.5 </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29.4 </w:t>
            </w:r>
          </w:p>
        </w:tc>
        <w:tc>
          <w:tcPr>
            <w:tcW w:w="581"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69.1 </w:t>
            </w:r>
          </w:p>
        </w:tc>
        <w:tc>
          <w:tcPr>
            <w:tcW w:w="56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13.2 </w:t>
            </w:r>
          </w:p>
        </w:tc>
        <w:tc>
          <w:tcPr>
            <w:tcW w:w="503"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82.4 </w:t>
            </w:r>
          </w:p>
        </w:tc>
        <w:tc>
          <w:tcPr>
            <w:tcW w:w="664"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4.4 </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13.2 </w:t>
            </w:r>
          </w:p>
        </w:tc>
        <w:tc>
          <w:tcPr>
            <w:tcW w:w="686"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 xml:space="preserve">60.3 </w:t>
            </w:r>
          </w:p>
        </w:tc>
        <w:tc>
          <w:tcPr>
            <w:tcW w:w="607"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 xml:space="preserve">26.5 </w:t>
            </w:r>
          </w:p>
        </w:tc>
        <w:tc>
          <w:tcPr>
            <w:tcW w:w="517"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0.0 </w:t>
            </w:r>
          </w:p>
        </w:tc>
        <w:tc>
          <w:tcPr>
            <w:tcW w:w="581"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17.6 </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82.4 </w:t>
            </w:r>
          </w:p>
        </w:tc>
        <w:tc>
          <w:tcPr>
            <w:tcW w:w="529"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22.1 </w:t>
            </w:r>
          </w:p>
        </w:tc>
        <w:tc>
          <w:tcPr>
            <w:tcW w:w="630"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33.8 </w:t>
            </w:r>
          </w:p>
        </w:tc>
        <w:tc>
          <w:tcPr>
            <w:tcW w:w="56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44.1 </w:t>
            </w:r>
          </w:p>
        </w:tc>
      </w:tr>
      <w:tr w:rsidR="000640BA">
        <w:trPr>
          <w:trHeight w:val="508"/>
        </w:trPr>
        <w:tc>
          <w:tcPr>
            <w:tcW w:w="977"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腰果研究中心(FL30)</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31.9 </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54.2 </w:t>
            </w:r>
          </w:p>
        </w:tc>
        <w:tc>
          <w:tcPr>
            <w:tcW w:w="581"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13.9 </w:t>
            </w:r>
          </w:p>
        </w:tc>
        <w:tc>
          <w:tcPr>
            <w:tcW w:w="56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9.7 </w:t>
            </w:r>
          </w:p>
        </w:tc>
        <w:tc>
          <w:tcPr>
            <w:tcW w:w="503"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87.5 </w:t>
            </w:r>
          </w:p>
        </w:tc>
        <w:tc>
          <w:tcPr>
            <w:tcW w:w="664"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2.8 </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2.8 </w:t>
            </w:r>
          </w:p>
        </w:tc>
        <w:tc>
          <w:tcPr>
            <w:tcW w:w="686"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 xml:space="preserve">55.6 </w:t>
            </w:r>
          </w:p>
        </w:tc>
        <w:tc>
          <w:tcPr>
            <w:tcW w:w="607"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 xml:space="preserve">41.7 </w:t>
            </w:r>
          </w:p>
        </w:tc>
        <w:tc>
          <w:tcPr>
            <w:tcW w:w="517"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44.4 </w:t>
            </w:r>
          </w:p>
        </w:tc>
        <w:tc>
          <w:tcPr>
            <w:tcW w:w="581"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41.7 </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13.9 </w:t>
            </w:r>
          </w:p>
        </w:tc>
        <w:tc>
          <w:tcPr>
            <w:tcW w:w="529"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27.8 </w:t>
            </w:r>
          </w:p>
        </w:tc>
        <w:tc>
          <w:tcPr>
            <w:tcW w:w="630"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45.8 </w:t>
            </w:r>
          </w:p>
        </w:tc>
        <w:tc>
          <w:tcPr>
            <w:tcW w:w="56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26.4 </w:t>
            </w:r>
          </w:p>
        </w:tc>
      </w:tr>
      <w:tr w:rsidR="000640BA">
        <w:trPr>
          <w:trHeight w:val="508"/>
        </w:trPr>
        <w:tc>
          <w:tcPr>
            <w:tcW w:w="977"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腰果研究中心(HL2-21)</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12.9 </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58.6 </w:t>
            </w:r>
          </w:p>
        </w:tc>
        <w:tc>
          <w:tcPr>
            <w:tcW w:w="581"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28.6 </w:t>
            </w:r>
          </w:p>
        </w:tc>
        <w:tc>
          <w:tcPr>
            <w:tcW w:w="56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5.7 </w:t>
            </w:r>
          </w:p>
        </w:tc>
        <w:tc>
          <w:tcPr>
            <w:tcW w:w="503"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91.4 </w:t>
            </w:r>
          </w:p>
        </w:tc>
        <w:tc>
          <w:tcPr>
            <w:tcW w:w="664"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2.9 </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1.4 </w:t>
            </w:r>
          </w:p>
        </w:tc>
        <w:tc>
          <w:tcPr>
            <w:tcW w:w="686"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 xml:space="preserve">60.0 </w:t>
            </w:r>
          </w:p>
        </w:tc>
        <w:tc>
          <w:tcPr>
            <w:tcW w:w="607"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 xml:space="preserve">38.6 </w:t>
            </w:r>
          </w:p>
        </w:tc>
        <w:tc>
          <w:tcPr>
            <w:tcW w:w="517"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20.0 </w:t>
            </w:r>
          </w:p>
        </w:tc>
        <w:tc>
          <w:tcPr>
            <w:tcW w:w="581"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55.7 </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24.3 </w:t>
            </w:r>
          </w:p>
        </w:tc>
        <w:tc>
          <w:tcPr>
            <w:tcW w:w="529"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18.6 </w:t>
            </w:r>
          </w:p>
        </w:tc>
        <w:tc>
          <w:tcPr>
            <w:tcW w:w="630"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51.4 </w:t>
            </w:r>
          </w:p>
        </w:tc>
        <w:tc>
          <w:tcPr>
            <w:tcW w:w="56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30.0 </w:t>
            </w:r>
          </w:p>
        </w:tc>
      </w:tr>
      <w:tr w:rsidR="000640BA">
        <w:trPr>
          <w:trHeight w:val="508"/>
        </w:trPr>
        <w:tc>
          <w:tcPr>
            <w:tcW w:w="977"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新品种测试分中心(GA63)</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31.9 </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54.2 </w:t>
            </w:r>
          </w:p>
        </w:tc>
        <w:tc>
          <w:tcPr>
            <w:tcW w:w="581"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13.9 </w:t>
            </w:r>
          </w:p>
        </w:tc>
        <w:tc>
          <w:tcPr>
            <w:tcW w:w="56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9.7 </w:t>
            </w:r>
          </w:p>
        </w:tc>
        <w:tc>
          <w:tcPr>
            <w:tcW w:w="503"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87.5 </w:t>
            </w:r>
          </w:p>
        </w:tc>
        <w:tc>
          <w:tcPr>
            <w:tcW w:w="664"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2.8 </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2.8 </w:t>
            </w:r>
          </w:p>
        </w:tc>
        <w:tc>
          <w:tcPr>
            <w:tcW w:w="686"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 xml:space="preserve">55.6 </w:t>
            </w:r>
          </w:p>
        </w:tc>
        <w:tc>
          <w:tcPr>
            <w:tcW w:w="607"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 xml:space="preserve">41.7 </w:t>
            </w:r>
          </w:p>
        </w:tc>
        <w:tc>
          <w:tcPr>
            <w:tcW w:w="517"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44.4 </w:t>
            </w:r>
          </w:p>
        </w:tc>
        <w:tc>
          <w:tcPr>
            <w:tcW w:w="581"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41.7 </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13.9 </w:t>
            </w:r>
          </w:p>
        </w:tc>
        <w:tc>
          <w:tcPr>
            <w:tcW w:w="529"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27.8 </w:t>
            </w:r>
          </w:p>
        </w:tc>
        <w:tc>
          <w:tcPr>
            <w:tcW w:w="630"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45.8 </w:t>
            </w:r>
          </w:p>
        </w:tc>
        <w:tc>
          <w:tcPr>
            <w:tcW w:w="56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26.4 </w:t>
            </w:r>
          </w:p>
        </w:tc>
      </w:tr>
      <w:tr w:rsidR="000640BA">
        <w:trPr>
          <w:trHeight w:val="508"/>
        </w:trPr>
        <w:tc>
          <w:tcPr>
            <w:tcW w:w="977"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新品种测试分中心（HL2-13）</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12.9 </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58.6 </w:t>
            </w:r>
          </w:p>
        </w:tc>
        <w:tc>
          <w:tcPr>
            <w:tcW w:w="581"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28.6 </w:t>
            </w:r>
          </w:p>
        </w:tc>
        <w:tc>
          <w:tcPr>
            <w:tcW w:w="56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5.7 </w:t>
            </w:r>
          </w:p>
        </w:tc>
        <w:tc>
          <w:tcPr>
            <w:tcW w:w="503"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91.4 </w:t>
            </w:r>
          </w:p>
        </w:tc>
        <w:tc>
          <w:tcPr>
            <w:tcW w:w="664"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2.9 </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1.4 </w:t>
            </w:r>
          </w:p>
        </w:tc>
        <w:tc>
          <w:tcPr>
            <w:tcW w:w="686"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 xml:space="preserve">60.0 </w:t>
            </w:r>
          </w:p>
        </w:tc>
        <w:tc>
          <w:tcPr>
            <w:tcW w:w="607" w:type="dxa"/>
            <w:shd w:val="clear" w:color="auto" w:fill="auto"/>
            <w:vAlign w:val="center"/>
          </w:tcPr>
          <w:p w:rsidR="000640BA" w:rsidRDefault="00167F57">
            <w:pPr>
              <w:spacing w:after="0" w:line="240" w:lineRule="auto"/>
              <w:jc w:val="center"/>
              <w:rPr>
                <w:rFonts w:ascii="宋体" w:eastAsia="宋体" w:hAnsi="宋体" w:cs="宋体"/>
                <w:bCs/>
                <w:kern w:val="0"/>
                <w:sz w:val="15"/>
                <w:szCs w:val="15"/>
              </w:rPr>
            </w:pPr>
            <w:r>
              <w:rPr>
                <w:rFonts w:ascii="宋体" w:eastAsia="宋体" w:hAnsi="宋体" w:cs="宋体" w:hint="eastAsia"/>
                <w:bCs/>
                <w:kern w:val="0"/>
                <w:sz w:val="15"/>
                <w:szCs w:val="15"/>
              </w:rPr>
              <w:t xml:space="preserve">38.6 </w:t>
            </w:r>
          </w:p>
        </w:tc>
        <w:tc>
          <w:tcPr>
            <w:tcW w:w="517"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20.0 </w:t>
            </w:r>
          </w:p>
        </w:tc>
        <w:tc>
          <w:tcPr>
            <w:tcW w:w="581"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55.7 </w:t>
            </w:r>
          </w:p>
        </w:tc>
        <w:tc>
          <w:tcPr>
            <w:tcW w:w="48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24.3 </w:t>
            </w:r>
          </w:p>
        </w:tc>
        <w:tc>
          <w:tcPr>
            <w:tcW w:w="529"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18.6 </w:t>
            </w:r>
          </w:p>
        </w:tc>
        <w:tc>
          <w:tcPr>
            <w:tcW w:w="630"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51.4 </w:t>
            </w:r>
          </w:p>
        </w:tc>
        <w:tc>
          <w:tcPr>
            <w:tcW w:w="568" w:type="dxa"/>
            <w:shd w:val="clear" w:color="auto" w:fill="auto"/>
            <w:vAlign w:val="center"/>
          </w:tcPr>
          <w:p w:rsidR="000640BA" w:rsidRDefault="00167F57">
            <w:pPr>
              <w:spacing w:after="0" w:line="240" w:lineRule="auto"/>
              <w:jc w:val="center"/>
              <w:rPr>
                <w:rFonts w:ascii="宋体" w:eastAsia="宋体" w:hAnsi="宋体" w:cs="宋体"/>
                <w:kern w:val="0"/>
                <w:sz w:val="15"/>
                <w:szCs w:val="15"/>
              </w:rPr>
            </w:pPr>
            <w:r>
              <w:rPr>
                <w:rFonts w:ascii="宋体" w:eastAsia="宋体" w:hAnsi="宋体" w:cs="宋体" w:hint="eastAsia"/>
                <w:kern w:val="0"/>
                <w:sz w:val="15"/>
                <w:szCs w:val="15"/>
              </w:rPr>
              <w:t xml:space="preserve">30.0 </w:t>
            </w:r>
          </w:p>
        </w:tc>
      </w:tr>
    </w:tbl>
    <w:p w:rsidR="000640BA" w:rsidRDefault="00167F57">
      <w:pPr>
        <w:spacing w:beforeLines="50" w:before="120" w:after="0" w:line="360" w:lineRule="auto"/>
        <w:jc w:val="center"/>
        <w:rPr>
          <w:rFonts w:ascii="黑体" w:eastAsia="黑体" w:hAnsi="黑体"/>
          <w:sz w:val="24"/>
          <w:szCs w:val="24"/>
        </w:rPr>
      </w:pPr>
      <w:r>
        <w:rPr>
          <w:rFonts w:ascii="黑体" w:eastAsia="黑体" w:hAnsi="黑体" w:hint="eastAsia"/>
          <w:noProof/>
          <w:sz w:val="24"/>
          <w:szCs w:val="24"/>
        </w:rPr>
        <w:drawing>
          <wp:inline distT="0" distB="0" distL="0" distR="0" wp14:anchorId="075914FE" wp14:editId="7F87075F">
            <wp:extent cx="1889760" cy="2522220"/>
            <wp:effectExtent l="0" t="0" r="0" b="0"/>
            <wp:docPr id="9" name="图片 9" descr="C:\Users\Administrator\AppData\Local\Microsoft\Windows\INetCache\Content.Word\IMG_20191204_11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Local\Microsoft\Windows\INetCache\Content.Word\IMG_20191204_11153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889760" cy="2522220"/>
                    </a:xfrm>
                    <a:prstGeom prst="rect">
                      <a:avLst/>
                    </a:prstGeom>
                    <a:noFill/>
                    <a:ln>
                      <a:noFill/>
                    </a:ln>
                  </pic:spPr>
                </pic:pic>
              </a:graphicData>
            </a:graphic>
          </wp:inline>
        </w:drawing>
      </w:r>
      <w:r w:rsidR="002965E2">
        <w:rPr>
          <w:rFonts w:ascii="黑体" w:eastAsia="黑体" w:hAnsi="黑体" w:hint="eastAsia"/>
          <w:noProof/>
          <w:sz w:val="24"/>
          <w:szCs w:val="24"/>
        </w:rPr>
        <w:t xml:space="preserve"> </w:t>
      </w:r>
      <w:r w:rsidR="002965E2">
        <w:rPr>
          <w:rFonts w:ascii="黑体" w:eastAsia="黑体" w:hAnsi="黑体" w:hint="eastAsia"/>
          <w:noProof/>
          <w:sz w:val="24"/>
          <w:szCs w:val="24"/>
        </w:rPr>
        <w:drawing>
          <wp:inline distT="0" distB="0" distL="0" distR="0" wp14:anchorId="10D6E3C7" wp14:editId="1EED0324">
            <wp:extent cx="1889760" cy="2522220"/>
            <wp:effectExtent l="0" t="0" r="0" b="0"/>
            <wp:docPr id="10" name="图片 10" descr="C:\Users\Administrator\AppData\Local\Microsoft\Windows\INetCache\Content.Word\IMG_20191204_11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Local\Microsoft\Windows\INetCache\Content.Word\IMG_20191204_11161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889760" cy="2522220"/>
                    </a:xfrm>
                    <a:prstGeom prst="rect">
                      <a:avLst/>
                    </a:prstGeom>
                    <a:noFill/>
                    <a:ln>
                      <a:noFill/>
                    </a:ln>
                  </pic:spPr>
                </pic:pic>
              </a:graphicData>
            </a:graphic>
          </wp:inline>
        </w:drawing>
      </w:r>
    </w:p>
    <w:p w:rsidR="000640BA" w:rsidRDefault="00167F57">
      <w:pPr>
        <w:spacing w:before="120" w:after="0" w:line="240" w:lineRule="auto"/>
        <w:jc w:val="center"/>
        <w:rPr>
          <w:rFonts w:ascii="宋体" w:eastAsia="宋体" w:hAnsi="宋体" w:cs="宋体"/>
          <w:b/>
          <w:kern w:val="0"/>
          <w:sz w:val="18"/>
          <w:szCs w:val="24"/>
        </w:rPr>
      </w:pPr>
      <w:r>
        <w:rPr>
          <w:rFonts w:ascii="宋体" w:eastAsia="宋体" w:hAnsi="宋体" w:cs="宋体" w:hint="eastAsia"/>
          <w:b/>
          <w:kern w:val="0"/>
          <w:sz w:val="18"/>
          <w:szCs w:val="24"/>
        </w:rPr>
        <w:t>图9 腰果嫁接苗出圃标准</w:t>
      </w:r>
    </w:p>
    <w:p w:rsidR="000640BA" w:rsidRDefault="00167F57">
      <w:pPr>
        <w:spacing w:beforeLines="50" w:before="120" w:after="0" w:line="360" w:lineRule="auto"/>
        <w:ind w:firstLineChars="200" w:firstLine="480"/>
        <w:rPr>
          <w:rFonts w:ascii="黑体" w:eastAsia="黑体" w:hAnsi="黑体"/>
          <w:bCs/>
          <w:sz w:val="24"/>
          <w:szCs w:val="24"/>
        </w:rPr>
      </w:pPr>
      <w:r>
        <w:rPr>
          <w:rFonts w:ascii="黑体" w:eastAsia="黑体" w:hAnsi="黑体" w:hint="eastAsia"/>
          <w:bCs/>
          <w:sz w:val="24"/>
          <w:szCs w:val="24"/>
        </w:rPr>
        <w:lastRenderedPageBreak/>
        <w:t>（五）标准中如果涉及专利，应有明确的知识产权说明</w:t>
      </w:r>
    </w:p>
    <w:p w:rsidR="000640BA" w:rsidRDefault="00167F57">
      <w:pPr>
        <w:spacing w:beforeLines="50" w:before="120" w:after="0" w:line="360" w:lineRule="auto"/>
        <w:ind w:firstLineChars="300" w:firstLine="720"/>
        <w:rPr>
          <w:rFonts w:ascii="宋体" w:eastAsia="宋体" w:hAnsi="宋体"/>
          <w:bCs/>
          <w:sz w:val="24"/>
          <w:szCs w:val="24"/>
        </w:rPr>
      </w:pPr>
      <w:r>
        <w:rPr>
          <w:rFonts w:ascii="宋体" w:eastAsia="宋体" w:hAnsi="宋体"/>
          <w:bCs/>
          <w:sz w:val="24"/>
          <w:szCs w:val="24"/>
        </w:rPr>
        <w:t>无。</w:t>
      </w:r>
    </w:p>
    <w:p w:rsidR="000640BA" w:rsidRDefault="00167F57">
      <w:pPr>
        <w:spacing w:beforeLines="50" w:before="120" w:after="0" w:line="360" w:lineRule="auto"/>
        <w:ind w:firstLineChars="200" w:firstLine="480"/>
        <w:rPr>
          <w:rFonts w:ascii="黑体" w:eastAsia="黑体" w:hAnsi="黑体"/>
          <w:bCs/>
          <w:sz w:val="24"/>
          <w:szCs w:val="24"/>
        </w:rPr>
      </w:pPr>
      <w:r>
        <w:rPr>
          <w:rFonts w:ascii="黑体" w:eastAsia="黑体" w:hAnsi="黑体" w:hint="eastAsia"/>
          <w:bCs/>
          <w:sz w:val="24"/>
          <w:szCs w:val="24"/>
        </w:rPr>
        <w:t>（六）采用国际标准或国外先进标准的，说明采标程度，以及国内外同类标准水平的对比情况</w:t>
      </w:r>
    </w:p>
    <w:p w:rsidR="000640BA" w:rsidRDefault="00167F57">
      <w:pPr>
        <w:spacing w:beforeLines="50" w:before="120" w:after="0" w:line="360" w:lineRule="auto"/>
        <w:ind w:firstLineChars="200" w:firstLine="480"/>
        <w:rPr>
          <w:rFonts w:ascii="宋体" w:eastAsia="宋体" w:hAnsi="宋体"/>
          <w:bCs/>
          <w:sz w:val="24"/>
          <w:szCs w:val="24"/>
        </w:rPr>
      </w:pPr>
      <w:r>
        <w:rPr>
          <w:rFonts w:ascii="宋体" w:eastAsia="宋体" w:hAnsi="宋体" w:hint="eastAsia"/>
          <w:bCs/>
          <w:sz w:val="24"/>
          <w:szCs w:val="24"/>
        </w:rPr>
        <w:t>在标准的制定过程中严格贯彻国家有关方针、政策、法律和规章，经过国家市场技术监督管理局中国标准网、全国标准信息公共服务平台、海南省市场监督管理局网站检索并查询，标准的名称、内容及指标与现行法律法规和强制性的标准没有冲突，不存在包含、重复、交叉问题，与《腰果嫁接苗》相关的技术标准相衔接，遵循了政策性和协调同一性的原则。</w:t>
      </w:r>
    </w:p>
    <w:p w:rsidR="000640BA" w:rsidRDefault="00167F57">
      <w:pPr>
        <w:spacing w:beforeLines="50" w:before="120" w:after="0" w:line="360" w:lineRule="auto"/>
        <w:ind w:firstLineChars="200" w:firstLine="480"/>
        <w:rPr>
          <w:rFonts w:ascii="黑体" w:eastAsia="黑体" w:hAnsi="黑体"/>
          <w:bCs/>
          <w:sz w:val="24"/>
          <w:szCs w:val="24"/>
        </w:rPr>
      </w:pPr>
      <w:r>
        <w:rPr>
          <w:rFonts w:ascii="黑体" w:eastAsia="黑体" w:hAnsi="黑体" w:hint="eastAsia"/>
          <w:bCs/>
          <w:sz w:val="24"/>
          <w:szCs w:val="24"/>
        </w:rPr>
        <w:t>（七）重大分歧意见的处理依据和结果</w:t>
      </w:r>
    </w:p>
    <w:p w:rsidR="000640BA" w:rsidRDefault="00167F57">
      <w:pPr>
        <w:spacing w:beforeLines="50" w:before="120" w:after="0" w:line="360" w:lineRule="auto"/>
        <w:ind w:firstLineChars="400" w:firstLine="960"/>
        <w:rPr>
          <w:rFonts w:ascii="宋体" w:eastAsia="宋体" w:hAnsi="宋体"/>
          <w:bCs/>
          <w:sz w:val="24"/>
          <w:szCs w:val="24"/>
        </w:rPr>
      </w:pPr>
      <w:r>
        <w:rPr>
          <w:rFonts w:ascii="宋体" w:eastAsia="宋体" w:hAnsi="宋体" w:hint="eastAsia"/>
          <w:bCs/>
          <w:sz w:val="24"/>
          <w:szCs w:val="24"/>
        </w:rPr>
        <w:t>无。</w:t>
      </w:r>
    </w:p>
    <w:p w:rsidR="000640BA" w:rsidRDefault="00167F57">
      <w:pPr>
        <w:spacing w:beforeLines="50" w:before="120" w:after="0" w:line="360" w:lineRule="auto"/>
        <w:ind w:firstLineChars="200" w:firstLine="480"/>
        <w:rPr>
          <w:rFonts w:ascii="黑体" w:eastAsia="黑体" w:hAnsi="黑体"/>
          <w:bCs/>
          <w:sz w:val="24"/>
          <w:szCs w:val="24"/>
        </w:rPr>
      </w:pPr>
      <w:r>
        <w:rPr>
          <w:rFonts w:ascii="黑体" w:eastAsia="黑体" w:hAnsi="黑体" w:hint="eastAsia"/>
          <w:bCs/>
          <w:sz w:val="24"/>
          <w:szCs w:val="24"/>
        </w:rPr>
        <w:t>（八）贯彻标准的要求和措施建议（包括组织措施、技术措施、过渡办法、实施日期等）</w:t>
      </w:r>
    </w:p>
    <w:p w:rsidR="000640BA" w:rsidRDefault="00167F57">
      <w:pPr>
        <w:spacing w:beforeLines="50" w:before="120" w:after="0" w:line="360" w:lineRule="auto"/>
        <w:ind w:firstLineChars="200" w:firstLine="480"/>
        <w:rPr>
          <w:rFonts w:ascii="宋体" w:eastAsia="宋体" w:hAnsi="宋体"/>
          <w:bCs/>
          <w:sz w:val="24"/>
          <w:szCs w:val="24"/>
        </w:rPr>
      </w:pPr>
      <w:r>
        <w:rPr>
          <w:rFonts w:ascii="宋体" w:eastAsia="宋体" w:hAnsi="宋体" w:hint="eastAsia"/>
          <w:bCs/>
          <w:sz w:val="24"/>
          <w:szCs w:val="24"/>
        </w:rPr>
        <w:t>本标准作为种苗繁育技术标准，并不涉及有关国家安全、保护人体健康和人身财产安全、环境质量要求等有关强制性地方标准或强制性条文等的八项要求之一。因此，建议报批审核后作为推荐性地方标准颁布实施。</w:t>
      </w:r>
    </w:p>
    <w:p w:rsidR="000640BA" w:rsidRDefault="00167F57">
      <w:pPr>
        <w:spacing w:beforeLines="50" w:before="120" w:after="0" w:line="360" w:lineRule="auto"/>
        <w:ind w:firstLineChars="200" w:firstLine="480"/>
        <w:rPr>
          <w:rFonts w:ascii="黑体" w:eastAsia="黑体" w:hAnsi="黑体"/>
          <w:bCs/>
          <w:sz w:val="24"/>
          <w:szCs w:val="24"/>
        </w:rPr>
      </w:pPr>
      <w:r>
        <w:rPr>
          <w:rFonts w:ascii="黑体" w:eastAsia="黑体" w:hAnsi="黑体" w:hint="eastAsia"/>
          <w:bCs/>
          <w:sz w:val="24"/>
          <w:szCs w:val="24"/>
        </w:rPr>
        <w:t>（九）预期效果</w:t>
      </w:r>
    </w:p>
    <w:p w:rsidR="000640BA" w:rsidRDefault="00167F57">
      <w:pPr>
        <w:spacing w:beforeLines="50" w:before="120" w:after="0" w:line="360" w:lineRule="auto"/>
        <w:ind w:firstLineChars="200" w:firstLine="480"/>
        <w:rPr>
          <w:rFonts w:ascii="宋体" w:eastAsia="宋体" w:hAnsi="宋体"/>
          <w:bCs/>
          <w:sz w:val="24"/>
          <w:szCs w:val="24"/>
        </w:rPr>
      </w:pPr>
      <w:r>
        <w:rPr>
          <w:rFonts w:ascii="宋体" w:eastAsia="宋体" w:hAnsi="宋体" w:hint="eastAsia"/>
          <w:bCs/>
          <w:sz w:val="24"/>
          <w:szCs w:val="24"/>
        </w:rPr>
        <w:t>制定腰果种苗繁育技术规程标准，有助于提升腰果产业的整体水平，促进产业的健康稳定发展。通过规范腰果种苗繁育过程，可以确保消费者购买到优质、安全的腰果产品，保护消费者的权益。腰果产业的发展将带动种植、加工、销售等相关产业的发展，促进地方经济的繁荣。制定与国际接轨的技术规程，有助于提升中国腰果产业的国际竞争力，拓展国际市场。腰果作为一种经济价值高、营养丰富的坚果，在中国具有广阔的种植前景。因此，制定腰果种苗繁育技术规程地方标准，对于提升腰果产业整体水平、保障产品质量安全、促进产业可持续发展。</w:t>
      </w:r>
    </w:p>
    <w:p w:rsidR="000640BA" w:rsidRDefault="00167F57">
      <w:pPr>
        <w:spacing w:beforeLines="50" w:before="120" w:after="0" w:line="360" w:lineRule="auto"/>
        <w:ind w:firstLineChars="200" w:firstLine="480"/>
        <w:rPr>
          <w:rFonts w:ascii="黑体" w:eastAsia="黑体" w:hAnsi="黑体"/>
          <w:bCs/>
          <w:sz w:val="24"/>
          <w:szCs w:val="24"/>
        </w:rPr>
      </w:pPr>
      <w:r>
        <w:rPr>
          <w:rFonts w:ascii="黑体" w:eastAsia="黑体" w:hAnsi="黑体" w:hint="eastAsia"/>
          <w:bCs/>
          <w:sz w:val="24"/>
          <w:szCs w:val="24"/>
        </w:rPr>
        <w:t>（十）其他应予说明的事项</w:t>
      </w:r>
    </w:p>
    <w:p w:rsidR="000640BA" w:rsidRDefault="00167F57">
      <w:pPr>
        <w:spacing w:beforeLines="50" w:before="120" w:after="0" w:line="360" w:lineRule="auto"/>
        <w:ind w:firstLineChars="200" w:firstLine="480"/>
        <w:rPr>
          <w:rFonts w:ascii="宋体" w:eastAsia="宋体" w:hAnsi="宋体"/>
          <w:bCs/>
          <w:sz w:val="24"/>
          <w:szCs w:val="24"/>
        </w:rPr>
      </w:pPr>
      <w:r>
        <w:rPr>
          <w:rFonts w:ascii="宋体" w:eastAsia="宋体" w:hAnsi="宋体" w:hint="eastAsia"/>
          <w:bCs/>
          <w:sz w:val="24"/>
          <w:szCs w:val="24"/>
        </w:rPr>
        <w:lastRenderedPageBreak/>
        <w:t>无。</w:t>
      </w:r>
    </w:p>
    <w:sectPr w:rsidR="000640BA">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D552F94" w15:done="0"/>
  <w15:commentEx w15:paraId="0EC214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79F" w:rsidRDefault="0035279F">
      <w:pPr>
        <w:spacing w:line="240" w:lineRule="auto"/>
      </w:pPr>
      <w:r>
        <w:separator/>
      </w:r>
    </w:p>
  </w:endnote>
  <w:endnote w:type="continuationSeparator" w:id="0">
    <w:p w:rsidR="0035279F" w:rsidRDefault="003527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79F" w:rsidRDefault="0035279F">
      <w:pPr>
        <w:spacing w:after="0"/>
      </w:pPr>
      <w:r>
        <w:separator/>
      </w:r>
    </w:p>
  </w:footnote>
  <w:footnote w:type="continuationSeparator" w:id="0">
    <w:p w:rsidR="0035279F" w:rsidRDefault="0035279F">
      <w:pPr>
        <w:spacing w:after="0"/>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AWEI">
    <w15:presenceInfo w15:providerId="None" w15:userId="HUAWEI"/>
  </w15:person>
  <w15:person w15:author="zhongrun zhang">
    <w15:presenceInfo w15:providerId="Windows Live" w15:userId="47cd81b5adbf2897"/>
  </w15:person>
  <w15:person w15:author="China">
    <w15:presenceInfo w15:providerId="None" w15:userId="China"/>
  </w15:person>
  <w15:person w15:author="海杰">
    <w15:presenceInfo w15:providerId="WPS Office" w15:userId="38331268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YzMzMzhlMTI2ZGFlMjYyN2U4NTY3MDcyMDZjZTgifQ=="/>
  </w:docVars>
  <w:rsids>
    <w:rsidRoot w:val="00194C3C"/>
    <w:rsid w:val="00062973"/>
    <w:rsid w:val="000636DF"/>
    <w:rsid w:val="000640BA"/>
    <w:rsid w:val="000E0D85"/>
    <w:rsid w:val="000E2EB7"/>
    <w:rsid w:val="000E3EA3"/>
    <w:rsid w:val="00111433"/>
    <w:rsid w:val="00117220"/>
    <w:rsid w:val="00126310"/>
    <w:rsid w:val="001428A9"/>
    <w:rsid w:val="001639A6"/>
    <w:rsid w:val="00166831"/>
    <w:rsid w:val="00167F57"/>
    <w:rsid w:val="001760DF"/>
    <w:rsid w:val="00184FAE"/>
    <w:rsid w:val="00191201"/>
    <w:rsid w:val="00194C3C"/>
    <w:rsid w:val="001D1DA0"/>
    <w:rsid w:val="001E6F84"/>
    <w:rsid w:val="00207F82"/>
    <w:rsid w:val="00223D96"/>
    <w:rsid w:val="002357BE"/>
    <w:rsid w:val="002411BC"/>
    <w:rsid w:val="0025391E"/>
    <w:rsid w:val="00257ABB"/>
    <w:rsid w:val="00281927"/>
    <w:rsid w:val="00294BF8"/>
    <w:rsid w:val="002965E2"/>
    <w:rsid w:val="002D3E4B"/>
    <w:rsid w:val="002F2E5C"/>
    <w:rsid w:val="00333FB8"/>
    <w:rsid w:val="0033745F"/>
    <w:rsid w:val="00351760"/>
    <w:rsid w:val="0035279F"/>
    <w:rsid w:val="00395665"/>
    <w:rsid w:val="003B54A7"/>
    <w:rsid w:val="003E5771"/>
    <w:rsid w:val="003E6419"/>
    <w:rsid w:val="003E6B43"/>
    <w:rsid w:val="00416122"/>
    <w:rsid w:val="00417776"/>
    <w:rsid w:val="00420A71"/>
    <w:rsid w:val="00456613"/>
    <w:rsid w:val="00460B97"/>
    <w:rsid w:val="0047322E"/>
    <w:rsid w:val="0047637C"/>
    <w:rsid w:val="00484683"/>
    <w:rsid w:val="004F0782"/>
    <w:rsid w:val="004F58C7"/>
    <w:rsid w:val="005212C0"/>
    <w:rsid w:val="005329CC"/>
    <w:rsid w:val="00542054"/>
    <w:rsid w:val="005462DF"/>
    <w:rsid w:val="005A32EF"/>
    <w:rsid w:val="005A7604"/>
    <w:rsid w:val="005C01CD"/>
    <w:rsid w:val="005C5700"/>
    <w:rsid w:val="005F6865"/>
    <w:rsid w:val="00626B8B"/>
    <w:rsid w:val="0065353A"/>
    <w:rsid w:val="00660E04"/>
    <w:rsid w:val="006C3CEE"/>
    <w:rsid w:val="006C4F71"/>
    <w:rsid w:val="006D6C81"/>
    <w:rsid w:val="006F6DA2"/>
    <w:rsid w:val="0072599A"/>
    <w:rsid w:val="00736032"/>
    <w:rsid w:val="00736DEA"/>
    <w:rsid w:val="00752676"/>
    <w:rsid w:val="0075329E"/>
    <w:rsid w:val="00764EF3"/>
    <w:rsid w:val="007A2B5F"/>
    <w:rsid w:val="007B74CF"/>
    <w:rsid w:val="007E02AC"/>
    <w:rsid w:val="007E224B"/>
    <w:rsid w:val="00800ED4"/>
    <w:rsid w:val="008026AA"/>
    <w:rsid w:val="00826707"/>
    <w:rsid w:val="0083092E"/>
    <w:rsid w:val="008335C9"/>
    <w:rsid w:val="008344E7"/>
    <w:rsid w:val="008345BA"/>
    <w:rsid w:val="00864A2C"/>
    <w:rsid w:val="00871893"/>
    <w:rsid w:val="00873743"/>
    <w:rsid w:val="0089210D"/>
    <w:rsid w:val="008B7C2B"/>
    <w:rsid w:val="008C5716"/>
    <w:rsid w:val="008E51D1"/>
    <w:rsid w:val="008E6B08"/>
    <w:rsid w:val="008F6697"/>
    <w:rsid w:val="0090695E"/>
    <w:rsid w:val="00912132"/>
    <w:rsid w:val="009146C5"/>
    <w:rsid w:val="00940292"/>
    <w:rsid w:val="009516AC"/>
    <w:rsid w:val="009522F2"/>
    <w:rsid w:val="009C380E"/>
    <w:rsid w:val="009D35D3"/>
    <w:rsid w:val="009E071D"/>
    <w:rsid w:val="00A54E88"/>
    <w:rsid w:val="00AC1AD3"/>
    <w:rsid w:val="00AD5DD0"/>
    <w:rsid w:val="00AF06E0"/>
    <w:rsid w:val="00B03DB6"/>
    <w:rsid w:val="00B56CC1"/>
    <w:rsid w:val="00B70B38"/>
    <w:rsid w:val="00B77F44"/>
    <w:rsid w:val="00BC7D07"/>
    <w:rsid w:val="00BF47E6"/>
    <w:rsid w:val="00C14016"/>
    <w:rsid w:val="00C14399"/>
    <w:rsid w:val="00C207A1"/>
    <w:rsid w:val="00C236D3"/>
    <w:rsid w:val="00C30495"/>
    <w:rsid w:val="00C33E04"/>
    <w:rsid w:val="00C51BB8"/>
    <w:rsid w:val="00C65832"/>
    <w:rsid w:val="00C709F9"/>
    <w:rsid w:val="00C72574"/>
    <w:rsid w:val="00C87198"/>
    <w:rsid w:val="00C96EA0"/>
    <w:rsid w:val="00CA45C0"/>
    <w:rsid w:val="00CB6C48"/>
    <w:rsid w:val="00CC0AFC"/>
    <w:rsid w:val="00CE382D"/>
    <w:rsid w:val="00CE64A2"/>
    <w:rsid w:val="00CE7F49"/>
    <w:rsid w:val="00CF0C18"/>
    <w:rsid w:val="00CF1B15"/>
    <w:rsid w:val="00D02892"/>
    <w:rsid w:val="00D076F1"/>
    <w:rsid w:val="00D1131F"/>
    <w:rsid w:val="00D52104"/>
    <w:rsid w:val="00DD577E"/>
    <w:rsid w:val="00DD5FBB"/>
    <w:rsid w:val="00DE6676"/>
    <w:rsid w:val="00E040C2"/>
    <w:rsid w:val="00E0539A"/>
    <w:rsid w:val="00E16D74"/>
    <w:rsid w:val="00E42376"/>
    <w:rsid w:val="00E45584"/>
    <w:rsid w:val="00E56031"/>
    <w:rsid w:val="00E678E1"/>
    <w:rsid w:val="00E918E3"/>
    <w:rsid w:val="00EB40E8"/>
    <w:rsid w:val="00EB7072"/>
    <w:rsid w:val="00EC3BA4"/>
    <w:rsid w:val="00ED7A14"/>
    <w:rsid w:val="00EE3156"/>
    <w:rsid w:val="00F458B7"/>
    <w:rsid w:val="00F6219A"/>
    <w:rsid w:val="00FA3456"/>
    <w:rsid w:val="00FA3A5C"/>
    <w:rsid w:val="4DC81943"/>
    <w:rsid w:val="55A16CD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kern w:val="2"/>
      <w:sz w:val="22"/>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autoRedefine/>
    <w:uiPriority w:val="99"/>
    <w:unhideWhenUsed/>
    <w:qFormat/>
  </w:style>
  <w:style w:type="paragraph" w:styleId="a4">
    <w:name w:val="Balloon Text"/>
    <w:basedOn w:val="a"/>
    <w:link w:val="Char0"/>
    <w:autoRedefine/>
    <w:uiPriority w:val="99"/>
    <w:semiHidden/>
    <w:unhideWhenUsed/>
    <w:qFormat/>
    <w:pPr>
      <w:spacing w:after="0" w:line="240" w:lineRule="auto"/>
    </w:pPr>
    <w:rPr>
      <w:sz w:val="18"/>
      <w:szCs w:val="18"/>
    </w:rPr>
  </w:style>
  <w:style w:type="paragraph" w:styleId="a5">
    <w:name w:val="footer"/>
    <w:basedOn w:val="a"/>
    <w:link w:val="Char1"/>
    <w:uiPriority w:val="99"/>
    <w:unhideWhenUsed/>
    <w:qFormat/>
    <w:pPr>
      <w:tabs>
        <w:tab w:val="center" w:pos="4153"/>
        <w:tab w:val="right" w:pos="8306"/>
      </w:tabs>
      <w:snapToGrid w:val="0"/>
      <w:spacing w:line="240" w:lineRule="auto"/>
    </w:pPr>
    <w:rPr>
      <w:sz w:val="18"/>
      <w:szCs w:val="18"/>
    </w:rPr>
  </w:style>
  <w:style w:type="paragraph" w:styleId="a6">
    <w:name w:val="header"/>
    <w:basedOn w:val="a"/>
    <w:link w:val="Char2"/>
    <w:autoRedefine/>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7">
    <w:name w:val="annotation subject"/>
    <w:basedOn w:val="a3"/>
    <w:next w:val="a3"/>
    <w:link w:val="Char3"/>
    <w:uiPriority w:val="99"/>
    <w:semiHidden/>
    <w:unhideWhenUsed/>
    <w:rPr>
      <w:b/>
      <w:bCs/>
    </w:rPr>
  </w:style>
  <w:style w:type="table" w:styleId="a8">
    <w:name w:val="Table Grid"/>
    <w:basedOn w:val="a1"/>
    <w:autoRedefine/>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qFormat/>
    <w:rPr>
      <w:sz w:val="21"/>
      <w:szCs w:val="21"/>
    </w:rPr>
  </w:style>
  <w:style w:type="character" w:customStyle="1" w:styleId="Char0">
    <w:name w:val="批注框文本 Char"/>
    <w:basedOn w:val="a0"/>
    <w:link w:val="a4"/>
    <w:autoRedefine/>
    <w:uiPriority w:val="99"/>
    <w:semiHidden/>
    <w:qFormat/>
    <w:rPr>
      <w:sz w:val="18"/>
      <w:szCs w:val="18"/>
    </w:rPr>
  </w:style>
  <w:style w:type="paragraph" w:customStyle="1" w:styleId="aa">
    <w:name w:val="标准文件_段"/>
    <w:link w:val="Char4"/>
    <w:autoRedefine/>
    <w:qFormat/>
    <w:pPr>
      <w:autoSpaceDE w:val="0"/>
      <w:autoSpaceDN w:val="0"/>
      <w:ind w:firstLineChars="200" w:firstLine="200"/>
      <w:jc w:val="both"/>
    </w:pPr>
    <w:rPr>
      <w:rFonts w:ascii="宋体" w:eastAsia="宋体" w:hAnsi="Times New Roman" w:cs="Times New Roman"/>
      <w:sz w:val="21"/>
    </w:rPr>
  </w:style>
  <w:style w:type="character" w:customStyle="1" w:styleId="Char4">
    <w:name w:val="标准文件_段 Char"/>
    <w:link w:val="aa"/>
    <w:qFormat/>
    <w:rPr>
      <w:rFonts w:ascii="宋体" w:eastAsia="宋体" w:hAnsi="Times New Roman" w:cs="Times New Roman"/>
      <w:kern w:val="0"/>
      <w:sz w:val="21"/>
      <w:szCs w:val="20"/>
      <w14:ligatures w14:val="none"/>
    </w:rPr>
  </w:style>
  <w:style w:type="paragraph" w:customStyle="1" w:styleId="ab">
    <w:name w:val="标准文件_表格"/>
    <w:basedOn w:val="aa"/>
    <w:autoRedefine/>
    <w:qFormat/>
    <w:pPr>
      <w:ind w:firstLineChars="0" w:firstLine="0"/>
      <w:jc w:val="center"/>
    </w:pPr>
    <w:rPr>
      <w:sz w:val="18"/>
    </w:rPr>
  </w:style>
  <w:style w:type="paragraph" w:customStyle="1" w:styleId="Other1">
    <w:name w:val="Other|1"/>
    <w:basedOn w:val="a"/>
    <w:autoRedefine/>
    <w:qFormat/>
    <w:pPr>
      <w:widowControl w:val="0"/>
      <w:wordWrap w:val="0"/>
      <w:spacing w:after="100" w:line="338" w:lineRule="auto"/>
      <w:ind w:firstLine="400"/>
      <w:jc w:val="both"/>
    </w:pPr>
    <w:rPr>
      <w:rFonts w:ascii="宋体" w:hAnsi="宋体" w:cs="宋体"/>
      <w:sz w:val="18"/>
      <w:szCs w:val="18"/>
      <w:lang w:val="zh-TW" w:eastAsia="zh-TW" w:bidi="zh-TW"/>
      <w14:ligatures w14:val="none"/>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autoRedefine/>
    <w:uiPriority w:val="99"/>
    <w:qFormat/>
  </w:style>
  <w:style w:type="character" w:customStyle="1" w:styleId="Char3">
    <w:name w:val="批注主题 Char"/>
    <w:basedOn w:val="Char"/>
    <w:link w:val="a7"/>
    <w:autoRedefine/>
    <w:uiPriority w:val="99"/>
    <w:semiHidden/>
    <w:qFormat/>
    <w:rPr>
      <w:b/>
      <w:bCs/>
    </w:rPr>
  </w:style>
  <w:style w:type="paragraph" w:customStyle="1" w:styleId="1">
    <w:name w:val="修订1"/>
    <w:hidden/>
    <w:uiPriority w:val="99"/>
    <w:semiHidden/>
    <w:rPr>
      <w:kern w:val="2"/>
      <w:sz w:val="22"/>
      <w:szCs w:val="22"/>
      <w14:ligatures w14:val="standardContextual"/>
    </w:rPr>
  </w:style>
  <w:style w:type="paragraph" w:customStyle="1" w:styleId="2">
    <w:name w:val="修订2"/>
    <w:hidden/>
    <w:uiPriority w:val="99"/>
    <w:unhideWhenUsed/>
    <w:qFormat/>
    <w:rPr>
      <w:kern w:val="2"/>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kern w:val="2"/>
      <w:sz w:val="22"/>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autoRedefine/>
    <w:uiPriority w:val="99"/>
    <w:unhideWhenUsed/>
    <w:qFormat/>
  </w:style>
  <w:style w:type="paragraph" w:styleId="a4">
    <w:name w:val="Balloon Text"/>
    <w:basedOn w:val="a"/>
    <w:link w:val="Char0"/>
    <w:autoRedefine/>
    <w:uiPriority w:val="99"/>
    <w:semiHidden/>
    <w:unhideWhenUsed/>
    <w:qFormat/>
    <w:pPr>
      <w:spacing w:after="0" w:line="240" w:lineRule="auto"/>
    </w:pPr>
    <w:rPr>
      <w:sz w:val="18"/>
      <w:szCs w:val="18"/>
    </w:rPr>
  </w:style>
  <w:style w:type="paragraph" w:styleId="a5">
    <w:name w:val="footer"/>
    <w:basedOn w:val="a"/>
    <w:link w:val="Char1"/>
    <w:uiPriority w:val="99"/>
    <w:unhideWhenUsed/>
    <w:qFormat/>
    <w:pPr>
      <w:tabs>
        <w:tab w:val="center" w:pos="4153"/>
        <w:tab w:val="right" w:pos="8306"/>
      </w:tabs>
      <w:snapToGrid w:val="0"/>
      <w:spacing w:line="240" w:lineRule="auto"/>
    </w:pPr>
    <w:rPr>
      <w:sz w:val="18"/>
      <w:szCs w:val="18"/>
    </w:rPr>
  </w:style>
  <w:style w:type="paragraph" w:styleId="a6">
    <w:name w:val="header"/>
    <w:basedOn w:val="a"/>
    <w:link w:val="Char2"/>
    <w:autoRedefine/>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7">
    <w:name w:val="annotation subject"/>
    <w:basedOn w:val="a3"/>
    <w:next w:val="a3"/>
    <w:link w:val="Char3"/>
    <w:uiPriority w:val="99"/>
    <w:semiHidden/>
    <w:unhideWhenUsed/>
    <w:rPr>
      <w:b/>
      <w:bCs/>
    </w:rPr>
  </w:style>
  <w:style w:type="table" w:styleId="a8">
    <w:name w:val="Table Grid"/>
    <w:basedOn w:val="a1"/>
    <w:autoRedefine/>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qFormat/>
    <w:rPr>
      <w:sz w:val="21"/>
      <w:szCs w:val="21"/>
    </w:rPr>
  </w:style>
  <w:style w:type="character" w:customStyle="1" w:styleId="Char0">
    <w:name w:val="批注框文本 Char"/>
    <w:basedOn w:val="a0"/>
    <w:link w:val="a4"/>
    <w:autoRedefine/>
    <w:uiPriority w:val="99"/>
    <w:semiHidden/>
    <w:qFormat/>
    <w:rPr>
      <w:sz w:val="18"/>
      <w:szCs w:val="18"/>
    </w:rPr>
  </w:style>
  <w:style w:type="paragraph" w:customStyle="1" w:styleId="aa">
    <w:name w:val="标准文件_段"/>
    <w:link w:val="Char4"/>
    <w:autoRedefine/>
    <w:qFormat/>
    <w:pPr>
      <w:autoSpaceDE w:val="0"/>
      <w:autoSpaceDN w:val="0"/>
      <w:ind w:firstLineChars="200" w:firstLine="200"/>
      <w:jc w:val="both"/>
    </w:pPr>
    <w:rPr>
      <w:rFonts w:ascii="宋体" w:eastAsia="宋体" w:hAnsi="Times New Roman" w:cs="Times New Roman"/>
      <w:sz w:val="21"/>
    </w:rPr>
  </w:style>
  <w:style w:type="character" w:customStyle="1" w:styleId="Char4">
    <w:name w:val="标准文件_段 Char"/>
    <w:link w:val="aa"/>
    <w:qFormat/>
    <w:rPr>
      <w:rFonts w:ascii="宋体" w:eastAsia="宋体" w:hAnsi="Times New Roman" w:cs="Times New Roman"/>
      <w:kern w:val="0"/>
      <w:sz w:val="21"/>
      <w:szCs w:val="20"/>
      <w14:ligatures w14:val="none"/>
    </w:rPr>
  </w:style>
  <w:style w:type="paragraph" w:customStyle="1" w:styleId="ab">
    <w:name w:val="标准文件_表格"/>
    <w:basedOn w:val="aa"/>
    <w:autoRedefine/>
    <w:qFormat/>
    <w:pPr>
      <w:ind w:firstLineChars="0" w:firstLine="0"/>
      <w:jc w:val="center"/>
    </w:pPr>
    <w:rPr>
      <w:sz w:val="18"/>
    </w:rPr>
  </w:style>
  <w:style w:type="paragraph" w:customStyle="1" w:styleId="Other1">
    <w:name w:val="Other|1"/>
    <w:basedOn w:val="a"/>
    <w:autoRedefine/>
    <w:qFormat/>
    <w:pPr>
      <w:widowControl w:val="0"/>
      <w:wordWrap w:val="0"/>
      <w:spacing w:after="100" w:line="338" w:lineRule="auto"/>
      <w:ind w:firstLine="400"/>
      <w:jc w:val="both"/>
    </w:pPr>
    <w:rPr>
      <w:rFonts w:ascii="宋体" w:hAnsi="宋体" w:cs="宋体"/>
      <w:sz w:val="18"/>
      <w:szCs w:val="18"/>
      <w:lang w:val="zh-TW" w:eastAsia="zh-TW" w:bidi="zh-TW"/>
      <w14:ligatures w14:val="none"/>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autoRedefine/>
    <w:uiPriority w:val="99"/>
    <w:qFormat/>
  </w:style>
  <w:style w:type="character" w:customStyle="1" w:styleId="Char3">
    <w:name w:val="批注主题 Char"/>
    <w:basedOn w:val="Char"/>
    <w:link w:val="a7"/>
    <w:autoRedefine/>
    <w:uiPriority w:val="99"/>
    <w:semiHidden/>
    <w:qFormat/>
    <w:rPr>
      <w:b/>
      <w:bCs/>
    </w:rPr>
  </w:style>
  <w:style w:type="paragraph" w:customStyle="1" w:styleId="1">
    <w:name w:val="修订1"/>
    <w:hidden/>
    <w:uiPriority w:val="99"/>
    <w:semiHidden/>
    <w:rPr>
      <w:kern w:val="2"/>
      <w:sz w:val="22"/>
      <w:szCs w:val="22"/>
      <w14:ligatures w14:val="standardContextual"/>
    </w:rPr>
  </w:style>
  <w:style w:type="paragraph" w:customStyle="1" w:styleId="2">
    <w:name w:val="修订2"/>
    <w:hidden/>
    <w:uiPriority w:val="99"/>
    <w:unhideWhenUsed/>
    <w:qFormat/>
    <w:rPr>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chart" Target="charts/chart3.xml"/><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chart" Target="charts/chart1.xml"/><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F:\&#25105;&#30340;&#22362;&#26524;&#20113;\01%20&#35838;&#39064;&#30003;&#35831;\2018&#22320;&#26041;&#26631;&#20934;-&#33136;&#26524;&#31181;&#33495;\2019&#24180;&#33136;&#26524;&#23233;&#25509;&#33495;&#32321;&#32946;&#35268;&#31243;\&#33136;&#26524;&#31181;&#33495;&#30000;&#38388;&#35843;&#26597;&#25968;&#25454;2019.8.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25105;&#30340;&#22362;&#26524;&#20113;\01%20&#35838;&#39064;&#30003;&#35831;\2018&#22320;&#26041;&#26631;&#20934;-&#33136;&#26524;&#31181;&#33495;\2019&#24180;&#33136;&#26524;&#23233;&#25509;&#33495;&#32321;&#32946;&#35268;&#31243;\&#33136;&#26524;&#31181;&#33495;&#30000;&#38388;&#35843;&#26597;&#25968;&#25454;2019.8.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25105;&#30340;&#22362;&#26524;&#20113;\01%20&#35838;&#39064;&#30003;&#35831;\2018&#22320;&#26041;&#26631;&#20934;-&#33136;&#26524;&#31181;&#33495;\2019&#24180;&#33136;&#26524;&#23233;&#25509;&#33495;&#32321;&#32946;&#35268;&#31243;\&#33136;&#26524;&#31181;&#33495;&#30000;&#38388;&#35843;&#26597;&#25968;&#25454;2019.8.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960" b="0" i="0" u="none" strike="noStrike" kern="1200" baseline="0">
                <a:solidFill>
                  <a:sysClr val="windowText" lastClr="000000"/>
                </a:solidFill>
                <a:latin typeface="宋体" panose="02010600030101010101" charset="-122"/>
                <a:ea typeface="宋体" panose="02010600030101010101" charset="-122"/>
                <a:cs typeface="+mn-cs"/>
              </a:defRPr>
            </a:pPr>
            <a:r>
              <a:rPr lang="en-US"/>
              <a:t>A  </a:t>
            </a:r>
            <a:r>
              <a:rPr lang="zh-CN"/>
              <a:t>砧木茎粗</a:t>
            </a:r>
            <a:endParaRPr lang="en-US"/>
          </a:p>
        </c:rich>
      </c:tx>
      <c:layout>
        <c:manualLayout>
          <c:xMode val="edge"/>
          <c:yMode val="edge"/>
          <c:x val="0.244936959422872"/>
          <c:y val="6.0737927670545602E-2"/>
        </c:manualLayout>
      </c:layout>
      <c:overlay val="0"/>
    </c:title>
    <c:autoTitleDeleted val="0"/>
    <c:plotArea>
      <c:layout>
        <c:manualLayout>
          <c:layoutTarget val="inner"/>
          <c:xMode val="edge"/>
          <c:yMode val="edge"/>
          <c:x val="0.248067615401286"/>
          <c:y val="0.179658796296296"/>
          <c:w val="0.67338923736227896"/>
          <c:h val="0.60160972222222198"/>
        </c:manualLayout>
      </c:layout>
      <c:scatterChart>
        <c:scatterStyle val="lineMarker"/>
        <c:varyColors val="0"/>
        <c:ser>
          <c:idx val="0"/>
          <c:order val="0"/>
          <c:tx>
            <c:strRef>
              <c:f>Sheet1!$B$1</c:f>
              <c:strCache>
                <c:ptCount val="1"/>
                <c:pt idx="0">
                  <c:v>砧木茎粗（cm）</c:v>
                </c:pt>
              </c:strCache>
            </c:strRef>
          </c:tx>
          <c:spPr>
            <a:ln w="28575" cap="rnd" cmpd="sng" algn="ctr">
              <a:noFill/>
              <a:prstDash val="solid"/>
              <a:round/>
            </a:ln>
          </c:spPr>
          <c:yVal>
            <c:numRef>
              <c:f>Sheet1!$B$2:$B$212</c:f>
              <c:numCache>
                <c:formatCode>0.00_);[Red]\(0.00\)</c:formatCode>
                <c:ptCount val="211"/>
                <c:pt idx="0">
                  <c:v>0.42</c:v>
                </c:pt>
                <c:pt idx="1">
                  <c:v>0.42</c:v>
                </c:pt>
                <c:pt idx="2">
                  <c:v>0.43</c:v>
                </c:pt>
                <c:pt idx="3">
                  <c:v>0.43</c:v>
                </c:pt>
                <c:pt idx="4">
                  <c:v>0.43</c:v>
                </c:pt>
                <c:pt idx="5">
                  <c:v>0.45</c:v>
                </c:pt>
                <c:pt idx="6">
                  <c:v>0.45</c:v>
                </c:pt>
                <c:pt idx="7">
                  <c:v>0.47</c:v>
                </c:pt>
                <c:pt idx="8">
                  <c:v>0.48</c:v>
                </c:pt>
                <c:pt idx="9">
                  <c:v>0.48</c:v>
                </c:pt>
                <c:pt idx="10">
                  <c:v>0.48</c:v>
                </c:pt>
                <c:pt idx="11">
                  <c:v>0.5</c:v>
                </c:pt>
                <c:pt idx="12">
                  <c:v>0.5</c:v>
                </c:pt>
                <c:pt idx="13">
                  <c:v>0.5</c:v>
                </c:pt>
                <c:pt idx="14">
                  <c:v>0.5</c:v>
                </c:pt>
                <c:pt idx="15">
                  <c:v>0.51</c:v>
                </c:pt>
                <c:pt idx="16">
                  <c:v>0.52</c:v>
                </c:pt>
                <c:pt idx="17">
                  <c:v>0.55000000000000004</c:v>
                </c:pt>
                <c:pt idx="18">
                  <c:v>0.55000000000000004</c:v>
                </c:pt>
                <c:pt idx="19">
                  <c:v>0.55000000000000004</c:v>
                </c:pt>
                <c:pt idx="20">
                  <c:v>0.56999999999999995</c:v>
                </c:pt>
                <c:pt idx="21">
                  <c:v>0.57999999999999996</c:v>
                </c:pt>
                <c:pt idx="22">
                  <c:v>0.59</c:v>
                </c:pt>
                <c:pt idx="23">
                  <c:v>0.6</c:v>
                </c:pt>
                <c:pt idx="24">
                  <c:v>0.6</c:v>
                </c:pt>
                <c:pt idx="25">
                  <c:v>0.6</c:v>
                </c:pt>
                <c:pt idx="26">
                  <c:v>0.62</c:v>
                </c:pt>
                <c:pt idx="27">
                  <c:v>0.63</c:v>
                </c:pt>
                <c:pt idx="28">
                  <c:v>0.63</c:v>
                </c:pt>
                <c:pt idx="29">
                  <c:v>0.63215942028985495</c:v>
                </c:pt>
                <c:pt idx="30">
                  <c:v>0.63215942028985495</c:v>
                </c:pt>
                <c:pt idx="31">
                  <c:v>0.64</c:v>
                </c:pt>
                <c:pt idx="32" formatCode="0.00_ ">
                  <c:v>0.65</c:v>
                </c:pt>
                <c:pt idx="33">
                  <c:v>0.66</c:v>
                </c:pt>
                <c:pt idx="34">
                  <c:v>0.66</c:v>
                </c:pt>
                <c:pt idx="35">
                  <c:v>0.66</c:v>
                </c:pt>
                <c:pt idx="36">
                  <c:v>0.66</c:v>
                </c:pt>
                <c:pt idx="37">
                  <c:v>0.67</c:v>
                </c:pt>
                <c:pt idx="38">
                  <c:v>0.67</c:v>
                </c:pt>
                <c:pt idx="39">
                  <c:v>0.68</c:v>
                </c:pt>
                <c:pt idx="40">
                  <c:v>0.68</c:v>
                </c:pt>
                <c:pt idx="41">
                  <c:v>0.68</c:v>
                </c:pt>
                <c:pt idx="42">
                  <c:v>0.68</c:v>
                </c:pt>
                <c:pt idx="43">
                  <c:v>0.68</c:v>
                </c:pt>
                <c:pt idx="44">
                  <c:v>0.69</c:v>
                </c:pt>
                <c:pt idx="45">
                  <c:v>0.69</c:v>
                </c:pt>
                <c:pt idx="46">
                  <c:v>0.69</c:v>
                </c:pt>
                <c:pt idx="47">
                  <c:v>0.69</c:v>
                </c:pt>
                <c:pt idx="48">
                  <c:v>0.7</c:v>
                </c:pt>
                <c:pt idx="49">
                  <c:v>0.7</c:v>
                </c:pt>
                <c:pt idx="50">
                  <c:v>0.7</c:v>
                </c:pt>
                <c:pt idx="51">
                  <c:v>0.7</c:v>
                </c:pt>
                <c:pt idx="52">
                  <c:v>0.7</c:v>
                </c:pt>
                <c:pt idx="53">
                  <c:v>0.7</c:v>
                </c:pt>
                <c:pt idx="54">
                  <c:v>0.71</c:v>
                </c:pt>
                <c:pt idx="55">
                  <c:v>0.71</c:v>
                </c:pt>
                <c:pt idx="56">
                  <c:v>0.72</c:v>
                </c:pt>
                <c:pt idx="57">
                  <c:v>0.72</c:v>
                </c:pt>
                <c:pt idx="58">
                  <c:v>0.73</c:v>
                </c:pt>
                <c:pt idx="59">
                  <c:v>0.74</c:v>
                </c:pt>
                <c:pt idx="60">
                  <c:v>0.74</c:v>
                </c:pt>
                <c:pt idx="61">
                  <c:v>0.75</c:v>
                </c:pt>
                <c:pt idx="62">
                  <c:v>0.75900000000000001</c:v>
                </c:pt>
                <c:pt idx="63">
                  <c:v>0.76</c:v>
                </c:pt>
                <c:pt idx="64">
                  <c:v>0.77</c:v>
                </c:pt>
                <c:pt idx="65">
                  <c:v>0.8</c:v>
                </c:pt>
                <c:pt idx="66">
                  <c:v>0.8</c:v>
                </c:pt>
                <c:pt idx="67">
                  <c:v>0.82</c:v>
                </c:pt>
                <c:pt idx="68">
                  <c:v>0.82</c:v>
                </c:pt>
                <c:pt idx="69">
                  <c:v>0.9</c:v>
                </c:pt>
                <c:pt idx="70" formatCode="0.00_ ">
                  <c:v>0.63</c:v>
                </c:pt>
                <c:pt idx="71" formatCode="0.00_ ">
                  <c:v>0.51</c:v>
                </c:pt>
                <c:pt idx="72" formatCode="0.00_ ">
                  <c:v>0.42</c:v>
                </c:pt>
                <c:pt idx="73" formatCode="0.00_ ">
                  <c:v>0.45</c:v>
                </c:pt>
                <c:pt idx="74" formatCode="0.00_ ">
                  <c:v>0.35</c:v>
                </c:pt>
                <c:pt idx="75" formatCode="0.00_ ">
                  <c:v>0.39</c:v>
                </c:pt>
                <c:pt idx="76" formatCode="0.00_ ">
                  <c:v>0.86</c:v>
                </c:pt>
                <c:pt idx="77" formatCode="0.00_ ">
                  <c:v>0.69</c:v>
                </c:pt>
                <c:pt idx="78" formatCode="0.00_ ">
                  <c:v>0.62</c:v>
                </c:pt>
                <c:pt idx="79" formatCode="0.00_ ">
                  <c:v>0.45</c:v>
                </c:pt>
                <c:pt idx="80" formatCode="0.00_ ">
                  <c:v>0.4</c:v>
                </c:pt>
                <c:pt idx="81" formatCode="0.00_ ">
                  <c:v>0.54</c:v>
                </c:pt>
                <c:pt idx="82" formatCode="0.00_ ">
                  <c:v>0.74</c:v>
                </c:pt>
                <c:pt idx="83" formatCode="0.00_ ">
                  <c:v>0.59</c:v>
                </c:pt>
                <c:pt idx="84" formatCode="0.00_ ">
                  <c:v>0.53</c:v>
                </c:pt>
                <c:pt idx="85" formatCode="0.00_ ">
                  <c:v>0.62</c:v>
                </c:pt>
                <c:pt idx="86" formatCode="0.00_ ">
                  <c:v>0.52</c:v>
                </c:pt>
                <c:pt idx="87" formatCode="0.00_ ">
                  <c:v>0.74</c:v>
                </c:pt>
                <c:pt idx="88" formatCode="0.00_ ">
                  <c:v>0.68</c:v>
                </c:pt>
                <c:pt idx="89" formatCode="0.00_ ">
                  <c:v>0.77</c:v>
                </c:pt>
                <c:pt idx="90" formatCode="0.00_ ">
                  <c:v>0.46</c:v>
                </c:pt>
                <c:pt idx="91" formatCode="0.00_ ">
                  <c:v>0.4</c:v>
                </c:pt>
                <c:pt idx="92" formatCode="0.00_ ">
                  <c:v>0.7</c:v>
                </c:pt>
                <c:pt idx="93" formatCode="0.00_ ">
                  <c:v>0.65</c:v>
                </c:pt>
                <c:pt idx="94" formatCode="0.00_ ">
                  <c:v>0.47</c:v>
                </c:pt>
                <c:pt idx="95" formatCode="0.00_ ">
                  <c:v>0.68</c:v>
                </c:pt>
                <c:pt idx="96" formatCode="0.00_ ">
                  <c:v>0.62</c:v>
                </c:pt>
                <c:pt idx="97" formatCode="0.00_ ">
                  <c:v>0.92</c:v>
                </c:pt>
                <c:pt idx="98" formatCode="0.00_ ">
                  <c:v>0.67</c:v>
                </c:pt>
                <c:pt idx="99" formatCode="0.00_ ">
                  <c:v>0.6</c:v>
                </c:pt>
                <c:pt idx="100" formatCode="0.00_ ">
                  <c:v>0.63</c:v>
                </c:pt>
                <c:pt idx="101" formatCode="0.00_ ">
                  <c:v>0.6</c:v>
                </c:pt>
                <c:pt idx="102" formatCode="0.00_ ">
                  <c:v>0.63</c:v>
                </c:pt>
                <c:pt idx="103" formatCode="0.00_ ">
                  <c:v>0.6</c:v>
                </c:pt>
                <c:pt idx="104" formatCode="0.00_ ">
                  <c:v>0.71</c:v>
                </c:pt>
                <c:pt idx="105" formatCode="0.00_ ">
                  <c:v>0.68</c:v>
                </c:pt>
                <c:pt idx="106" formatCode="0.00_ ">
                  <c:v>0.68</c:v>
                </c:pt>
                <c:pt idx="107" formatCode="0.00_ ">
                  <c:v>0.56999999999999995</c:v>
                </c:pt>
                <c:pt idx="108" formatCode="0.00_ ">
                  <c:v>0.65</c:v>
                </c:pt>
                <c:pt idx="109" formatCode="0.00_ ">
                  <c:v>0.73</c:v>
                </c:pt>
                <c:pt idx="110" formatCode="0.00_ ">
                  <c:v>0.64</c:v>
                </c:pt>
                <c:pt idx="111" formatCode="0.00_ ">
                  <c:v>0.6</c:v>
                </c:pt>
                <c:pt idx="112" formatCode="0.00_ ">
                  <c:v>0.49</c:v>
                </c:pt>
                <c:pt idx="113" formatCode="0.00_ ">
                  <c:v>0.68</c:v>
                </c:pt>
                <c:pt idx="114" formatCode="0.00_ ">
                  <c:v>0.6</c:v>
                </c:pt>
                <c:pt idx="115" formatCode="0.00_ ">
                  <c:v>0.67</c:v>
                </c:pt>
                <c:pt idx="116" formatCode="0.00_ ">
                  <c:v>0.73</c:v>
                </c:pt>
                <c:pt idx="117" formatCode="0.00_ ">
                  <c:v>0.65</c:v>
                </c:pt>
                <c:pt idx="118" formatCode="0.00_ ">
                  <c:v>0.7</c:v>
                </c:pt>
                <c:pt idx="119" formatCode="0.00_ ">
                  <c:v>0.75</c:v>
                </c:pt>
                <c:pt idx="120" formatCode="0.00_ ">
                  <c:v>0.68</c:v>
                </c:pt>
                <c:pt idx="121" formatCode="0.00_ ">
                  <c:v>0.65</c:v>
                </c:pt>
                <c:pt idx="122" formatCode="0.00_ ">
                  <c:v>0.59</c:v>
                </c:pt>
                <c:pt idx="123" formatCode="0.00_ ">
                  <c:v>0.71</c:v>
                </c:pt>
                <c:pt idx="124" formatCode="0.00_ ">
                  <c:v>0.68</c:v>
                </c:pt>
                <c:pt idx="125" formatCode="0.00_ ">
                  <c:v>0.79</c:v>
                </c:pt>
                <c:pt idx="126" formatCode="0.00_ ">
                  <c:v>0.52</c:v>
                </c:pt>
                <c:pt idx="127" formatCode="0.00_ ">
                  <c:v>0.64</c:v>
                </c:pt>
                <c:pt idx="128" formatCode="0.00_ ">
                  <c:v>0.59</c:v>
                </c:pt>
                <c:pt idx="129" formatCode="0.00_ ">
                  <c:v>0.47</c:v>
                </c:pt>
                <c:pt idx="130" formatCode="0.00_ ">
                  <c:v>0.68</c:v>
                </c:pt>
                <c:pt idx="131" formatCode="0.00_ ">
                  <c:v>0.54</c:v>
                </c:pt>
                <c:pt idx="132" formatCode="0.00_ ">
                  <c:v>0.48</c:v>
                </c:pt>
                <c:pt idx="133" formatCode="0.00_ ">
                  <c:v>0.64</c:v>
                </c:pt>
                <c:pt idx="134" formatCode="0.00_ ">
                  <c:v>0.55000000000000004</c:v>
                </c:pt>
                <c:pt idx="135" formatCode="0.00_ ">
                  <c:v>0.54</c:v>
                </c:pt>
                <c:pt idx="136" formatCode="0.00_ ">
                  <c:v>0.47</c:v>
                </c:pt>
                <c:pt idx="137" formatCode="0.00_ ">
                  <c:v>0.56000000000000005</c:v>
                </c:pt>
                <c:pt idx="138" formatCode="0.00_ ">
                  <c:v>0.73</c:v>
                </c:pt>
                <c:pt idx="139" formatCode="0.00_ ">
                  <c:v>0.47</c:v>
                </c:pt>
                <c:pt idx="140" formatCode="0.00_ ">
                  <c:v>0.56999999999999995</c:v>
                </c:pt>
                <c:pt idx="141" formatCode="0.00_ ">
                  <c:v>0.51</c:v>
                </c:pt>
                <c:pt idx="142" formatCode="0.00_ ">
                  <c:v>0.53</c:v>
                </c:pt>
                <c:pt idx="143" formatCode="0.00_ ">
                  <c:v>0.35</c:v>
                </c:pt>
                <c:pt idx="144" formatCode="0.00_ ">
                  <c:v>0.54</c:v>
                </c:pt>
                <c:pt idx="145" formatCode="0.00_ ">
                  <c:v>0.62</c:v>
                </c:pt>
                <c:pt idx="146" formatCode="0.00_ ">
                  <c:v>0.38</c:v>
                </c:pt>
                <c:pt idx="147" formatCode="0.00_ ">
                  <c:v>0.7</c:v>
                </c:pt>
                <c:pt idx="148" formatCode="0.00_ ">
                  <c:v>0.68</c:v>
                </c:pt>
                <c:pt idx="149" formatCode="0.00_ ">
                  <c:v>0.59</c:v>
                </c:pt>
                <c:pt idx="150" formatCode="0.00_ ">
                  <c:v>0.52</c:v>
                </c:pt>
                <c:pt idx="151" formatCode="0.00_ ">
                  <c:v>0.6</c:v>
                </c:pt>
                <c:pt idx="152" formatCode="0.00_ ">
                  <c:v>0.63</c:v>
                </c:pt>
                <c:pt idx="153" formatCode="0.00_ ">
                  <c:v>0.48</c:v>
                </c:pt>
                <c:pt idx="154" formatCode="0.00_ ">
                  <c:v>0.7</c:v>
                </c:pt>
                <c:pt idx="155" formatCode="0.00_ ">
                  <c:v>0.77</c:v>
                </c:pt>
                <c:pt idx="156" formatCode="0.00_ ">
                  <c:v>0.5</c:v>
                </c:pt>
                <c:pt idx="157" formatCode="0.00_ ">
                  <c:v>0.5</c:v>
                </c:pt>
                <c:pt idx="158" formatCode="0.00_ ">
                  <c:v>0.65</c:v>
                </c:pt>
                <c:pt idx="159" formatCode="0.00_ ">
                  <c:v>0.76</c:v>
                </c:pt>
                <c:pt idx="160" formatCode="0.00_ ">
                  <c:v>0.55000000000000004</c:v>
                </c:pt>
                <c:pt idx="161" formatCode="0.00_ ">
                  <c:v>0.62</c:v>
                </c:pt>
                <c:pt idx="162" formatCode="0.00_ ">
                  <c:v>0.82</c:v>
                </c:pt>
                <c:pt idx="163" formatCode="0.00_ ">
                  <c:v>0.56999999999999995</c:v>
                </c:pt>
                <c:pt idx="164" formatCode="0.00_ ">
                  <c:v>0.46</c:v>
                </c:pt>
                <c:pt idx="165" formatCode="0.00_ ">
                  <c:v>0.52</c:v>
                </c:pt>
                <c:pt idx="166" formatCode="0.00_ ">
                  <c:v>0.6</c:v>
                </c:pt>
                <c:pt idx="167" formatCode="0.00_ ">
                  <c:v>0.55000000000000004</c:v>
                </c:pt>
                <c:pt idx="168" formatCode="0.00_ ">
                  <c:v>0.5</c:v>
                </c:pt>
                <c:pt idx="169" formatCode="0.00_ ">
                  <c:v>0.88</c:v>
                </c:pt>
                <c:pt idx="170" formatCode="0.00_ ">
                  <c:v>0.77</c:v>
                </c:pt>
                <c:pt idx="171" formatCode="0.00_ ">
                  <c:v>0.44</c:v>
                </c:pt>
                <c:pt idx="172" formatCode="0.00_ ">
                  <c:v>0.44</c:v>
                </c:pt>
                <c:pt idx="173" formatCode="0.00_ ">
                  <c:v>0.46</c:v>
                </c:pt>
                <c:pt idx="174" formatCode="0.00_ ">
                  <c:v>0.73</c:v>
                </c:pt>
                <c:pt idx="175" formatCode="0.00_ ">
                  <c:v>0.49</c:v>
                </c:pt>
                <c:pt idx="176" formatCode="0.00_ ">
                  <c:v>0.69</c:v>
                </c:pt>
                <c:pt idx="177" formatCode="0.00_ ">
                  <c:v>0.48</c:v>
                </c:pt>
                <c:pt idx="178" formatCode="0.00_ ">
                  <c:v>0.54</c:v>
                </c:pt>
                <c:pt idx="179" formatCode="0.00_ ">
                  <c:v>0.62</c:v>
                </c:pt>
                <c:pt idx="180" formatCode="0.00_ ">
                  <c:v>0.51</c:v>
                </c:pt>
                <c:pt idx="181" formatCode="0.00_ ">
                  <c:v>0.62</c:v>
                </c:pt>
                <c:pt idx="182" formatCode="0.00_ ">
                  <c:v>0.88</c:v>
                </c:pt>
                <c:pt idx="183" formatCode="0.00_ ">
                  <c:v>0.72</c:v>
                </c:pt>
                <c:pt idx="184" formatCode="0.00_ ">
                  <c:v>0.56000000000000005</c:v>
                </c:pt>
                <c:pt idx="185" formatCode="0.00_ ">
                  <c:v>0.5</c:v>
                </c:pt>
                <c:pt idx="186" formatCode="0.00_ ">
                  <c:v>0.61</c:v>
                </c:pt>
                <c:pt idx="187" formatCode="0.00_ ">
                  <c:v>0.62</c:v>
                </c:pt>
                <c:pt idx="188" formatCode="0.00_ ">
                  <c:v>0.64</c:v>
                </c:pt>
                <c:pt idx="189" formatCode="0.00_ ">
                  <c:v>0.67</c:v>
                </c:pt>
                <c:pt idx="190" formatCode="0.00_ ">
                  <c:v>0.88</c:v>
                </c:pt>
                <c:pt idx="191" formatCode="0.00_ ">
                  <c:v>0.73</c:v>
                </c:pt>
                <c:pt idx="192" formatCode="0.00_ ">
                  <c:v>0.87</c:v>
                </c:pt>
                <c:pt idx="193" formatCode="0.00_ ">
                  <c:v>0.75</c:v>
                </c:pt>
                <c:pt idx="194" formatCode="0.00_ ">
                  <c:v>0.63</c:v>
                </c:pt>
                <c:pt idx="195" formatCode="0.00_ ">
                  <c:v>0.56000000000000005</c:v>
                </c:pt>
                <c:pt idx="196" formatCode="0.00_ ">
                  <c:v>0.68</c:v>
                </c:pt>
                <c:pt idx="197" formatCode="0.00_ ">
                  <c:v>0.55000000000000004</c:v>
                </c:pt>
                <c:pt idx="198" formatCode="0.00_ ">
                  <c:v>0.88</c:v>
                </c:pt>
                <c:pt idx="199" formatCode="0.00_ ">
                  <c:v>0.74</c:v>
                </c:pt>
                <c:pt idx="200" formatCode="0.00_ ">
                  <c:v>0.52</c:v>
                </c:pt>
                <c:pt idx="201" formatCode="0.00_ ">
                  <c:v>0.6</c:v>
                </c:pt>
                <c:pt idx="202" formatCode="0.00_ ">
                  <c:v>0.75</c:v>
                </c:pt>
                <c:pt idx="203" formatCode="0.00_ ">
                  <c:v>0.88</c:v>
                </c:pt>
                <c:pt idx="204" formatCode="0.00_ ">
                  <c:v>0.48</c:v>
                </c:pt>
                <c:pt idx="205" formatCode="0.00_ ">
                  <c:v>0.59</c:v>
                </c:pt>
                <c:pt idx="206" formatCode="0.00_ ">
                  <c:v>0.6</c:v>
                </c:pt>
                <c:pt idx="207" formatCode="0.00_ ">
                  <c:v>0.79</c:v>
                </c:pt>
                <c:pt idx="208" formatCode="0.00_ ">
                  <c:v>0.86</c:v>
                </c:pt>
                <c:pt idx="209" formatCode="0.00_ ">
                  <c:v>0.7</c:v>
                </c:pt>
              </c:numCache>
            </c:numRef>
          </c:yVal>
          <c:smooth val="0"/>
        </c:ser>
        <c:dLbls>
          <c:showLegendKey val="0"/>
          <c:showVal val="0"/>
          <c:showCatName val="0"/>
          <c:showSerName val="0"/>
          <c:showPercent val="0"/>
          <c:showBubbleSize val="0"/>
        </c:dLbls>
        <c:axId val="263985408"/>
        <c:axId val="498140288"/>
      </c:scatterChart>
      <c:valAx>
        <c:axId val="263985408"/>
        <c:scaling>
          <c:orientation val="minMax"/>
          <c:max val="250"/>
        </c:scaling>
        <c:delete val="0"/>
        <c:axPos val="b"/>
        <c:title>
          <c:tx>
            <c:rich>
              <a:bodyPr rot="0" spcFirstLastPara="0" vertOverflow="ellipsis" vert="horz" wrap="square" anchor="ctr" anchorCtr="1"/>
              <a:lstStyle/>
              <a:p>
                <a:pPr>
                  <a:defRPr lang="zh-CN" sz="800" b="0" i="0" u="none" strike="noStrike" kern="1200" baseline="0">
                    <a:solidFill>
                      <a:sysClr val="windowText" lastClr="000000"/>
                    </a:solidFill>
                    <a:latin typeface="宋体" panose="02010600030101010101" charset="-122"/>
                    <a:ea typeface="宋体" panose="02010600030101010101" charset="-122"/>
                    <a:cs typeface="+mn-cs"/>
                  </a:defRPr>
                </a:pPr>
                <a:r>
                  <a:rPr lang="zh-CN"/>
                  <a:t>株号</a:t>
                </a:r>
              </a:p>
            </c:rich>
          </c:tx>
          <c:overlay val="0"/>
        </c:title>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宋体" panose="02010600030101010101" charset="-122"/>
                <a:ea typeface="宋体" panose="02010600030101010101" charset="-122"/>
                <a:cs typeface="+mn-cs"/>
              </a:defRPr>
            </a:pPr>
            <a:endParaRPr lang="zh-CN"/>
          </a:p>
        </c:txPr>
        <c:crossAx val="498140288"/>
        <c:crosses val="autoZero"/>
        <c:crossBetween val="midCat"/>
        <c:majorUnit val="50"/>
      </c:valAx>
      <c:valAx>
        <c:axId val="498140288"/>
        <c:scaling>
          <c:orientation val="minMax"/>
        </c:scaling>
        <c:delete val="0"/>
        <c:axPos val="l"/>
        <c:majorGridlines/>
        <c:title>
          <c:tx>
            <c:rich>
              <a:bodyPr rot="-5400000" spcFirstLastPara="0" vertOverflow="ellipsis" vert="horz" wrap="square" anchor="ctr" anchorCtr="1"/>
              <a:lstStyle/>
              <a:p>
                <a:pPr>
                  <a:defRPr lang="zh-CN" sz="800" b="0" i="0" u="none" strike="noStrike" kern="1200" baseline="0">
                    <a:solidFill>
                      <a:sysClr val="windowText" lastClr="000000"/>
                    </a:solidFill>
                    <a:latin typeface="宋体" panose="02010600030101010101" charset="-122"/>
                    <a:ea typeface="宋体" panose="02010600030101010101" charset="-122"/>
                    <a:cs typeface="+mn-cs"/>
                  </a:defRPr>
                </a:pPr>
                <a:r>
                  <a:rPr lang="zh-CN"/>
                  <a:t>砧木茎粗（</a:t>
                </a:r>
                <a:r>
                  <a:rPr lang="en-US"/>
                  <a:t>cm</a:t>
                </a:r>
                <a:r>
                  <a:rPr lang="zh-CN"/>
                  <a:t>）</a:t>
                </a:r>
              </a:p>
            </c:rich>
          </c:tx>
          <c:layout>
            <c:manualLayout>
              <c:xMode val="edge"/>
              <c:yMode val="edge"/>
              <c:x val="2.38095312490724E-2"/>
              <c:y val="0.25602948717948698"/>
            </c:manualLayout>
          </c:layout>
          <c:overlay val="0"/>
        </c:title>
        <c:numFmt formatCode="0.00_);[Red]\(0.00\)" sourceLinked="1"/>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宋体" panose="02010600030101010101" charset="-122"/>
                <a:ea typeface="宋体" panose="02010600030101010101" charset="-122"/>
                <a:cs typeface="+mn-cs"/>
              </a:defRPr>
            </a:pPr>
            <a:endParaRPr lang="zh-CN"/>
          </a:p>
        </c:txPr>
        <c:crossAx val="263985408"/>
        <c:crosses val="autoZero"/>
        <c:crossBetween val="midCat"/>
        <c:majorUnit val="0.2"/>
      </c:valAx>
    </c:plotArea>
    <c:plotVisOnly val="1"/>
    <c:dispBlanksAs val="gap"/>
    <c:showDLblsOverMax val="0"/>
  </c:chart>
  <c:spPr>
    <a:solidFill>
      <a:sysClr val="window" lastClr="FFFFFF"/>
    </a:solidFill>
    <a:ln w="6350" cap="flat" cmpd="sng" algn="ctr">
      <a:noFill/>
      <a:prstDash val="solid"/>
      <a:round/>
    </a:ln>
  </c:spPr>
  <c:txPr>
    <a:bodyPr/>
    <a:lstStyle/>
    <a:p>
      <a:pPr>
        <a:defRPr lang="zh-CN" sz="800" b="0">
          <a:solidFill>
            <a:sysClr val="windowText" lastClr="000000"/>
          </a:solidFill>
          <a:latin typeface="宋体" panose="02010600030101010101" charset="-122"/>
          <a:ea typeface="宋体" panose="02010600030101010101" charset="-122"/>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960" b="0" i="0" u="none" strike="noStrike" kern="1200" baseline="0">
                <a:solidFill>
                  <a:schemeClr val="tx1"/>
                </a:solidFill>
                <a:latin typeface="宋体" panose="02010600030101010101" charset="-122"/>
                <a:ea typeface="宋体" panose="02010600030101010101" charset="-122"/>
                <a:cs typeface="+mn-cs"/>
              </a:defRPr>
            </a:pPr>
            <a:r>
              <a:rPr lang="en-US"/>
              <a:t>C </a:t>
            </a:r>
            <a:r>
              <a:rPr lang="zh-CN"/>
              <a:t>嫁接口高度（</a:t>
            </a:r>
            <a:r>
              <a:rPr lang="en-US"/>
              <a:t>cm）</a:t>
            </a:r>
          </a:p>
        </c:rich>
      </c:tx>
      <c:layout>
        <c:manualLayout>
          <c:xMode val="edge"/>
          <c:yMode val="edge"/>
          <c:x val="0.26081806094615501"/>
          <c:y val="5.3163211057947898E-2"/>
        </c:manualLayout>
      </c:layout>
      <c:overlay val="0"/>
    </c:title>
    <c:autoTitleDeleted val="0"/>
    <c:plotArea>
      <c:layout>
        <c:manualLayout>
          <c:layoutTarget val="inner"/>
          <c:xMode val="edge"/>
          <c:yMode val="edge"/>
          <c:x val="0.24021514173249001"/>
          <c:y val="0.16501860712387001"/>
          <c:w val="0.69133101982993805"/>
          <c:h val="0.66008363787062496"/>
        </c:manualLayout>
      </c:layout>
      <c:scatterChart>
        <c:scatterStyle val="lineMarker"/>
        <c:varyColors val="0"/>
        <c:ser>
          <c:idx val="0"/>
          <c:order val="0"/>
          <c:tx>
            <c:strRef>
              <c:f>Sheet2!$C$1</c:f>
              <c:strCache>
                <c:ptCount val="1"/>
                <c:pt idx="0">
                  <c:v>嫁接口高度（cm）</c:v>
                </c:pt>
              </c:strCache>
            </c:strRef>
          </c:tx>
          <c:spPr>
            <a:ln w="19050" cap="rnd" cmpd="sng" algn="ctr">
              <a:noFill/>
              <a:prstDash val="solid"/>
              <a:round/>
            </a:ln>
          </c:spPr>
          <c:xVal>
            <c:numRef>
              <c:f>Sheet2!$A$2:$A$215</c:f>
              <c:numCache>
                <c:formatCode>General</c:formatCode>
                <c:ptCount val="214"/>
                <c:pt idx="0">
                  <c:v>24</c:v>
                </c:pt>
                <c:pt idx="1">
                  <c:v>24</c:v>
                </c:pt>
                <c:pt idx="2">
                  <c:v>6</c:v>
                </c:pt>
                <c:pt idx="3">
                  <c:v>10</c:v>
                </c:pt>
                <c:pt idx="4">
                  <c:v>27</c:v>
                </c:pt>
                <c:pt idx="5">
                  <c:v>4</c:v>
                </c:pt>
                <c:pt idx="6">
                  <c:v>22</c:v>
                </c:pt>
                <c:pt idx="7">
                  <c:v>90</c:v>
                </c:pt>
                <c:pt idx="8">
                  <c:v>16</c:v>
                </c:pt>
                <c:pt idx="9">
                  <c:v>5</c:v>
                </c:pt>
                <c:pt idx="10">
                  <c:v>3</c:v>
                </c:pt>
                <c:pt idx="11">
                  <c:v>5</c:v>
                </c:pt>
                <c:pt idx="12">
                  <c:v>16</c:v>
                </c:pt>
                <c:pt idx="13">
                  <c:v>17</c:v>
                </c:pt>
                <c:pt idx="14">
                  <c:v>18</c:v>
                </c:pt>
                <c:pt idx="15">
                  <c:v>20</c:v>
                </c:pt>
                <c:pt idx="16">
                  <c:v>21</c:v>
                </c:pt>
                <c:pt idx="17">
                  <c:v>29</c:v>
                </c:pt>
                <c:pt idx="18">
                  <c:v>30</c:v>
                </c:pt>
                <c:pt idx="19">
                  <c:v>36</c:v>
                </c:pt>
                <c:pt idx="20">
                  <c:v>95</c:v>
                </c:pt>
                <c:pt idx="21">
                  <c:v>32</c:v>
                </c:pt>
                <c:pt idx="22">
                  <c:v>33</c:v>
                </c:pt>
                <c:pt idx="23">
                  <c:v>96</c:v>
                </c:pt>
                <c:pt idx="24">
                  <c:v>150</c:v>
                </c:pt>
                <c:pt idx="25">
                  <c:v>1</c:v>
                </c:pt>
                <c:pt idx="26">
                  <c:v>2</c:v>
                </c:pt>
                <c:pt idx="27">
                  <c:v>7</c:v>
                </c:pt>
                <c:pt idx="28">
                  <c:v>14</c:v>
                </c:pt>
                <c:pt idx="29">
                  <c:v>19</c:v>
                </c:pt>
                <c:pt idx="30">
                  <c:v>23</c:v>
                </c:pt>
                <c:pt idx="31">
                  <c:v>27</c:v>
                </c:pt>
                <c:pt idx="32">
                  <c:v>33</c:v>
                </c:pt>
                <c:pt idx="33">
                  <c:v>37</c:v>
                </c:pt>
                <c:pt idx="34">
                  <c:v>98</c:v>
                </c:pt>
                <c:pt idx="35">
                  <c:v>99</c:v>
                </c:pt>
                <c:pt idx="36">
                  <c:v>100</c:v>
                </c:pt>
                <c:pt idx="37">
                  <c:v>101</c:v>
                </c:pt>
                <c:pt idx="38">
                  <c:v>151</c:v>
                </c:pt>
                <c:pt idx="39">
                  <c:v>152</c:v>
                </c:pt>
                <c:pt idx="40">
                  <c:v>102</c:v>
                </c:pt>
                <c:pt idx="41">
                  <c:v>103</c:v>
                </c:pt>
                <c:pt idx="42">
                  <c:v>104</c:v>
                </c:pt>
                <c:pt idx="43">
                  <c:v>208</c:v>
                </c:pt>
                <c:pt idx="44">
                  <c:v>105</c:v>
                </c:pt>
                <c:pt idx="45">
                  <c:v>153</c:v>
                </c:pt>
                <c:pt idx="46">
                  <c:v>154</c:v>
                </c:pt>
                <c:pt idx="47">
                  <c:v>19</c:v>
                </c:pt>
                <c:pt idx="48">
                  <c:v>155</c:v>
                </c:pt>
                <c:pt idx="49">
                  <c:v>7</c:v>
                </c:pt>
                <c:pt idx="50">
                  <c:v>37</c:v>
                </c:pt>
                <c:pt idx="51">
                  <c:v>38</c:v>
                </c:pt>
                <c:pt idx="52">
                  <c:v>39</c:v>
                </c:pt>
                <c:pt idx="53">
                  <c:v>106</c:v>
                </c:pt>
                <c:pt idx="54">
                  <c:v>8</c:v>
                </c:pt>
                <c:pt idx="55">
                  <c:v>40</c:v>
                </c:pt>
                <c:pt idx="56">
                  <c:v>82</c:v>
                </c:pt>
                <c:pt idx="57">
                  <c:v>107</c:v>
                </c:pt>
                <c:pt idx="58">
                  <c:v>156</c:v>
                </c:pt>
                <c:pt idx="59">
                  <c:v>196</c:v>
                </c:pt>
                <c:pt idx="60">
                  <c:v>157</c:v>
                </c:pt>
                <c:pt idx="61">
                  <c:v>108</c:v>
                </c:pt>
                <c:pt idx="62">
                  <c:v>109</c:v>
                </c:pt>
                <c:pt idx="63">
                  <c:v>158</c:v>
                </c:pt>
                <c:pt idx="64">
                  <c:v>9</c:v>
                </c:pt>
                <c:pt idx="65">
                  <c:v>110</c:v>
                </c:pt>
                <c:pt idx="66">
                  <c:v>159</c:v>
                </c:pt>
                <c:pt idx="67">
                  <c:v>160</c:v>
                </c:pt>
                <c:pt idx="68">
                  <c:v>8</c:v>
                </c:pt>
                <c:pt idx="69">
                  <c:v>9</c:v>
                </c:pt>
                <c:pt idx="70">
                  <c:v>11</c:v>
                </c:pt>
                <c:pt idx="71">
                  <c:v>15</c:v>
                </c:pt>
                <c:pt idx="72">
                  <c:v>25</c:v>
                </c:pt>
                <c:pt idx="73">
                  <c:v>28</c:v>
                </c:pt>
                <c:pt idx="74">
                  <c:v>31</c:v>
                </c:pt>
                <c:pt idx="75">
                  <c:v>32</c:v>
                </c:pt>
                <c:pt idx="76">
                  <c:v>34</c:v>
                </c:pt>
                <c:pt idx="77">
                  <c:v>35</c:v>
                </c:pt>
                <c:pt idx="78">
                  <c:v>38</c:v>
                </c:pt>
                <c:pt idx="79">
                  <c:v>44</c:v>
                </c:pt>
                <c:pt idx="80">
                  <c:v>162</c:v>
                </c:pt>
                <c:pt idx="81">
                  <c:v>21</c:v>
                </c:pt>
                <c:pt idx="82">
                  <c:v>163</c:v>
                </c:pt>
                <c:pt idx="83">
                  <c:v>11</c:v>
                </c:pt>
                <c:pt idx="84">
                  <c:v>45</c:v>
                </c:pt>
                <c:pt idx="85">
                  <c:v>112</c:v>
                </c:pt>
                <c:pt idx="86">
                  <c:v>113</c:v>
                </c:pt>
                <c:pt idx="87">
                  <c:v>46</c:v>
                </c:pt>
                <c:pt idx="88">
                  <c:v>114</c:v>
                </c:pt>
                <c:pt idx="89">
                  <c:v>115</c:v>
                </c:pt>
                <c:pt idx="90">
                  <c:v>164</c:v>
                </c:pt>
                <c:pt idx="91">
                  <c:v>47</c:v>
                </c:pt>
                <c:pt idx="92">
                  <c:v>165</c:v>
                </c:pt>
                <c:pt idx="93">
                  <c:v>48</c:v>
                </c:pt>
                <c:pt idx="94">
                  <c:v>49</c:v>
                </c:pt>
                <c:pt idx="95">
                  <c:v>50</c:v>
                </c:pt>
                <c:pt idx="96">
                  <c:v>116</c:v>
                </c:pt>
                <c:pt idx="97">
                  <c:v>166</c:v>
                </c:pt>
                <c:pt idx="98">
                  <c:v>22</c:v>
                </c:pt>
                <c:pt idx="99">
                  <c:v>51</c:v>
                </c:pt>
                <c:pt idx="100">
                  <c:v>52</c:v>
                </c:pt>
                <c:pt idx="101">
                  <c:v>167</c:v>
                </c:pt>
                <c:pt idx="102">
                  <c:v>53</c:v>
                </c:pt>
                <c:pt idx="103">
                  <c:v>168</c:v>
                </c:pt>
                <c:pt idx="104">
                  <c:v>54</c:v>
                </c:pt>
                <c:pt idx="105">
                  <c:v>55</c:v>
                </c:pt>
                <c:pt idx="106">
                  <c:v>12</c:v>
                </c:pt>
                <c:pt idx="107">
                  <c:v>169</c:v>
                </c:pt>
                <c:pt idx="108">
                  <c:v>117</c:v>
                </c:pt>
                <c:pt idx="109">
                  <c:v>56</c:v>
                </c:pt>
                <c:pt idx="110">
                  <c:v>170</c:v>
                </c:pt>
                <c:pt idx="111">
                  <c:v>171</c:v>
                </c:pt>
                <c:pt idx="112">
                  <c:v>172</c:v>
                </c:pt>
                <c:pt idx="113">
                  <c:v>57</c:v>
                </c:pt>
                <c:pt idx="114">
                  <c:v>4</c:v>
                </c:pt>
                <c:pt idx="115">
                  <c:v>173</c:v>
                </c:pt>
                <c:pt idx="116">
                  <c:v>174</c:v>
                </c:pt>
                <c:pt idx="117">
                  <c:v>118</c:v>
                </c:pt>
                <c:pt idx="118">
                  <c:v>58</c:v>
                </c:pt>
                <c:pt idx="119">
                  <c:v>87</c:v>
                </c:pt>
                <c:pt idx="120">
                  <c:v>88</c:v>
                </c:pt>
                <c:pt idx="121">
                  <c:v>59</c:v>
                </c:pt>
                <c:pt idx="122">
                  <c:v>60</c:v>
                </c:pt>
                <c:pt idx="123">
                  <c:v>61</c:v>
                </c:pt>
                <c:pt idx="124">
                  <c:v>84</c:v>
                </c:pt>
                <c:pt idx="125">
                  <c:v>62</c:v>
                </c:pt>
                <c:pt idx="126">
                  <c:v>63</c:v>
                </c:pt>
                <c:pt idx="127">
                  <c:v>119</c:v>
                </c:pt>
                <c:pt idx="128">
                  <c:v>120</c:v>
                </c:pt>
                <c:pt idx="129">
                  <c:v>197</c:v>
                </c:pt>
                <c:pt idx="130">
                  <c:v>121</c:v>
                </c:pt>
                <c:pt idx="131">
                  <c:v>23</c:v>
                </c:pt>
                <c:pt idx="132">
                  <c:v>122</c:v>
                </c:pt>
                <c:pt idx="133">
                  <c:v>175</c:v>
                </c:pt>
                <c:pt idx="134">
                  <c:v>176</c:v>
                </c:pt>
                <c:pt idx="135">
                  <c:v>123</c:v>
                </c:pt>
                <c:pt idx="136">
                  <c:v>177</c:v>
                </c:pt>
                <c:pt idx="137">
                  <c:v>124</c:v>
                </c:pt>
                <c:pt idx="138">
                  <c:v>125</c:v>
                </c:pt>
                <c:pt idx="139">
                  <c:v>126</c:v>
                </c:pt>
                <c:pt idx="140">
                  <c:v>127</c:v>
                </c:pt>
                <c:pt idx="141">
                  <c:v>64</c:v>
                </c:pt>
                <c:pt idx="142">
                  <c:v>178</c:v>
                </c:pt>
                <c:pt idx="143">
                  <c:v>179</c:v>
                </c:pt>
                <c:pt idx="144">
                  <c:v>65</c:v>
                </c:pt>
                <c:pt idx="145">
                  <c:v>198</c:v>
                </c:pt>
                <c:pt idx="146">
                  <c:v>128</c:v>
                </c:pt>
                <c:pt idx="147">
                  <c:v>66</c:v>
                </c:pt>
                <c:pt idx="148">
                  <c:v>129</c:v>
                </c:pt>
                <c:pt idx="149">
                  <c:v>67</c:v>
                </c:pt>
                <c:pt idx="150">
                  <c:v>12</c:v>
                </c:pt>
                <c:pt idx="151">
                  <c:v>130</c:v>
                </c:pt>
                <c:pt idx="152">
                  <c:v>131</c:v>
                </c:pt>
                <c:pt idx="153">
                  <c:v>199</c:v>
                </c:pt>
                <c:pt idx="154">
                  <c:v>132</c:v>
                </c:pt>
                <c:pt idx="155">
                  <c:v>133</c:v>
                </c:pt>
                <c:pt idx="156">
                  <c:v>181</c:v>
                </c:pt>
                <c:pt idx="157">
                  <c:v>182</c:v>
                </c:pt>
                <c:pt idx="158">
                  <c:v>210</c:v>
                </c:pt>
                <c:pt idx="159">
                  <c:v>134</c:v>
                </c:pt>
                <c:pt idx="160">
                  <c:v>135</c:v>
                </c:pt>
                <c:pt idx="161">
                  <c:v>148</c:v>
                </c:pt>
                <c:pt idx="162">
                  <c:v>183</c:v>
                </c:pt>
                <c:pt idx="163">
                  <c:v>200</c:v>
                </c:pt>
                <c:pt idx="164">
                  <c:v>68</c:v>
                </c:pt>
                <c:pt idx="165">
                  <c:v>69</c:v>
                </c:pt>
                <c:pt idx="166">
                  <c:v>70</c:v>
                </c:pt>
                <c:pt idx="167">
                  <c:v>71</c:v>
                </c:pt>
                <c:pt idx="168">
                  <c:v>136</c:v>
                </c:pt>
                <c:pt idx="169">
                  <c:v>184</c:v>
                </c:pt>
                <c:pt idx="170">
                  <c:v>13</c:v>
                </c:pt>
                <c:pt idx="171">
                  <c:v>137</c:v>
                </c:pt>
                <c:pt idx="172">
                  <c:v>14</c:v>
                </c:pt>
                <c:pt idx="173">
                  <c:v>138</c:v>
                </c:pt>
                <c:pt idx="174">
                  <c:v>204</c:v>
                </c:pt>
                <c:pt idx="175">
                  <c:v>72</c:v>
                </c:pt>
                <c:pt idx="176">
                  <c:v>15</c:v>
                </c:pt>
                <c:pt idx="177">
                  <c:v>73</c:v>
                </c:pt>
                <c:pt idx="178">
                  <c:v>201</c:v>
                </c:pt>
                <c:pt idx="179">
                  <c:v>205</c:v>
                </c:pt>
                <c:pt idx="180">
                  <c:v>185</c:v>
                </c:pt>
                <c:pt idx="181">
                  <c:v>139</c:v>
                </c:pt>
                <c:pt idx="182">
                  <c:v>74</c:v>
                </c:pt>
                <c:pt idx="183">
                  <c:v>140</c:v>
                </c:pt>
                <c:pt idx="184">
                  <c:v>186</c:v>
                </c:pt>
                <c:pt idx="185">
                  <c:v>75</c:v>
                </c:pt>
                <c:pt idx="186">
                  <c:v>76</c:v>
                </c:pt>
                <c:pt idx="187">
                  <c:v>141</c:v>
                </c:pt>
                <c:pt idx="188">
                  <c:v>187</c:v>
                </c:pt>
                <c:pt idx="189">
                  <c:v>77</c:v>
                </c:pt>
                <c:pt idx="190">
                  <c:v>142</c:v>
                </c:pt>
                <c:pt idx="191">
                  <c:v>202</c:v>
                </c:pt>
                <c:pt idx="192">
                  <c:v>143</c:v>
                </c:pt>
                <c:pt idx="193">
                  <c:v>78</c:v>
                </c:pt>
                <c:pt idx="194">
                  <c:v>188</c:v>
                </c:pt>
                <c:pt idx="195">
                  <c:v>26</c:v>
                </c:pt>
                <c:pt idx="196">
                  <c:v>149</c:v>
                </c:pt>
                <c:pt idx="197">
                  <c:v>190</c:v>
                </c:pt>
                <c:pt idx="198">
                  <c:v>85</c:v>
                </c:pt>
                <c:pt idx="199">
                  <c:v>203</c:v>
                </c:pt>
                <c:pt idx="200">
                  <c:v>191</c:v>
                </c:pt>
                <c:pt idx="201">
                  <c:v>144</c:v>
                </c:pt>
                <c:pt idx="202">
                  <c:v>145</c:v>
                </c:pt>
                <c:pt idx="203">
                  <c:v>192</c:v>
                </c:pt>
                <c:pt idx="204">
                  <c:v>86</c:v>
                </c:pt>
                <c:pt idx="205">
                  <c:v>79</c:v>
                </c:pt>
                <c:pt idx="206">
                  <c:v>206</c:v>
                </c:pt>
                <c:pt idx="207">
                  <c:v>193</c:v>
                </c:pt>
                <c:pt idx="208">
                  <c:v>207</c:v>
                </c:pt>
                <c:pt idx="209">
                  <c:v>194</c:v>
                </c:pt>
              </c:numCache>
            </c:numRef>
          </c:xVal>
          <c:yVal>
            <c:numRef>
              <c:f>Sheet2!$C$2:$C$215</c:f>
              <c:numCache>
                <c:formatCode>0.00_ </c:formatCode>
                <c:ptCount val="214"/>
                <c:pt idx="0">
                  <c:v>10</c:v>
                </c:pt>
                <c:pt idx="1">
                  <c:v>10.5</c:v>
                </c:pt>
                <c:pt idx="2">
                  <c:v>11</c:v>
                </c:pt>
                <c:pt idx="3" formatCode="0.00_);[Red]\(0.00\)">
                  <c:v>11</c:v>
                </c:pt>
                <c:pt idx="4">
                  <c:v>11</c:v>
                </c:pt>
                <c:pt idx="5">
                  <c:v>12</c:v>
                </c:pt>
                <c:pt idx="6">
                  <c:v>12</c:v>
                </c:pt>
                <c:pt idx="7" formatCode="0.00_);[Red]\(0.00\)">
                  <c:v>12</c:v>
                </c:pt>
                <c:pt idx="8" formatCode="0.00_);[Red]\(0.00\)">
                  <c:v>12</c:v>
                </c:pt>
                <c:pt idx="9" formatCode="0.00_);[Red]\(0.00\)">
                  <c:v>12</c:v>
                </c:pt>
                <c:pt idx="10">
                  <c:v>13</c:v>
                </c:pt>
                <c:pt idx="11">
                  <c:v>13</c:v>
                </c:pt>
                <c:pt idx="12" formatCode="0.00_);[Red]\(0.00\)">
                  <c:v>13</c:v>
                </c:pt>
                <c:pt idx="13" formatCode="0.00_);[Red]\(0.00\)">
                  <c:v>13</c:v>
                </c:pt>
                <c:pt idx="14">
                  <c:v>13</c:v>
                </c:pt>
                <c:pt idx="15">
                  <c:v>13</c:v>
                </c:pt>
                <c:pt idx="16">
                  <c:v>13</c:v>
                </c:pt>
                <c:pt idx="17" formatCode="0.00_);[Red]\(0.00\)">
                  <c:v>13</c:v>
                </c:pt>
                <c:pt idx="18">
                  <c:v>13</c:v>
                </c:pt>
                <c:pt idx="19">
                  <c:v>13</c:v>
                </c:pt>
                <c:pt idx="20">
                  <c:v>13</c:v>
                </c:pt>
                <c:pt idx="21">
                  <c:v>13</c:v>
                </c:pt>
                <c:pt idx="22" formatCode="0.00_);[Red]\(0.00\)">
                  <c:v>13</c:v>
                </c:pt>
                <c:pt idx="23">
                  <c:v>13</c:v>
                </c:pt>
                <c:pt idx="24" formatCode="0.00_);[Red]\(0.00\)">
                  <c:v>13</c:v>
                </c:pt>
                <c:pt idx="25">
                  <c:v>14</c:v>
                </c:pt>
                <c:pt idx="26">
                  <c:v>14</c:v>
                </c:pt>
                <c:pt idx="27" formatCode="0.00_);[Red]\(0.00\)">
                  <c:v>14</c:v>
                </c:pt>
                <c:pt idx="28">
                  <c:v>14</c:v>
                </c:pt>
                <c:pt idx="29">
                  <c:v>14</c:v>
                </c:pt>
                <c:pt idx="30">
                  <c:v>14</c:v>
                </c:pt>
                <c:pt idx="31">
                  <c:v>14</c:v>
                </c:pt>
                <c:pt idx="32" formatCode="0.00_);[Red]\(0.00\)">
                  <c:v>14</c:v>
                </c:pt>
                <c:pt idx="33">
                  <c:v>14</c:v>
                </c:pt>
                <c:pt idx="34">
                  <c:v>14</c:v>
                </c:pt>
                <c:pt idx="35">
                  <c:v>14</c:v>
                </c:pt>
                <c:pt idx="36">
                  <c:v>14</c:v>
                </c:pt>
                <c:pt idx="37">
                  <c:v>14</c:v>
                </c:pt>
                <c:pt idx="38" formatCode="0.00_);[Red]\(0.00\)">
                  <c:v>14</c:v>
                </c:pt>
                <c:pt idx="39" formatCode="0.00_);[Red]\(0.00\)">
                  <c:v>14</c:v>
                </c:pt>
                <c:pt idx="40">
                  <c:v>14</c:v>
                </c:pt>
                <c:pt idx="41" formatCode="0.00_);[Red]\(0.00\)">
                  <c:v>14</c:v>
                </c:pt>
                <c:pt idx="42" formatCode="0.00_);[Red]\(0.00\)">
                  <c:v>14</c:v>
                </c:pt>
                <c:pt idx="43">
                  <c:v>14</c:v>
                </c:pt>
                <c:pt idx="44">
                  <c:v>14</c:v>
                </c:pt>
                <c:pt idx="45">
                  <c:v>14</c:v>
                </c:pt>
                <c:pt idx="46">
                  <c:v>14</c:v>
                </c:pt>
                <c:pt idx="47">
                  <c:v>14</c:v>
                </c:pt>
                <c:pt idx="48">
                  <c:v>14</c:v>
                </c:pt>
                <c:pt idx="49" formatCode="0.00_);[Red]\(0.00\)">
                  <c:v>14</c:v>
                </c:pt>
                <c:pt idx="50">
                  <c:v>14</c:v>
                </c:pt>
                <c:pt idx="51" formatCode="0.00_);[Red]\(0.00\)">
                  <c:v>14</c:v>
                </c:pt>
                <c:pt idx="52" formatCode="0.00_);[Red]\(0.00\)">
                  <c:v>14</c:v>
                </c:pt>
                <c:pt idx="53">
                  <c:v>14</c:v>
                </c:pt>
                <c:pt idx="54" formatCode="0.00_);[Red]\(0.00\)">
                  <c:v>14</c:v>
                </c:pt>
                <c:pt idx="55">
                  <c:v>14</c:v>
                </c:pt>
                <c:pt idx="56" formatCode="0.00_);[Red]\(0.00\)">
                  <c:v>14</c:v>
                </c:pt>
                <c:pt idx="57" formatCode="0.00_);[Red]\(0.00\)">
                  <c:v>14</c:v>
                </c:pt>
                <c:pt idx="58">
                  <c:v>14</c:v>
                </c:pt>
                <c:pt idx="59">
                  <c:v>14</c:v>
                </c:pt>
                <c:pt idx="60">
                  <c:v>14</c:v>
                </c:pt>
                <c:pt idx="61" formatCode="0.00_);[Red]\(0.00\)">
                  <c:v>14</c:v>
                </c:pt>
                <c:pt idx="62" formatCode="0.00_);[Red]\(0.00\)">
                  <c:v>14</c:v>
                </c:pt>
                <c:pt idx="63" formatCode="0.00_);[Red]\(0.00\)">
                  <c:v>14</c:v>
                </c:pt>
                <c:pt idx="64">
                  <c:v>14</c:v>
                </c:pt>
                <c:pt idx="65" formatCode="0.00_);[Red]\(0.00\)">
                  <c:v>14</c:v>
                </c:pt>
                <c:pt idx="66" formatCode="0.00_);[Red]\(0.00\)">
                  <c:v>14</c:v>
                </c:pt>
                <c:pt idx="67" formatCode="0.00_);[Red]\(0.00\)">
                  <c:v>14</c:v>
                </c:pt>
                <c:pt idx="68">
                  <c:v>15</c:v>
                </c:pt>
                <c:pt idx="69" formatCode="0.00_);[Red]\(0.00\)">
                  <c:v>15</c:v>
                </c:pt>
                <c:pt idx="70" formatCode="0.00_);[Red]\(0.00\)">
                  <c:v>15</c:v>
                </c:pt>
                <c:pt idx="71">
                  <c:v>15</c:v>
                </c:pt>
                <c:pt idx="72" formatCode="0.00_);[Red]\(0.00\)">
                  <c:v>15</c:v>
                </c:pt>
                <c:pt idx="73">
                  <c:v>15</c:v>
                </c:pt>
                <c:pt idx="74" formatCode="0.00_);[Red]\(0.00\)">
                  <c:v>15</c:v>
                </c:pt>
                <c:pt idx="75">
                  <c:v>15</c:v>
                </c:pt>
                <c:pt idx="76">
                  <c:v>15</c:v>
                </c:pt>
                <c:pt idx="77">
                  <c:v>15</c:v>
                </c:pt>
                <c:pt idx="78" formatCode="0.00_);[Red]\(0.00\)">
                  <c:v>15</c:v>
                </c:pt>
                <c:pt idx="79">
                  <c:v>15</c:v>
                </c:pt>
                <c:pt idx="80" formatCode="0.00_);[Red]\(0.00\)">
                  <c:v>15</c:v>
                </c:pt>
                <c:pt idx="81">
                  <c:v>15</c:v>
                </c:pt>
                <c:pt idx="82">
                  <c:v>15</c:v>
                </c:pt>
                <c:pt idx="83">
                  <c:v>15</c:v>
                </c:pt>
                <c:pt idx="84">
                  <c:v>15</c:v>
                </c:pt>
                <c:pt idx="85" formatCode="0.00_);[Red]\(0.00\)">
                  <c:v>15</c:v>
                </c:pt>
                <c:pt idx="86">
                  <c:v>15</c:v>
                </c:pt>
                <c:pt idx="87" formatCode="0.00_);[Red]\(0.00\)">
                  <c:v>15</c:v>
                </c:pt>
                <c:pt idx="88">
                  <c:v>15</c:v>
                </c:pt>
                <c:pt idx="89">
                  <c:v>15</c:v>
                </c:pt>
                <c:pt idx="90">
                  <c:v>15</c:v>
                </c:pt>
                <c:pt idx="91">
                  <c:v>15</c:v>
                </c:pt>
                <c:pt idx="92">
                  <c:v>15</c:v>
                </c:pt>
                <c:pt idx="93" formatCode="0.00_);[Red]\(0.00\)">
                  <c:v>15</c:v>
                </c:pt>
                <c:pt idx="94">
                  <c:v>15</c:v>
                </c:pt>
                <c:pt idx="95">
                  <c:v>15</c:v>
                </c:pt>
                <c:pt idx="96" formatCode="0.00_);[Red]\(0.00\)">
                  <c:v>15</c:v>
                </c:pt>
                <c:pt idx="97">
                  <c:v>15</c:v>
                </c:pt>
                <c:pt idx="98">
                  <c:v>15</c:v>
                </c:pt>
                <c:pt idx="99">
                  <c:v>15</c:v>
                </c:pt>
                <c:pt idx="100" formatCode="0.00_);[Red]\(0.00\)">
                  <c:v>15</c:v>
                </c:pt>
                <c:pt idx="101">
                  <c:v>15</c:v>
                </c:pt>
                <c:pt idx="102">
                  <c:v>15</c:v>
                </c:pt>
                <c:pt idx="103">
                  <c:v>15</c:v>
                </c:pt>
                <c:pt idx="104" formatCode="0.00_);[Red]\(0.00\)">
                  <c:v>15</c:v>
                </c:pt>
                <c:pt idx="105" formatCode="0.00_);[Red]\(0.00\)">
                  <c:v>15</c:v>
                </c:pt>
                <c:pt idx="106" formatCode="0.00_);[Red]\(0.00\)">
                  <c:v>15</c:v>
                </c:pt>
                <c:pt idx="107" formatCode="0.00_);[Red]\(0.00\)">
                  <c:v>15</c:v>
                </c:pt>
                <c:pt idx="108">
                  <c:v>15</c:v>
                </c:pt>
                <c:pt idx="109">
                  <c:v>15</c:v>
                </c:pt>
                <c:pt idx="110" formatCode="0.00_);[Red]\(0.00\)">
                  <c:v>15</c:v>
                </c:pt>
                <c:pt idx="111" formatCode="0.00_);[Red]\(0.00\)">
                  <c:v>15</c:v>
                </c:pt>
                <c:pt idx="112">
                  <c:v>15</c:v>
                </c:pt>
                <c:pt idx="113" formatCode="0.00_);[Red]\(0.00\)">
                  <c:v>15</c:v>
                </c:pt>
                <c:pt idx="114">
                  <c:v>15</c:v>
                </c:pt>
                <c:pt idx="115">
                  <c:v>15</c:v>
                </c:pt>
                <c:pt idx="116">
                  <c:v>15</c:v>
                </c:pt>
                <c:pt idx="117">
                  <c:v>15</c:v>
                </c:pt>
                <c:pt idx="118">
                  <c:v>15</c:v>
                </c:pt>
                <c:pt idx="119" formatCode="0.00_);[Red]\(0.00\)">
                  <c:v>15.0797101449275</c:v>
                </c:pt>
                <c:pt idx="120" formatCode="0.00_);[Red]\(0.00\)">
                  <c:v>15.0797101449275</c:v>
                </c:pt>
                <c:pt idx="121" formatCode="0.00_);[Red]\(0.00\)">
                  <c:v>16</c:v>
                </c:pt>
                <c:pt idx="122" formatCode="0.00_);[Red]\(0.00\)">
                  <c:v>16</c:v>
                </c:pt>
                <c:pt idx="123">
                  <c:v>16</c:v>
                </c:pt>
                <c:pt idx="124">
                  <c:v>16</c:v>
                </c:pt>
                <c:pt idx="125">
                  <c:v>16</c:v>
                </c:pt>
                <c:pt idx="126">
                  <c:v>16</c:v>
                </c:pt>
                <c:pt idx="127">
                  <c:v>16</c:v>
                </c:pt>
                <c:pt idx="128" formatCode="0.00_);[Red]\(0.00\)">
                  <c:v>16</c:v>
                </c:pt>
                <c:pt idx="129">
                  <c:v>16</c:v>
                </c:pt>
                <c:pt idx="130">
                  <c:v>16</c:v>
                </c:pt>
                <c:pt idx="131">
                  <c:v>16</c:v>
                </c:pt>
                <c:pt idx="132">
                  <c:v>16</c:v>
                </c:pt>
                <c:pt idx="133">
                  <c:v>16</c:v>
                </c:pt>
                <c:pt idx="134" formatCode="0.00_);[Red]\(0.00\)">
                  <c:v>16</c:v>
                </c:pt>
                <c:pt idx="135">
                  <c:v>16</c:v>
                </c:pt>
                <c:pt idx="136">
                  <c:v>16</c:v>
                </c:pt>
                <c:pt idx="137" formatCode="0.00_);[Red]\(0.00\)">
                  <c:v>16</c:v>
                </c:pt>
                <c:pt idx="138">
                  <c:v>16</c:v>
                </c:pt>
                <c:pt idx="139" formatCode="0.00_);[Red]\(0.00\)">
                  <c:v>16</c:v>
                </c:pt>
                <c:pt idx="140">
                  <c:v>16</c:v>
                </c:pt>
                <c:pt idx="141">
                  <c:v>16</c:v>
                </c:pt>
                <c:pt idx="142">
                  <c:v>16</c:v>
                </c:pt>
                <c:pt idx="143">
                  <c:v>16</c:v>
                </c:pt>
                <c:pt idx="144">
                  <c:v>16</c:v>
                </c:pt>
                <c:pt idx="145">
                  <c:v>16</c:v>
                </c:pt>
                <c:pt idx="146" formatCode="0.00_);[Red]\(0.00\)">
                  <c:v>16</c:v>
                </c:pt>
                <c:pt idx="147">
                  <c:v>16</c:v>
                </c:pt>
                <c:pt idx="148">
                  <c:v>16</c:v>
                </c:pt>
                <c:pt idx="149" formatCode="0.00_);[Red]\(0.00\)">
                  <c:v>16.5</c:v>
                </c:pt>
                <c:pt idx="150" formatCode="0.00_);[Red]\(0.00\)">
                  <c:v>17</c:v>
                </c:pt>
                <c:pt idx="151">
                  <c:v>17</c:v>
                </c:pt>
                <c:pt idx="152">
                  <c:v>17</c:v>
                </c:pt>
                <c:pt idx="153">
                  <c:v>17</c:v>
                </c:pt>
                <c:pt idx="154" formatCode="0.00_);[Red]\(0.00\)">
                  <c:v>17</c:v>
                </c:pt>
                <c:pt idx="155">
                  <c:v>17</c:v>
                </c:pt>
                <c:pt idx="156">
                  <c:v>17</c:v>
                </c:pt>
                <c:pt idx="157">
                  <c:v>17</c:v>
                </c:pt>
                <c:pt idx="158">
                  <c:v>17</c:v>
                </c:pt>
                <c:pt idx="159">
                  <c:v>17</c:v>
                </c:pt>
                <c:pt idx="160" formatCode="0.00_);[Red]\(0.00\)">
                  <c:v>17</c:v>
                </c:pt>
                <c:pt idx="161">
                  <c:v>17</c:v>
                </c:pt>
                <c:pt idx="162" formatCode="0.00_);[Red]\(0.00\)">
                  <c:v>17</c:v>
                </c:pt>
                <c:pt idx="163">
                  <c:v>17</c:v>
                </c:pt>
                <c:pt idx="164" formatCode="0.00_);[Red]\(0.00\)">
                  <c:v>17</c:v>
                </c:pt>
                <c:pt idx="165">
                  <c:v>17</c:v>
                </c:pt>
                <c:pt idx="166">
                  <c:v>17</c:v>
                </c:pt>
                <c:pt idx="167">
                  <c:v>17</c:v>
                </c:pt>
                <c:pt idx="168" formatCode="0.00_);[Red]\(0.00\)">
                  <c:v>17</c:v>
                </c:pt>
                <c:pt idx="169" formatCode="0.00_);[Red]\(0.00\)">
                  <c:v>17</c:v>
                </c:pt>
                <c:pt idx="170">
                  <c:v>18</c:v>
                </c:pt>
                <c:pt idx="171">
                  <c:v>18</c:v>
                </c:pt>
                <c:pt idx="172">
                  <c:v>18</c:v>
                </c:pt>
                <c:pt idx="173">
                  <c:v>18</c:v>
                </c:pt>
                <c:pt idx="174">
                  <c:v>18</c:v>
                </c:pt>
                <c:pt idx="175">
                  <c:v>18</c:v>
                </c:pt>
                <c:pt idx="176" formatCode="0.00_);[Red]\(0.00\)">
                  <c:v>18</c:v>
                </c:pt>
                <c:pt idx="177">
                  <c:v>18</c:v>
                </c:pt>
                <c:pt idx="178">
                  <c:v>18</c:v>
                </c:pt>
                <c:pt idx="179">
                  <c:v>18</c:v>
                </c:pt>
                <c:pt idx="180">
                  <c:v>18</c:v>
                </c:pt>
                <c:pt idx="181" formatCode="0.00_);[Red]\(0.00\)">
                  <c:v>18</c:v>
                </c:pt>
                <c:pt idx="182" formatCode="0.00_);[Red]\(0.00\)">
                  <c:v>18</c:v>
                </c:pt>
                <c:pt idx="183">
                  <c:v>18</c:v>
                </c:pt>
                <c:pt idx="184">
                  <c:v>18</c:v>
                </c:pt>
                <c:pt idx="185" formatCode="0.00_);[Red]\(0.00\)">
                  <c:v>18</c:v>
                </c:pt>
                <c:pt idx="186">
                  <c:v>18</c:v>
                </c:pt>
                <c:pt idx="187" formatCode="0.00_);[Red]\(0.00\)">
                  <c:v>18</c:v>
                </c:pt>
                <c:pt idx="188" formatCode="0.00_);[Red]\(0.00\)">
                  <c:v>18</c:v>
                </c:pt>
                <c:pt idx="189">
                  <c:v>18</c:v>
                </c:pt>
                <c:pt idx="190">
                  <c:v>18</c:v>
                </c:pt>
                <c:pt idx="191">
                  <c:v>18</c:v>
                </c:pt>
                <c:pt idx="192">
                  <c:v>18</c:v>
                </c:pt>
                <c:pt idx="193">
                  <c:v>18</c:v>
                </c:pt>
                <c:pt idx="194">
                  <c:v>18</c:v>
                </c:pt>
                <c:pt idx="195">
                  <c:v>19</c:v>
                </c:pt>
                <c:pt idx="196" formatCode="0.00_);[Red]\(0.00\)">
                  <c:v>19</c:v>
                </c:pt>
                <c:pt idx="197">
                  <c:v>19</c:v>
                </c:pt>
                <c:pt idx="198">
                  <c:v>19</c:v>
                </c:pt>
                <c:pt idx="199">
                  <c:v>19</c:v>
                </c:pt>
                <c:pt idx="200">
                  <c:v>19</c:v>
                </c:pt>
                <c:pt idx="201">
                  <c:v>19</c:v>
                </c:pt>
                <c:pt idx="202">
                  <c:v>19</c:v>
                </c:pt>
                <c:pt idx="203">
                  <c:v>19</c:v>
                </c:pt>
                <c:pt idx="204">
                  <c:v>19</c:v>
                </c:pt>
                <c:pt idx="205">
                  <c:v>19</c:v>
                </c:pt>
                <c:pt idx="206">
                  <c:v>19</c:v>
                </c:pt>
                <c:pt idx="207">
                  <c:v>20</c:v>
                </c:pt>
                <c:pt idx="208">
                  <c:v>20</c:v>
                </c:pt>
                <c:pt idx="209">
                  <c:v>20</c:v>
                </c:pt>
              </c:numCache>
            </c:numRef>
          </c:yVal>
          <c:smooth val="0"/>
        </c:ser>
        <c:dLbls>
          <c:showLegendKey val="0"/>
          <c:showVal val="0"/>
          <c:showCatName val="0"/>
          <c:showSerName val="0"/>
          <c:showPercent val="0"/>
          <c:showBubbleSize val="0"/>
        </c:dLbls>
        <c:axId val="332676480"/>
        <c:axId val="332686848"/>
      </c:scatterChart>
      <c:valAx>
        <c:axId val="332676480"/>
        <c:scaling>
          <c:orientation val="minMax"/>
          <c:max val="250"/>
          <c:min val="0"/>
        </c:scaling>
        <c:delete val="0"/>
        <c:axPos val="b"/>
        <c:title>
          <c:tx>
            <c:rich>
              <a:bodyPr rot="0" spcFirstLastPara="0" vertOverflow="ellipsis" vert="horz" wrap="square" anchor="ctr" anchorCtr="1"/>
              <a:lstStyle/>
              <a:p>
                <a:pPr>
                  <a:defRPr lang="zh-CN" sz="800" b="0" i="0" u="none" strike="noStrike" kern="1200" baseline="0">
                    <a:solidFill>
                      <a:schemeClr val="tx1"/>
                    </a:solidFill>
                    <a:latin typeface="宋体" panose="02010600030101010101" charset="-122"/>
                    <a:ea typeface="宋体" panose="02010600030101010101" charset="-122"/>
                    <a:cs typeface="+mn-cs"/>
                  </a:defRPr>
                </a:pPr>
                <a:r>
                  <a:rPr lang="zh-CN"/>
                  <a:t>株号</a:t>
                </a:r>
              </a:p>
            </c:rich>
          </c:tx>
          <c:overlay val="0"/>
        </c:title>
        <c:numFmt formatCode="General" sourceLinked="1"/>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宋体" panose="02010600030101010101" charset="-122"/>
                <a:ea typeface="宋体" panose="02010600030101010101" charset="-122"/>
                <a:cs typeface="+mn-cs"/>
              </a:defRPr>
            </a:pPr>
            <a:endParaRPr lang="zh-CN"/>
          </a:p>
        </c:txPr>
        <c:crossAx val="332686848"/>
        <c:crosses val="autoZero"/>
        <c:crossBetween val="midCat"/>
        <c:majorUnit val="50"/>
      </c:valAx>
      <c:valAx>
        <c:axId val="332686848"/>
        <c:scaling>
          <c:orientation val="minMax"/>
        </c:scaling>
        <c:delete val="0"/>
        <c:axPos val="l"/>
        <c:majorGridlines/>
        <c:title>
          <c:tx>
            <c:rich>
              <a:bodyPr rot="-5400000" spcFirstLastPara="0" vertOverflow="ellipsis" vert="horz" wrap="square" anchor="ctr" anchorCtr="1"/>
              <a:lstStyle/>
              <a:p>
                <a:pPr>
                  <a:defRPr lang="zh-CN" sz="800" b="0" i="0" u="none" strike="noStrike" kern="1200" baseline="0">
                    <a:solidFill>
                      <a:schemeClr val="tx1"/>
                    </a:solidFill>
                    <a:latin typeface="宋体" panose="02010600030101010101" charset="-122"/>
                    <a:ea typeface="宋体" panose="02010600030101010101" charset="-122"/>
                    <a:cs typeface="+mn-cs"/>
                  </a:defRPr>
                </a:pPr>
                <a:r>
                  <a:rPr lang="zh-CN"/>
                  <a:t>嫁接口高度（</a:t>
                </a:r>
                <a:r>
                  <a:rPr lang="en-US"/>
                  <a:t>cm</a:t>
                </a:r>
                <a:r>
                  <a:rPr lang="zh-CN"/>
                  <a:t>）</a:t>
                </a:r>
              </a:p>
            </c:rich>
          </c:tx>
          <c:overlay val="0"/>
        </c:title>
        <c:numFmt formatCode="0.00_ " sourceLinked="1"/>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宋体" panose="02010600030101010101" charset="-122"/>
                <a:ea typeface="宋体" panose="02010600030101010101" charset="-122"/>
                <a:cs typeface="+mn-cs"/>
              </a:defRPr>
            </a:pPr>
            <a:endParaRPr lang="zh-CN"/>
          </a:p>
        </c:txPr>
        <c:crossAx val="332676480"/>
        <c:crosses val="autoZero"/>
        <c:crossBetween val="midCat"/>
      </c:valAx>
    </c:plotArea>
    <c:plotVisOnly val="1"/>
    <c:dispBlanksAs val="gap"/>
    <c:showDLblsOverMax val="0"/>
  </c:chart>
  <c:spPr>
    <a:ln w="6350" cap="flat" cmpd="sng" algn="ctr">
      <a:noFill/>
      <a:prstDash val="solid"/>
      <a:round/>
    </a:ln>
  </c:spPr>
  <c:txPr>
    <a:bodyPr/>
    <a:lstStyle/>
    <a:p>
      <a:pPr>
        <a:defRPr lang="zh-CN" sz="800" b="0">
          <a:latin typeface="宋体" panose="02010600030101010101" charset="-122"/>
          <a:ea typeface="宋体" panose="02010600030101010101" charset="-122"/>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960" b="0" i="0" u="none" strike="noStrike" kern="1200" baseline="0">
                <a:solidFill>
                  <a:schemeClr val="tx1"/>
                </a:solidFill>
                <a:latin typeface="+mn-lt"/>
                <a:ea typeface="+mn-ea"/>
                <a:cs typeface="+mn-cs"/>
              </a:defRPr>
            </a:pPr>
            <a:r>
              <a:rPr lang="en-US"/>
              <a:t>C </a:t>
            </a:r>
            <a:r>
              <a:rPr lang="zh-CN"/>
              <a:t>嫁接枝条长度</a:t>
            </a:r>
            <a:endParaRPr lang="en-US"/>
          </a:p>
        </c:rich>
      </c:tx>
      <c:layout>
        <c:manualLayout>
          <c:xMode val="edge"/>
          <c:yMode val="edge"/>
          <c:x val="0.20893117526975799"/>
          <c:y val="1.9193857965451099E-2"/>
        </c:manualLayout>
      </c:layout>
      <c:overlay val="0"/>
    </c:title>
    <c:autoTitleDeleted val="0"/>
    <c:plotArea>
      <c:layout>
        <c:manualLayout>
          <c:layoutTarget val="inner"/>
          <c:xMode val="edge"/>
          <c:yMode val="edge"/>
          <c:x val="0.198190677554195"/>
          <c:y val="0.118234165067178"/>
          <c:w val="0.75133663847574605"/>
          <c:h val="0.71707145052165999"/>
        </c:manualLayout>
      </c:layout>
      <c:scatterChart>
        <c:scatterStyle val="lineMarker"/>
        <c:varyColors val="0"/>
        <c:ser>
          <c:idx val="0"/>
          <c:order val="0"/>
          <c:tx>
            <c:strRef>
              <c:f>Sheet2!$D$1</c:f>
              <c:strCache>
                <c:ptCount val="1"/>
                <c:pt idx="0">
                  <c:v>嫁接枝条长度（cm）</c:v>
                </c:pt>
              </c:strCache>
            </c:strRef>
          </c:tx>
          <c:spPr>
            <a:ln w="28575" cap="rnd" cmpd="sng" algn="ctr">
              <a:noFill/>
              <a:prstDash val="solid"/>
              <a:round/>
            </a:ln>
          </c:spPr>
          <c:xVal>
            <c:numRef>
              <c:f>Sheet2!$A$2:$A$215</c:f>
              <c:numCache>
                <c:formatCode>General</c:formatCode>
                <c:ptCount val="214"/>
                <c:pt idx="0">
                  <c:v>24</c:v>
                </c:pt>
                <c:pt idx="1">
                  <c:v>24</c:v>
                </c:pt>
                <c:pt idx="2">
                  <c:v>6</c:v>
                </c:pt>
                <c:pt idx="3">
                  <c:v>10</c:v>
                </c:pt>
                <c:pt idx="4">
                  <c:v>27</c:v>
                </c:pt>
                <c:pt idx="5">
                  <c:v>4</c:v>
                </c:pt>
                <c:pt idx="6">
                  <c:v>22</c:v>
                </c:pt>
                <c:pt idx="7">
                  <c:v>90</c:v>
                </c:pt>
                <c:pt idx="8">
                  <c:v>16</c:v>
                </c:pt>
                <c:pt idx="9">
                  <c:v>5</c:v>
                </c:pt>
                <c:pt idx="10">
                  <c:v>3</c:v>
                </c:pt>
                <c:pt idx="11">
                  <c:v>5</c:v>
                </c:pt>
                <c:pt idx="12">
                  <c:v>16</c:v>
                </c:pt>
                <c:pt idx="13">
                  <c:v>17</c:v>
                </c:pt>
                <c:pt idx="14">
                  <c:v>18</c:v>
                </c:pt>
                <c:pt idx="15">
                  <c:v>20</c:v>
                </c:pt>
                <c:pt idx="16">
                  <c:v>21</c:v>
                </c:pt>
                <c:pt idx="17">
                  <c:v>29</c:v>
                </c:pt>
                <c:pt idx="18">
                  <c:v>30</c:v>
                </c:pt>
                <c:pt idx="19">
                  <c:v>36</c:v>
                </c:pt>
                <c:pt idx="20">
                  <c:v>95</c:v>
                </c:pt>
                <c:pt idx="21">
                  <c:v>32</c:v>
                </c:pt>
                <c:pt idx="22">
                  <c:v>33</c:v>
                </c:pt>
                <c:pt idx="23">
                  <c:v>96</c:v>
                </c:pt>
                <c:pt idx="24">
                  <c:v>150</c:v>
                </c:pt>
                <c:pt idx="25">
                  <c:v>1</c:v>
                </c:pt>
                <c:pt idx="26">
                  <c:v>2</c:v>
                </c:pt>
                <c:pt idx="27">
                  <c:v>7</c:v>
                </c:pt>
                <c:pt idx="28">
                  <c:v>14</c:v>
                </c:pt>
                <c:pt idx="29">
                  <c:v>19</c:v>
                </c:pt>
                <c:pt idx="30">
                  <c:v>23</c:v>
                </c:pt>
                <c:pt idx="31">
                  <c:v>27</c:v>
                </c:pt>
                <c:pt idx="32">
                  <c:v>33</c:v>
                </c:pt>
                <c:pt idx="33">
                  <c:v>37</c:v>
                </c:pt>
                <c:pt idx="34">
                  <c:v>98</c:v>
                </c:pt>
                <c:pt idx="35">
                  <c:v>99</c:v>
                </c:pt>
                <c:pt idx="36">
                  <c:v>100</c:v>
                </c:pt>
                <c:pt idx="37">
                  <c:v>101</c:v>
                </c:pt>
                <c:pt idx="38">
                  <c:v>151</c:v>
                </c:pt>
                <c:pt idx="39">
                  <c:v>152</c:v>
                </c:pt>
                <c:pt idx="40">
                  <c:v>102</c:v>
                </c:pt>
                <c:pt idx="41">
                  <c:v>103</c:v>
                </c:pt>
                <c:pt idx="42">
                  <c:v>104</c:v>
                </c:pt>
                <c:pt idx="43">
                  <c:v>208</c:v>
                </c:pt>
                <c:pt idx="44">
                  <c:v>105</c:v>
                </c:pt>
                <c:pt idx="45">
                  <c:v>153</c:v>
                </c:pt>
                <c:pt idx="46">
                  <c:v>154</c:v>
                </c:pt>
                <c:pt idx="47">
                  <c:v>19</c:v>
                </c:pt>
                <c:pt idx="48">
                  <c:v>155</c:v>
                </c:pt>
                <c:pt idx="49">
                  <c:v>7</c:v>
                </c:pt>
                <c:pt idx="50">
                  <c:v>37</c:v>
                </c:pt>
                <c:pt idx="51">
                  <c:v>38</c:v>
                </c:pt>
                <c:pt idx="52">
                  <c:v>39</c:v>
                </c:pt>
                <c:pt idx="53">
                  <c:v>106</c:v>
                </c:pt>
                <c:pt idx="54">
                  <c:v>8</c:v>
                </c:pt>
                <c:pt idx="55">
                  <c:v>40</c:v>
                </c:pt>
                <c:pt idx="56">
                  <c:v>82</c:v>
                </c:pt>
                <c:pt idx="57">
                  <c:v>107</c:v>
                </c:pt>
                <c:pt idx="58">
                  <c:v>156</c:v>
                </c:pt>
                <c:pt idx="59">
                  <c:v>196</c:v>
                </c:pt>
                <c:pt idx="60">
                  <c:v>157</c:v>
                </c:pt>
                <c:pt idx="61">
                  <c:v>108</c:v>
                </c:pt>
                <c:pt idx="62">
                  <c:v>109</c:v>
                </c:pt>
                <c:pt idx="63">
                  <c:v>158</c:v>
                </c:pt>
                <c:pt idx="64">
                  <c:v>9</c:v>
                </c:pt>
                <c:pt idx="65">
                  <c:v>110</c:v>
                </c:pt>
                <c:pt idx="66">
                  <c:v>159</c:v>
                </c:pt>
                <c:pt idx="67">
                  <c:v>160</c:v>
                </c:pt>
                <c:pt idx="68">
                  <c:v>8</c:v>
                </c:pt>
                <c:pt idx="69">
                  <c:v>9</c:v>
                </c:pt>
                <c:pt idx="70">
                  <c:v>11</c:v>
                </c:pt>
                <c:pt idx="71">
                  <c:v>15</c:v>
                </c:pt>
                <c:pt idx="72">
                  <c:v>25</c:v>
                </c:pt>
                <c:pt idx="73">
                  <c:v>28</c:v>
                </c:pt>
                <c:pt idx="74">
                  <c:v>31</c:v>
                </c:pt>
                <c:pt idx="75">
                  <c:v>32</c:v>
                </c:pt>
                <c:pt idx="76">
                  <c:v>34</c:v>
                </c:pt>
                <c:pt idx="77">
                  <c:v>35</c:v>
                </c:pt>
                <c:pt idx="78">
                  <c:v>38</c:v>
                </c:pt>
                <c:pt idx="79">
                  <c:v>44</c:v>
                </c:pt>
                <c:pt idx="80">
                  <c:v>162</c:v>
                </c:pt>
                <c:pt idx="81">
                  <c:v>21</c:v>
                </c:pt>
                <c:pt idx="82">
                  <c:v>163</c:v>
                </c:pt>
                <c:pt idx="83">
                  <c:v>11</c:v>
                </c:pt>
                <c:pt idx="84">
                  <c:v>45</c:v>
                </c:pt>
                <c:pt idx="85">
                  <c:v>112</c:v>
                </c:pt>
                <c:pt idx="86">
                  <c:v>113</c:v>
                </c:pt>
                <c:pt idx="87">
                  <c:v>46</c:v>
                </c:pt>
                <c:pt idx="88">
                  <c:v>114</c:v>
                </c:pt>
                <c:pt idx="89">
                  <c:v>115</c:v>
                </c:pt>
                <c:pt idx="90">
                  <c:v>164</c:v>
                </c:pt>
                <c:pt idx="91">
                  <c:v>47</c:v>
                </c:pt>
                <c:pt idx="92">
                  <c:v>165</c:v>
                </c:pt>
                <c:pt idx="93">
                  <c:v>48</c:v>
                </c:pt>
                <c:pt idx="94">
                  <c:v>49</c:v>
                </c:pt>
                <c:pt idx="95">
                  <c:v>50</c:v>
                </c:pt>
                <c:pt idx="96">
                  <c:v>116</c:v>
                </c:pt>
                <c:pt idx="97">
                  <c:v>166</c:v>
                </c:pt>
                <c:pt idx="98">
                  <c:v>22</c:v>
                </c:pt>
                <c:pt idx="99">
                  <c:v>51</c:v>
                </c:pt>
                <c:pt idx="100">
                  <c:v>52</c:v>
                </c:pt>
                <c:pt idx="101">
                  <c:v>167</c:v>
                </c:pt>
                <c:pt idx="102">
                  <c:v>53</c:v>
                </c:pt>
                <c:pt idx="103">
                  <c:v>168</c:v>
                </c:pt>
                <c:pt idx="104">
                  <c:v>54</c:v>
                </c:pt>
                <c:pt idx="105">
                  <c:v>55</c:v>
                </c:pt>
                <c:pt idx="106">
                  <c:v>12</c:v>
                </c:pt>
                <c:pt idx="107">
                  <c:v>169</c:v>
                </c:pt>
                <c:pt idx="108">
                  <c:v>117</c:v>
                </c:pt>
                <c:pt idx="109">
                  <c:v>56</c:v>
                </c:pt>
                <c:pt idx="110">
                  <c:v>170</c:v>
                </c:pt>
                <c:pt idx="111">
                  <c:v>171</c:v>
                </c:pt>
                <c:pt idx="112">
                  <c:v>172</c:v>
                </c:pt>
                <c:pt idx="113">
                  <c:v>57</c:v>
                </c:pt>
                <c:pt idx="114">
                  <c:v>4</c:v>
                </c:pt>
                <c:pt idx="115">
                  <c:v>173</c:v>
                </c:pt>
                <c:pt idx="116">
                  <c:v>174</c:v>
                </c:pt>
                <c:pt idx="117">
                  <c:v>118</c:v>
                </c:pt>
                <c:pt idx="118">
                  <c:v>58</c:v>
                </c:pt>
                <c:pt idx="119">
                  <c:v>87</c:v>
                </c:pt>
                <c:pt idx="120">
                  <c:v>88</c:v>
                </c:pt>
                <c:pt idx="121">
                  <c:v>59</c:v>
                </c:pt>
                <c:pt idx="122">
                  <c:v>60</c:v>
                </c:pt>
                <c:pt idx="123">
                  <c:v>61</c:v>
                </c:pt>
                <c:pt idx="124">
                  <c:v>84</c:v>
                </c:pt>
                <c:pt idx="125">
                  <c:v>62</c:v>
                </c:pt>
                <c:pt idx="126">
                  <c:v>63</c:v>
                </c:pt>
                <c:pt idx="127">
                  <c:v>119</c:v>
                </c:pt>
                <c:pt idx="128">
                  <c:v>120</c:v>
                </c:pt>
                <c:pt idx="129">
                  <c:v>197</c:v>
                </c:pt>
                <c:pt idx="130">
                  <c:v>121</c:v>
                </c:pt>
                <c:pt idx="131">
                  <c:v>23</c:v>
                </c:pt>
                <c:pt idx="132">
                  <c:v>122</c:v>
                </c:pt>
                <c:pt idx="133">
                  <c:v>175</c:v>
                </c:pt>
                <c:pt idx="134">
                  <c:v>176</c:v>
                </c:pt>
                <c:pt idx="135">
                  <c:v>123</c:v>
                </c:pt>
                <c:pt idx="136">
                  <c:v>177</c:v>
                </c:pt>
                <c:pt idx="137">
                  <c:v>124</c:v>
                </c:pt>
                <c:pt idx="138">
                  <c:v>125</c:v>
                </c:pt>
                <c:pt idx="139">
                  <c:v>126</c:v>
                </c:pt>
                <c:pt idx="140">
                  <c:v>127</c:v>
                </c:pt>
                <c:pt idx="141">
                  <c:v>64</c:v>
                </c:pt>
                <c:pt idx="142">
                  <c:v>178</c:v>
                </c:pt>
                <c:pt idx="143">
                  <c:v>179</c:v>
                </c:pt>
                <c:pt idx="144">
                  <c:v>65</c:v>
                </c:pt>
                <c:pt idx="145">
                  <c:v>198</c:v>
                </c:pt>
                <c:pt idx="146">
                  <c:v>128</c:v>
                </c:pt>
                <c:pt idx="147">
                  <c:v>66</c:v>
                </c:pt>
                <c:pt idx="148">
                  <c:v>129</c:v>
                </c:pt>
                <c:pt idx="149">
                  <c:v>67</c:v>
                </c:pt>
                <c:pt idx="150">
                  <c:v>12</c:v>
                </c:pt>
                <c:pt idx="151">
                  <c:v>130</c:v>
                </c:pt>
                <c:pt idx="152">
                  <c:v>131</c:v>
                </c:pt>
                <c:pt idx="153">
                  <c:v>199</c:v>
                </c:pt>
                <c:pt idx="154">
                  <c:v>132</c:v>
                </c:pt>
                <c:pt idx="155">
                  <c:v>133</c:v>
                </c:pt>
                <c:pt idx="156">
                  <c:v>181</c:v>
                </c:pt>
                <c:pt idx="157">
                  <c:v>182</c:v>
                </c:pt>
                <c:pt idx="158">
                  <c:v>210</c:v>
                </c:pt>
                <c:pt idx="159">
                  <c:v>134</c:v>
                </c:pt>
                <c:pt idx="160">
                  <c:v>135</c:v>
                </c:pt>
                <c:pt idx="161">
                  <c:v>148</c:v>
                </c:pt>
                <c:pt idx="162">
                  <c:v>183</c:v>
                </c:pt>
                <c:pt idx="163">
                  <c:v>200</c:v>
                </c:pt>
                <c:pt idx="164">
                  <c:v>68</c:v>
                </c:pt>
                <c:pt idx="165">
                  <c:v>69</c:v>
                </c:pt>
                <c:pt idx="166">
                  <c:v>70</c:v>
                </c:pt>
                <c:pt idx="167">
                  <c:v>71</c:v>
                </c:pt>
                <c:pt idx="168">
                  <c:v>136</c:v>
                </c:pt>
                <c:pt idx="169">
                  <c:v>184</c:v>
                </c:pt>
                <c:pt idx="170">
                  <c:v>13</c:v>
                </c:pt>
                <c:pt idx="171">
                  <c:v>137</c:v>
                </c:pt>
                <c:pt idx="172">
                  <c:v>14</c:v>
                </c:pt>
                <c:pt idx="173">
                  <c:v>138</c:v>
                </c:pt>
                <c:pt idx="174">
                  <c:v>204</c:v>
                </c:pt>
                <c:pt idx="175">
                  <c:v>72</c:v>
                </c:pt>
                <c:pt idx="176">
                  <c:v>15</c:v>
                </c:pt>
                <c:pt idx="177">
                  <c:v>73</c:v>
                </c:pt>
                <c:pt idx="178">
                  <c:v>201</c:v>
                </c:pt>
                <c:pt idx="179">
                  <c:v>205</c:v>
                </c:pt>
                <c:pt idx="180">
                  <c:v>185</c:v>
                </c:pt>
                <c:pt idx="181">
                  <c:v>139</c:v>
                </c:pt>
                <c:pt idx="182">
                  <c:v>74</c:v>
                </c:pt>
                <c:pt idx="183">
                  <c:v>140</c:v>
                </c:pt>
                <c:pt idx="184">
                  <c:v>186</c:v>
                </c:pt>
                <c:pt idx="185">
                  <c:v>75</c:v>
                </c:pt>
                <c:pt idx="186">
                  <c:v>76</c:v>
                </c:pt>
                <c:pt idx="187">
                  <c:v>141</c:v>
                </c:pt>
                <c:pt idx="188">
                  <c:v>187</c:v>
                </c:pt>
                <c:pt idx="189">
                  <c:v>77</c:v>
                </c:pt>
                <c:pt idx="190">
                  <c:v>142</c:v>
                </c:pt>
                <c:pt idx="191">
                  <c:v>202</c:v>
                </c:pt>
                <c:pt idx="192">
                  <c:v>143</c:v>
                </c:pt>
                <c:pt idx="193">
                  <c:v>78</c:v>
                </c:pt>
                <c:pt idx="194">
                  <c:v>188</c:v>
                </c:pt>
                <c:pt idx="195">
                  <c:v>26</c:v>
                </c:pt>
                <c:pt idx="196">
                  <c:v>149</c:v>
                </c:pt>
                <c:pt idx="197">
                  <c:v>190</c:v>
                </c:pt>
                <c:pt idx="198">
                  <c:v>85</c:v>
                </c:pt>
                <c:pt idx="199">
                  <c:v>203</c:v>
                </c:pt>
                <c:pt idx="200">
                  <c:v>191</c:v>
                </c:pt>
                <c:pt idx="201">
                  <c:v>144</c:v>
                </c:pt>
                <c:pt idx="202">
                  <c:v>145</c:v>
                </c:pt>
                <c:pt idx="203">
                  <c:v>192</c:v>
                </c:pt>
                <c:pt idx="204">
                  <c:v>86</c:v>
                </c:pt>
                <c:pt idx="205">
                  <c:v>79</c:v>
                </c:pt>
                <c:pt idx="206">
                  <c:v>206</c:v>
                </c:pt>
                <c:pt idx="207">
                  <c:v>193</c:v>
                </c:pt>
                <c:pt idx="208">
                  <c:v>207</c:v>
                </c:pt>
                <c:pt idx="209">
                  <c:v>194</c:v>
                </c:pt>
              </c:numCache>
            </c:numRef>
          </c:xVal>
          <c:yVal>
            <c:numRef>
              <c:f>Sheet2!$D$2:$D$215</c:f>
              <c:numCache>
                <c:formatCode>0.00_ </c:formatCode>
                <c:ptCount val="214"/>
                <c:pt idx="0">
                  <c:v>10</c:v>
                </c:pt>
                <c:pt idx="1">
                  <c:v>11</c:v>
                </c:pt>
                <c:pt idx="2">
                  <c:v>10</c:v>
                </c:pt>
                <c:pt idx="3" formatCode="0.00_);[Red]\(0.00\)">
                  <c:v>10</c:v>
                </c:pt>
                <c:pt idx="4">
                  <c:v>10</c:v>
                </c:pt>
                <c:pt idx="5">
                  <c:v>10</c:v>
                </c:pt>
                <c:pt idx="6">
                  <c:v>10</c:v>
                </c:pt>
                <c:pt idx="7" formatCode="0.00_);[Red]\(0.00\)">
                  <c:v>11</c:v>
                </c:pt>
                <c:pt idx="8" formatCode="0.00_);[Red]\(0.00\)">
                  <c:v>9.5</c:v>
                </c:pt>
                <c:pt idx="9" formatCode="0.00_);[Red]\(0.00\)">
                  <c:v>9</c:v>
                </c:pt>
                <c:pt idx="10">
                  <c:v>9.5</c:v>
                </c:pt>
                <c:pt idx="11">
                  <c:v>9.5</c:v>
                </c:pt>
                <c:pt idx="12" formatCode="0.00_);[Red]\(0.00\)">
                  <c:v>10</c:v>
                </c:pt>
                <c:pt idx="13" formatCode="0.00_);[Red]\(0.00\)">
                  <c:v>11</c:v>
                </c:pt>
                <c:pt idx="14">
                  <c:v>11</c:v>
                </c:pt>
                <c:pt idx="15">
                  <c:v>10</c:v>
                </c:pt>
                <c:pt idx="16">
                  <c:v>10.5</c:v>
                </c:pt>
                <c:pt idx="17" formatCode="0.00_);[Red]\(0.00\)">
                  <c:v>11</c:v>
                </c:pt>
                <c:pt idx="18">
                  <c:v>11</c:v>
                </c:pt>
                <c:pt idx="19">
                  <c:v>8</c:v>
                </c:pt>
                <c:pt idx="20">
                  <c:v>11</c:v>
                </c:pt>
                <c:pt idx="21">
                  <c:v>10</c:v>
                </c:pt>
                <c:pt idx="22" formatCode="0.00_);[Red]\(0.00\)">
                  <c:v>10</c:v>
                </c:pt>
                <c:pt idx="23">
                  <c:v>11</c:v>
                </c:pt>
                <c:pt idx="24" formatCode="0.00_);[Red]\(0.00\)">
                  <c:v>12</c:v>
                </c:pt>
                <c:pt idx="25">
                  <c:v>10</c:v>
                </c:pt>
                <c:pt idx="26">
                  <c:v>10</c:v>
                </c:pt>
                <c:pt idx="27" formatCode="0.00_);[Red]\(0.00\)">
                  <c:v>9</c:v>
                </c:pt>
                <c:pt idx="28">
                  <c:v>11</c:v>
                </c:pt>
                <c:pt idx="29">
                  <c:v>8</c:v>
                </c:pt>
                <c:pt idx="30">
                  <c:v>10.5</c:v>
                </c:pt>
                <c:pt idx="31">
                  <c:v>10</c:v>
                </c:pt>
                <c:pt idx="32" formatCode="0.00_);[Red]\(0.00\)">
                  <c:v>13</c:v>
                </c:pt>
                <c:pt idx="33">
                  <c:v>8</c:v>
                </c:pt>
                <c:pt idx="34">
                  <c:v>11</c:v>
                </c:pt>
                <c:pt idx="35">
                  <c:v>11</c:v>
                </c:pt>
                <c:pt idx="36">
                  <c:v>11</c:v>
                </c:pt>
                <c:pt idx="37">
                  <c:v>11</c:v>
                </c:pt>
                <c:pt idx="38" formatCode="0.00_);[Red]\(0.00\)">
                  <c:v>12</c:v>
                </c:pt>
                <c:pt idx="39" formatCode="0.00_);[Red]\(0.00\)">
                  <c:v>12</c:v>
                </c:pt>
                <c:pt idx="40">
                  <c:v>11</c:v>
                </c:pt>
                <c:pt idx="41" formatCode="0.00_);[Red]\(0.00\)">
                  <c:v>11</c:v>
                </c:pt>
                <c:pt idx="42" formatCode="0.00_);[Red]\(0.00\)">
                  <c:v>11</c:v>
                </c:pt>
                <c:pt idx="43">
                  <c:v>16</c:v>
                </c:pt>
                <c:pt idx="44">
                  <c:v>11</c:v>
                </c:pt>
                <c:pt idx="45">
                  <c:v>12</c:v>
                </c:pt>
                <c:pt idx="46">
                  <c:v>12</c:v>
                </c:pt>
                <c:pt idx="47">
                  <c:v>9.5</c:v>
                </c:pt>
                <c:pt idx="48">
                  <c:v>12</c:v>
                </c:pt>
                <c:pt idx="49" formatCode="0.00_);[Red]\(0.00\)">
                  <c:v>9</c:v>
                </c:pt>
                <c:pt idx="50">
                  <c:v>10</c:v>
                </c:pt>
                <c:pt idx="51" formatCode="0.00_);[Red]\(0.00\)">
                  <c:v>10</c:v>
                </c:pt>
                <c:pt idx="52" formatCode="0.00_);[Red]\(0.00\)">
                  <c:v>10</c:v>
                </c:pt>
                <c:pt idx="53">
                  <c:v>11</c:v>
                </c:pt>
                <c:pt idx="54" formatCode="0.00_);[Red]\(0.00\)">
                  <c:v>9</c:v>
                </c:pt>
                <c:pt idx="55">
                  <c:v>10</c:v>
                </c:pt>
                <c:pt idx="56" formatCode="0.00_);[Red]\(0.00\)">
                  <c:v>10.5</c:v>
                </c:pt>
                <c:pt idx="57" formatCode="0.00_);[Red]\(0.00\)">
                  <c:v>11</c:v>
                </c:pt>
                <c:pt idx="58">
                  <c:v>12</c:v>
                </c:pt>
                <c:pt idx="59">
                  <c:v>13</c:v>
                </c:pt>
                <c:pt idx="60">
                  <c:v>12</c:v>
                </c:pt>
                <c:pt idx="61" formatCode="0.00_);[Red]\(0.00\)">
                  <c:v>11</c:v>
                </c:pt>
                <c:pt idx="62" formatCode="0.00_);[Red]\(0.00\)">
                  <c:v>11</c:v>
                </c:pt>
                <c:pt idx="63" formatCode="0.00_);[Red]\(0.00\)">
                  <c:v>12</c:v>
                </c:pt>
                <c:pt idx="64">
                  <c:v>9</c:v>
                </c:pt>
                <c:pt idx="65" formatCode="0.00_);[Red]\(0.00\)">
                  <c:v>11</c:v>
                </c:pt>
                <c:pt idx="66" formatCode="0.00_);[Red]\(0.00\)">
                  <c:v>12</c:v>
                </c:pt>
                <c:pt idx="67" formatCode="0.00_);[Red]\(0.00\)">
                  <c:v>12</c:v>
                </c:pt>
                <c:pt idx="68">
                  <c:v>10</c:v>
                </c:pt>
                <c:pt idx="69" formatCode="0.00_);[Red]\(0.00\)">
                  <c:v>11.5</c:v>
                </c:pt>
                <c:pt idx="70" formatCode="0.00_);[Red]\(0.00\)">
                  <c:v>10</c:v>
                </c:pt>
                <c:pt idx="71">
                  <c:v>9</c:v>
                </c:pt>
                <c:pt idx="72" formatCode="0.00_);[Red]\(0.00\)">
                  <c:v>11</c:v>
                </c:pt>
                <c:pt idx="73">
                  <c:v>10.5</c:v>
                </c:pt>
                <c:pt idx="74" formatCode="0.00_);[Red]\(0.00\)">
                  <c:v>11.5</c:v>
                </c:pt>
                <c:pt idx="75">
                  <c:v>12</c:v>
                </c:pt>
                <c:pt idx="76">
                  <c:v>9.5</c:v>
                </c:pt>
                <c:pt idx="77">
                  <c:v>19</c:v>
                </c:pt>
                <c:pt idx="78" formatCode="0.00_);[Red]\(0.00\)">
                  <c:v>10</c:v>
                </c:pt>
                <c:pt idx="79">
                  <c:v>10</c:v>
                </c:pt>
                <c:pt idx="80" formatCode="0.00_);[Red]\(0.00\)">
                  <c:v>12</c:v>
                </c:pt>
                <c:pt idx="81">
                  <c:v>9.5</c:v>
                </c:pt>
                <c:pt idx="82">
                  <c:v>12</c:v>
                </c:pt>
                <c:pt idx="83">
                  <c:v>9</c:v>
                </c:pt>
                <c:pt idx="84">
                  <c:v>10</c:v>
                </c:pt>
                <c:pt idx="85" formatCode="0.00_);[Red]\(0.00\)">
                  <c:v>11</c:v>
                </c:pt>
                <c:pt idx="86">
                  <c:v>11</c:v>
                </c:pt>
                <c:pt idx="87" formatCode="0.00_);[Red]\(0.00\)">
                  <c:v>10</c:v>
                </c:pt>
                <c:pt idx="88">
                  <c:v>11</c:v>
                </c:pt>
                <c:pt idx="89">
                  <c:v>11</c:v>
                </c:pt>
                <c:pt idx="90">
                  <c:v>12</c:v>
                </c:pt>
                <c:pt idx="91">
                  <c:v>10</c:v>
                </c:pt>
                <c:pt idx="92">
                  <c:v>12</c:v>
                </c:pt>
                <c:pt idx="93" formatCode="0.00_);[Red]\(0.00\)">
                  <c:v>10</c:v>
                </c:pt>
                <c:pt idx="94">
                  <c:v>10</c:v>
                </c:pt>
                <c:pt idx="95">
                  <c:v>10</c:v>
                </c:pt>
                <c:pt idx="96" formatCode="0.00_);[Red]\(0.00\)">
                  <c:v>11</c:v>
                </c:pt>
                <c:pt idx="97">
                  <c:v>12</c:v>
                </c:pt>
                <c:pt idx="98">
                  <c:v>9.5</c:v>
                </c:pt>
                <c:pt idx="99">
                  <c:v>10</c:v>
                </c:pt>
                <c:pt idx="100" formatCode="0.00_);[Red]\(0.00\)">
                  <c:v>10</c:v>
                </c:pt>
                <c:pt idx="101">
                  <c:v>12</c:v>
                </c:pt>
                <c:pt idx="102">
                  <c:v>10</c:v>
                </c:pt>
                <c:pt idx="103">
                  <c:v>12</c:v>
                </c:pt>
                <c:pt idx="104" formatCode="0.00_);[Red]\(0.00\)">
                  <c:v>10</c:v>
                </c:pt>
                <c:pt idx="105" formatCode="0.00_);[Red]\(0.00\)">
                  <c:v>10</c:v>
                </c:pt>
                <c:pt idx="106" formatCode="0.00_);[Red]\(0.00\)">
                  <c:v>9</c:v>
                </c:pt>
                <c:pt idx="107" formatCode="0.00_);[Red]\(0.00\)">
                  <c:v>12</c:v>
                </c:pt>
                <c:pt idx="108">
                  <c:v>11</c:v>
                </c:pt>
                <c:pt idx="109">
                  <c:v>10</c:v>
                </c:pt>
                <c:pt idx="110" formatCode="0.00_);[Red]\(0.00\)">
                  <c:v>12</c:v>
                </c:pt>
                <c:pt idx="111" formatCode="0.00_);[Red]\(0.00\)">
                  <c:v>12</c:v>
                </c:pt>
                <c:pt idx="112">
                  <c:v>12</c:v>
                </c:pt>
                <c:pt idx="113" formatCode="0.00_);[Red]\(0.00\)">
                  <c:v>10</c:v>
                </c:pt>
                <c:pt idx="114">
                  <c:v>8</c:v>
                </c:pt>
                <c:pt idx="115">
                  <c:v>12</c:v>
                </c:pt>
                <c:pt idx="116">
                  <c:v>12</c:v>
                </c:pt>
                <c:pt idx="117">
                  <c:v>11</c:v>
                </c:pt>
                <c:pt idx="118">
                  <c:v>10</c:v>
                </c:pt>
                <c:pt idx="119" formatCode="0.00_);[Red]\(0.00\)">
                  <c:v>10.7898550724638</c:v>
                </c:pt>
                <c:pt idx="120" formatCode="0.00_);[Red]\(0.00\)">
                  <c:v>10.7898550724638</c:v>
                </c:pt>
                <c:pt idx="121" formatCode="0.00_);[Red]\(0.00\)">
                  <c:v>10</c:v>
                </c:pt>
                <c:pt idx="122" formatCode="0.00_);[Red]\(0.00\)">
                  <c:v>10</c:v>
                </c:pt>
                <c:pt idx="123">
                  <c:v>10</c:v>
                </c:pt>
                <c:pt idx="124">
                  <c:v>10.5</c:v>
                </c:pt>
                <c:pt idx="125">
                  <c:v>10</c:v>
                </c:pt>
                <c:pt idx="126">
                  <c:v>10</c:v>
                </c:pt>
                <c:pt idx="127">
                  <c:v>11</c:v>
                </c:pt>
                <c:pt idx="128" formatCode="0.00_);[Red]\(0.00\)">
                  <c:v>11</c:v>
                </c:pt>
                <c:pt idx="129">
                  <c:v>13</c:v>
                </c:pt>
                <c:pt idx="130">
                  <c:v>11</c:v>
                </c:pt>
                <c:pt idx="131">
                  <c:v>9.5</c:v>
                </c:pt>
                <c:pt idx="132">
                  <c:v>11</c:v>
                </c:pt>
                <c:pt idx="133">
                  <c:v>12</c:v>
                </c:pt>
                <c:pt idx="134" formatCode="0.00_);[Red]\(0.00\)">
                  <c:v>12</c:v>
                </c:pt>
                <c:pt idx="135">
                  <c:v>11</c:v>
                </c:pt>
                <c:pt idx="136">
                  <c:v>12</c:v>
                </c:pt>
                <c:pt idx="137" formatCode="0.00_);[Red]\(0.00\)">
                  <c:v>11</c:v>
                </c:pt>
                <c:pt idx="138">
                  <c:v>11</c:v>
                </c:pt>
                <c:pt idx="139" formatCode="0.00_);[Red]\(0.00\)">
                  <c:v>11</c:v>
                </c:pt>
                <c:pt idx="140">
                  <c:v>11</c:v>
                </c:pt>
                <c:pt idx="141">
                  <c:v>10</c:v>
                </c:pt>
                <c:pt idx="142">
                  <c:v>12</c:v>
                </c:pt>
                <c:pt idx="143">
                  <c:v>12</c:v>
                </c:pt>
                <c:pt idx="144">
                  <c:v>10</c:v>
                </c:pt>
                <c:pt idx="145">
                  <c:v>13</c:v>
                </c:pt>
                <c:pt idx="146" formatCode="0.00_);[Red]\(0.00\)">
                  <c:v>11</c:v>
                </c:pt>
                <c:pt idx="147">
                  <c:v>10</c:v>
                </c:pt>
                <c:pt idx="148">
                  <c:v>11</c:v>
                </c:pt>
                <c:pt idx="149" formatCode="0.00_);[Red]\(0.00\)">
                  <c:v>10</c:v>
                </c:pt>
                <c:pt idx="150" formatCode="0.00_);[Red]\(0.00\)">
                  <c:v>12</c:v>
                </c:pt>
                <c:pt idx="151">
                  <c:v>11</c:v>
                </c:pt>
                <c:pt idx="152">
                  <c:v>11</c:v>
                </c:pt>
                <c:pt idx="153">
                  <c:v>13</c:v>
                </c:pt>
                <c:pt idx="154" formatCode="0.00_);[Red]\(0.00\)">
                  <c:v>11</c:v>
                </c:pt>
                <c:pt idx="155">
                  <c:v>11</c:v>
                </c:pt>
                <c:pt idx="156">
                  <c:v>12</c:v>
                </c:pt>
                <c:pt idx="157">
                  <c:v>12</c:v>
                </c:pt>
                <c:pt idx="158">
                  <c:v>19</c:v>
                </c:pt>
                <c:pt idx="159">
                  <c:v>11</c:v>
                </c:pt>
                <c:pt idx="160" formatCode="0.00_);[Red]\(0.00\)">
                  <c:v>11</c:v>
                </c:pt>
                <c:pt idx="161">
                  <c:v>11.5</c:v>
                </c:pt>
                <c:pt idx="162" formatCode="0.00_);[Red]\(0.00\)">
                  <c:v>12</c:v>
                </c:pt>
                <c:pt idx="163">
                  <c:v>13</c:v>
                </c:pt>
                <c:pt idx="164" formatCode="0.00_);[Red]\(0.00\)">
                  <c:v>10</c:v>
                </c:pt>
                <c:pt idx="165">
                  <c:v>10</c:v>
                </c:pt>
                <c:pt idx="166">
                  <c:v>10</c:v>
                </c:pt>
                <c:pt idx="167">
                  <c:v>10</c:v>
                </c:pt>
                <c:pt idx="168" formatCode="0.00_);[Red]\(0.00\)">
                  <c:v>11</c:v>
                </c:pt>
                <c:pt idx="169" formatCode="0.00_);[Red]\(0.00\)">
                  <c:v>12</c:v>
                </c:pt>
                <c:pt idx="170">
                  <c:v>9</c:v>
                </c:pt>
                <c:pt idx="171">
                  <c:v>11</c:v>
                </c:pt>
                <c:pt idx="172">
                  <c:v>9</c:v>
                </c:pt>
                <c:pt idx="173">
                  <c:v>11</c:v>
                </c:pt>
                <c:pt idx="174">
                  <c:v>14</c:v>
                </c:pt>
                <c:pt idx="175">
                  <c:v>10</c:v>
                </c:pt>
                <c:pt idx="176" formatCode="0.00_);[Red]\(0.00\)">
                  <c:v>9</c:v>
                </c:pt>
                <c:pt idx="177">
                  <c:v>10</c:v>
                </c:pt>
                <c:pt idx="178">
                  <c:v>13</c:v>
                </c:pt>
                <c:pt idx="179">
                  <c:v>14</c:v>
                </c:pt>
                <c:pt idx="180">
                  <c:v>12</c:v>
                </c:pt>
                <c:pt idx="181" formatCode="0.00_);[Red]\(0.00\)">
                  <c:v>11</c:v>
                </c:pt>
                <c:pt idx="182" formatCode="0.00_);[Red]\(0.00\)">
                  <c:v>10</c:v>
                </c:pt>
                <c:pt idx="183">
                  <c:v>11</c:v>
                </c:pt>
                <c:pt idx="184">
                  <c:v>12</c:v>
                </c:pt>
                <c:pt idx="185" formatCode="0.00_);[Red]\(0.00\)">
                  <c:v>10</c:v>
                </c:pt>
                <c:pt idx="186">
                  <c:v>10</c:v>
                </c:pt>
                <c:pt idx="187" formatCode="0.00_);[Red]\(0.00\)">
                  <c:v>11</c:v>
                </c:pt>
                <c:pt idx="188" formatCode="0.00_);[Red]\(0.00\)">
                  <c:v>12</c:v>
                </c:pt>
                <c:pt idx="189">
                  <c:v>10</c:v>
                </c:pt>
                <c:pt idx="190">
                  <c:v>11</c:v>
                </c:pt>
                <c:pt idx="191">
                  <c:v>13</c:v>
                </c:pt>
                <c:pt idx="192">
                  <c:v>11</c:v>
                </c:pt>
                <c:pt idx="193">
                  <c:v>10</c:v>
                </c:pt>
                <c:pt idx="194">
                  <c:v>12</c:v>
                </c:pt>
                <c:pt idx="195">
                  <c:v>12</c:v>
                </c:pt>
                <c:pt idx="196" formatCode="0.00_);[Red]\(0.00\)">
                  <c:v>11.5</c:v>
                </c:pt>
                <c:pt idx="197">
                  <c:v>12</c:v>
                </c:pt>
                <c:pt idx="198">
                  <c:v>10.5</c:v>
                </c:pt>
                <c:pt idx="199">
                  <c:v>13</c:v>
                </c:pt>
                <c:pt idx="200">
                  <c:v>12</c:v>
                </c:pt>
                <c:pt idx="201">
                  <c:v>11</c:v>
                </c:pt>
                <c:pt idx="202">
                  <c:v>11</c:v>
                </c:pt>
                <c:pt idx="203">
                  <c:v>12</c:v>
                </c:pt>
                <c:pt idx="204">
                  <c:v>10.5</c:v>
                </c:pt>
                <c:pt idx="205">
                  <c:v>10</c:v>
                </c:pt>
                <c:pt idx="206">
                  <c:v>14</c:v>
                </c:pt>
                <c:pt idx="207">
                  <c:v>12</c:v>
                </c:pt>
                <c:pt idx="208">
                  <c:v>14</c:v>
                </c:pt>
                <c:pt idx="209">
                  <c:v>12</c:v>
                </c:pt>
              </c:numCache>
            </c:numRef>
          </c:yVal>
          <c:smooth val="0"/>
        </c:ser>
        <c:dLbls>
          <c:showLegendKey val="0"/>
          <c:showVal val="0"/>
          <c:showCatName val="0"/>
          <c:showSerName val="0"/>
          <c:showPercent val="0"/>
          <c:showBubbleSize val="0"/>
        </c:dLbls>
        <c:axId val="264017408"/>
        <c:axId val="264019328"/>
      </c:scatterChart>
      <c:valAx>
        <c:axId val="264017408"/>
        <c:scaling>
          <c:orientation val="minMax"/>
        </c:scaling>
        <c:delete val="0"/>
        <c:axPos val="b"/>
        <c:title>
          <c:tx>
            <c:rich>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r>
                  <a:rPr lang="zh-CN"/>
                  <a:t>株号</a:t>
                </a:r>
              </a:p>
            </c:rich>
          </c:tx>
          <c:overlay val="0"/>
        </c:title>
        <c:numFmt formatCode="General" sourceLinked="1"/>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264019328"/>
        <c:crosses val="autoZero"/>
        <c:crossBetween val="midCat"/>
      </c:valAx>
      <c:valAx>
        <c:axId val="264019328"/>
        <c:scaling>
          <c:orientation val="minMax"/>
          <c:max val="20"/>
        </c:scaling>
        <c:delete val="0"/>
        <c:axPos val="l"/>
        <c:majorGridlines/>
        <c:title>
          <c:tx>
            <c:rich>
              <a:bodyPr rot="-54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r>
                  <a:rPr lang="zh-CN"/>
                  <a:t>接穗长度（</a:t>
                </a:r>
                <a:r>
                  <a:rPr lang="en-US"/>
                  <a:t>cm</a:t>
                </a:r>
                <a:r>
                  <a:rPr lang="zh-CN"/>
                  <a:t>）</a:t>
                </a:r>
              </a:p>
            </c:rich>
          </c:tx>
          <c:overlay val="0"/>
        </c:title>
        <c:numFmt formatCode="0.00_ " sourceLinked="1"/>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264017408"/>
        <c:crosses val="autoZero"/>
        <c:crossBetween val="midCat"/>
        <c:majorUnit val="5"/>
      </c:valAx>
    </c:plotArea>
    <c:plotVisOnly val="1"/>
    <c:dispBlanksAs val="gap"/>
    <c:showDLblsOverMax val="0"/>
  </c:chart>
  <c:spPr>
    <a:ln w="6350" cap="flat" cmpd="sng" algn="ctr">
      <a:noFill/>
      <a:prstDash val="solid"/>
      <a:round/>
    </a:ln>
  </c:spPr>
  <c:txPr>
    <a:bodyPr/>
    <a:lstStyle/>
    <a:p>
      <a:pPr>
        <a:defRPr lang="zh-CN" sz="800" b="0"/>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1D1EBB6-655D-4401-B708-594548DA5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20</Pages>
  <Words>1812</Words>
  <Characters>10335</Characters>
  <Application>Microsoft Office Word</Application>
  <DocSecurity>0</DocSecurity>
  <Lines>86</Lines>
  <Paragraphs>24</Paragraphs>
  <ScaleCrop>false</ScaleCrop>
  <Company>Microsoft</Company>
  <LinksUpToDate>false</LinksUpToDate>
  <CharactersWithSpaces>12123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Qinfei Wang</dc:creator>
  <cp:lastModifiedBy>China</cp:lastModifiedBy>
  <cp:revision>7</cp:revision>
  <dcterms:created xsi:type="dcterms:W3CDTF">2024-06-08T01:38:00Z</dcterms:created>
  <dcterms:modified xsi:type="dcterms:W3CDTF">2024-06-11T04:09:00Z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0A8E826F392045038C48545C1F174E5E_12</vt:lpwstr>
  </property>
</Properties>
</file>