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highlight w:val="none"/>
        </w:rPr>
      </w:pPr>
    </w:p>
    <w:p>
      <w:pPr>
        <w:rPr>
          <w:highlight w:val="none"/>
        </w:rPr>
      </w:pPr>
    </w:p>
    <w:p>
      <w:pPr>
        <w:tabs>
          <w:tab w:val="left" w:pos="420"/>
          <w:tab w:val="left" w:pos="6660"/>
        </w:tabs>
        <w:adjustRightInd w:val="0"/>
        <w:snapToGrid w:val="0"/>
        <w:spacing w:before="72" w:after="72" w:line="1200" w:lineRule="exact"/>
        <w:jc w:val="center"/>
        <w:rPr>
          <w:rFonts w:ascii="黑体" w:eastAsia="黑体"/>
          <w:b/>
          <w:bCs/>
          <w:sz w:val="72"/>
          <w:szCs w:val="72"/>
          <w:highlight w:val="none"/>
        </w:rPr>
      </w:pPr>
      <w:r>
        <w:rPr>
          <w:rFonts w:hint="eastAsia" w:ascii="黑体" w:eastAsia="黑体"/>
          <w:b/>
          <w:bCs/>
          <w:sz w:val="64"/>
          <w:szCs w:val="64"/>
          <w:highlight w:val="none"/>
        </w:rPr>
        <w:t>农业农村部木薯种质资源保护与利用重点实验室建设项目</w:t>
      </w:r>
    </w:p>
    <w:p>
      <w:pPr>
        <w:tabs>
          <w:tab w:val="left" w:pos="420"/>
          <w:tab w:val="left" w:pos="6660"/>
        </w:tabs>
        <w:adjustRightInd w:val="0"/>
        <w:snapToGrid w:val="0"/>
        <w:spacing w:before="72" w:after="72" w:line="1200" w:lineRule="atLeast"/>
        <w:rPr>
          <w:rFonts w:ascii="黑体" w:eastAsia="黑体"/>
          <w:b/>
          <w:sz w:val="32"/>
          <w:szCs w:val="32"/>
          <w:highlight w:val="none"/>
        </w:rPr>
      </w:pPr>
    </w:p>
    <w:p>
      <w:pPr>
        <w:rPr>
          <w:highlight w:val="none"/>
        </w:rPr>
      </w:pPr>
    </w:p>
    <w:p>
      <w:pPr>
        <w:tabs>
          <w:tab w:val="left" w:pos="420"/>
          <w:tab w:val="left" w:pos="6660"/>
        </w:tabs>
        <w:spacing w:before="72" w:after="72" w:line="1200" w:lineRule="atLeast"/>
        <w:jc w:val="center"/>
        <w:rPr>
          <w:rFonts w:ascii="黑体" w:eastAsia="黑体"/>
          <w:b/>
          <w:sz w:val="90"/>
          <w:szCs w:val="90"/>
          <w:highlight w:val="none"/>
        </w:rPr>
      </w:pPr>
    </w:p>
    <w:p>
      <w:pPr>
        <w:tabs>
          <w:tab w:val="left" w:pos="420"/>
          <w:tab w:val="left" w:pos="6660"/>
        </w:tabs>
        <w:spacing w:before="72" w:after="72" w:line="1200" w:lineRule="atLeast"/>
        <w:jc w:val="center"/>
        <w:rPr>
          <w:rFonts w:ascii="黑体" w:eastAsia="黑体"/>
          <w:b/>
          <w:sz w:val="90"/>
          <w:szCs w:val="90"/>
          <w:highlight w:val="none"/>
        </w:rPr>
      </w:pPr>
      <w:r>
        <w:rPr>
          <w:rFonts w:hint="eastAsia" w:ascii="黑体" w:eastAsia="黑体"/>
          <w:b/>
          <w:sz w:val="90"/>
          <w:szCs w:val="90"/>
          <w:highlight w:val="none"/>
        </w:rPr>
        <w:t>招标文件</w:t>
      </w:r>
    </w:p>
    <w:p>
      <w:pPr>
        <w:pStyle w:val="14"/>
        <w:spacing w:line="360" w:lineRule="auto"/>
        <w:ind w:left="0" w:leftChars="0"/>
        <w:jc w:val="center"/>
        <w:rPr>
          <w:rFonts w:ascii="黑体" w:hAnsi="黑体" w:eastAsia="黑体" w:cs="黑体"/>
          <w:sz w:val="40"/>
          <w:szCs w:val="40"/>
          <w:highlight w:val="none"/>
        </w:rPr>
      </w:pPr>
      <w:r>
        <w:rPr>
          <w:rFonts w:hint="eastAsia" w:ascii="黑体" w:hAnsi="黑体" w:eastAsia="黑体" w:cs="黑体"/>
          <w:sz w:val="40"/>
          <w:szCs w:val="40"/>
          <w:highlight w:val="none"/>
        </w:rPr>
        <w:t>(项目编号：1210-2441YDZB7762)</w:t>
      </w:r>
    </w:p>
    <w:p>
      <w:pPr>
        <w:rPr>
          <w:rFonts w:ascii="黑体" w:hAnsi="黑体" w:eastAsia="黑体" w:cs="黑体"/>
          <w:sz w:val="36"/>
          <w:szCs w:val="36"/>
          <w:highlight w:val="none"/>
        </w:rPr>
      </w:pPr>
    </w:p>
    <w:p>
      <w:pPr>
        <w:rPr>
          <w:highlight w:val="none"/>
        </w:rPr>
      </w:pPr>
    </w:p>
    <w:p>
      <w:pPr>
        <w:rPr>
          <w:rFonts w:ascii="黑体" w:hAnsi="黑体" w:eastAsia="黑体" w:cs="黑体"/>
          <w:sz w:val="36"/>
          <w:szCs w:val="36"/>
          <w:highlight w:val="none"/>
        </w:rPr>
      </w:pPr>
    </w:p>
    <w:p>
      <w:pPr>
        <w:rPr>
          <w:rFonts w:hAnsi="宋体"/>
          <w:bCs/>
          <w:sz w:val="32"/>
          <w:szCs w:val="32"/>
          <w:highlight w:val="none"/>
        </w:rPr>
      </w:pPr>
    </w:p>
    <w:p>
      <w:pPr>
        <w:spacing w:before="72" w:after="72" w:line="360" w:lineRule="auto"/>
        <w:jc w:val="center"/>
        <w:rPr>
          <w:rFonts w:ascii="黑体" w:hAnsi="宋体" w:eastAsia="黑体"/>
          <w:sz w:val="48"/>
          <w:szCs w:val="48"/>
          <w:highlight w:val="none"/>
        </w:rPr>
      </w:pPr>
    </w:p>
    <w:p>
      <w:pPr>
        <w:spacing w:before="72" w:after="72" w:line="360" w:lineRule="auto"/>
        <w:jc w:val="center"/>
        <w:rPr>
          <w:rFonts w:ascii="黑体" w:hAnsi="宋体" w:eastAsia="黑体"/>
          <w:sz w:val="48"/>
          <w:szCs w:val="48"/>
          <w:highlight w:val="none"/>
        </w:rPr>
      </w:pPr>
      <w:r>
        <w:rPr>
          <w:rFonts w:hint="eastAsia" w:ascii="黑体" w:hAnsi="宋体" w:eastAsia="黑体"/>
          <w:sz w:val="48"/>
          <w:szCs w:val="48"/>
          <w:highlight w:val="none"/>
        </w:rPr>
        <w:t>广东有德招标采购有限公司</w:t>
      </w:r>
    </w:p>
    <w:p>
      <w:pPr>
        <w:spacing w:before="72" w:after="72" w:line="360" w:lineRule="auto"/>
        <w:jc w:val="center"/>
        <w:rPr>
          <w:rFonts w:eastAsia="仿宋_GB2312"/>
          <w:b/>
          <w:bCs/>
          <w:sz w:val="32"/>
          <w:szCs w:val="32"/>
          <w:highlight w:val="none"/>
        </w:rPr>
        <w:sectPr>
          <w:headerReference r:id="rId3" w:type="default"/>
          <w:pgSz w:w="11905" w:h="16838"/>
          <w:pgMar w:top="1803" w:right="1440" w:bottom="1803" w:left="1440" w:header="850" w:footer="822" w:gutter="0"/>
          <w:cols w:space="0" w:num="1"/>
          <w:docGrid w:linePitch="312" w:charSpace="0"/>
        </w:sectPr>
      </w:pPr>
      <w:r>
        <w:rPr>
          <w:rFonts w:hint="eastAsia" w:ascii="黑体" w:hAnsi="宋体" w:eastAsia="黑体"/>
          <w:sz w:val="48"/>
          <w:szCs w:val="48"/>
          <w:highlight w:val="none"/>
        </w:rPr>
        <w:t>二〇二四年</w:t>
      </w:r>
      <w:r>
        <w:rPr>
          <w:rFonts w:hint="eastAsia" w:ascii="黑体" w:hAnsi="宋体" w:eastAsia="黑体"/>
          <w:sz w:val="48"/>
          <w:szCs w:val="48"/>
          <w:highlight w:val="none"/>
        </w:rPr>
        <w:t>十</w:t>
      </w:r>
      <w:r>
        <w:rPr>
          <w:rFonts w:hint="eastAsia" w:ascii="黑体" w:hAnsi="宋体" w:eastAsia="黑体"/>
          <w:sz w:val="48"/>
          <w:szCs w:val="48"/>
          <w:highlight w:val="none"/>
          <w:lang w:val="en-US" w:eastAsia="zh-CN"/>
        </w:rPr>
        <w:t>一</w:t>
      </w:r>
      <w:r>
        <w:rPr>
          <w:rFonts w:hint="eastAsia" w:ascii="黑体" w:hAnsi="宋体" w:eastAsia="黑体"/>
          <w:sz w:val="48"/>
          <w:szCs w:val="48"/>
          <w:highlight w:val="none"/>
        </w:rPr>
        <w:t>月</w:t>
      </w:r>
      <w:r>
        <w:rPr>
          <w:rFonts w:hint="eastAsia" w:eastAsia="仿宋_GB2312"/>
          <w:sz w:val="48"/>
          <w:szCs w:val="48"/>
          <w:highlight w:val="none"/>
        </w:rPr>
        <w:t xml:space="preserve">  </w:t>
      </w:r>
      <w:r>
        <w:rPr>
          <w:rFonts w:hint="eastAsia" w:eastAsia="仿宋_GB2312"/>
          <w:b/>
          <w:bCs/>
          <w:sz w:val="32"/>
          <w:szCs w:val="32"/>
          <w:highlight w:val="none"/>
        </w:rPr>
        <w:t xml:space="preserve">   </w:t>
      </w:r>
      <w:r>
        <w:rPr>
          <w:rFonts w:hint="eastAsia" w:ascii="黑体" w:eastAsia="黑体"/>
          <w:b/>
          <w:bCs/>
          <w:sz w:val="44"/>
          <w:szCs w:val="44"/>
          <w:highlight w:val="none"/>
        </w:rPr>
        <w:t xml:space="preserve"> </w:t>
      </w:r>
      <w:r>
        <w:rPr>
          <w:rFonts w:hint="eastAsia" w:ascii="黑体" w:eastAsia="黑体"/>
          <w:b/>
          <w:bCs/>
          <w:sz w:val="48"/>
          <w:szCs w:val="48"/>
          <w:highlight w:val="none"/>
        </w:rPr>
        <w:t xml:space="preserve"> </w:t>
      </w:r>
      <w:r>
        <w:rPr>
          <w:rFonts w:hint="eastAsia" w:eastAsia="仿宋_GB2312"/>
          <w:b/>
          <w:bCs/>
          <w:sz w:val="32"/>
          <w:szCs w:val="32"/>
          <w:highlight w:val="none"/>
        </w:rPr>
        <w:t xml:space="preserve">         </w:t>
      </w:r>
      <w:r>
        <w:rPr>
          <w:rFonts w:hint="eastAsia" w:eastAsia="仿宋_GB2312"/>
          <w:sz w:val="48"/>
          <w:szCs w:val="48"/>
          <w:highlight w:val="none"/>
        </w:rPr>
        <w:t xml:space="preserve">  </w:t>
      </w:r>
      <w:r>
        <w:rPr>
          <w:rFonts w:hint="eastAsia" w:eastAsia="仿宋_GB2312"/>
          <w:b/>
          <w:bCs/>
          <w:sz w:val="32"/>
          <w:szCs w:val="32"/>
          <w:highlight w:val="none"/>
        </w:rPr>
        <w:t xml:space="preserve">   </w:t>
      </w:r>
      <w:r>
        <w:rPr>
          <w:rFonts w:hint="eastAsia" w:ascii="黑体" w:eastAsia="黑体"/>
          <w:b/>
          <w:bCs/>
          <w:sz w:val="44"/>
          <w:szCs w:val="44"/>
          <w:highlight w:val="none"/>
        </w:rPr>
        <w:t xml:space="preserve"> </w:t>
      </w:r>
      <w:r>
        <w:rPr>
          <w:rFonts w:hint="eastAsia" w:ascii="黑体" w:eastAsia="黑体"/>
          <w:b/>
          <w:bCs/>
          <w:sz w:val="48"/>
          <w:szCs w:val="48"/>
          <w:highlight w:val="none"/>
        </w:rPr>
        <w:t xml:space="preserve"> </w:t>
      </w:r>
      <w:r>
        <w:rPr>
          <w:rFonts w:hint="eastAsia" w:eastAsia="仿宋_GB2312"/>
          <w:b/>
          <w:bCs/>
          <w:sz w:val="32"/>
          <w:szCs w:val="32"/>
          <w:highlight w:val="none"/>
        </w:rPr>
        <w:t xml:space="preserve">                                                                          </w:t>
      </w:r>
    </w:p>
    <w:p>
      <w:pPr>
        <w:pStyle w:val="2"/>
        <w:adjustRightInd w:val="0"/>
        <w:snapToGrid w:val="0"/>
        <w:spacing w:before="0" w:after="0" w:line="360" w:lineRule="auto"/>
        <w:jc w:val="center"/>
        <w:rPr>
          <w:b/>
          <w:bCs/>
          <w:highlight w:val="none"/>
        </w:rPr>
      </w:pPr>
      <w:bookmarkStart w:id="0" w:name="_Toc29263"/>
      <w:bookmarkStart w:id="1" w:name="_Toc339984226"/>
      <w:bookmarkStart w:id="2" w:name="_Toc12349"/>
      <w:bookmarkStart w:id="3" w:name="_Toc18982"/>
      <w:bookmarkStart w:id="4" w:name="_Toc25172"/>
      <w:bookmarkStart w:id="5" w:name="_Toc15102"/>
      <w:bookmarkStart w:id="6" w:name="_Toc13782"/>
      <w:bookmarkStart w:id="7" w:name="_Toc26943"/>
      <w:bookmarkStart w:id="8" w:name="_Toc145447304"/>
      <w:bookmarkStart w:id="9" w:name="_Toc32110"/>
      <w:bookmarkStart w:id="10" w:name="_Toc31776"/>
      <w:bookmarkStart w:id="11" w:name="_Toc12649"/>
      <w:bookmarkStart w:id="12" w:name="_Toc25288"/>
      <w:bookmarkStart w:id="13" w:name="_Toc16002"/>
      <w:bookmarkStart w:id="14" w:name="_Toc29071"/>
      <w:bookmarkStart w:id="15" w:name="_Toc18639"/>
      <w:bookmarkStart w:id="16" w:name="_Toc1867"/>
      <w:bookmarkStart w:id="17" w:name="_Toc11920"/>
      <w:bookmarkStart w:id="18" w:name="_Toc26125"/>
      <w:bookmarkStart w:id="19" w:name="_Toc16055"/>
      <w:bookmarkStart w:id="20" w:name="_Toc54690162"/>
      <w:bookmarkStart w:id="21" w:name="_Toc14233"/>
      <w:bookmarkStart w:id="22" w:name="_Toc28950"/>
      <w:bookmarkStart w:id="23" w:name="_Toc372468299"/>
      <w:bookmarkStart w:id="24" w:name="_Toc182886646"/>
      <w:bookmarkStart w:id="25" w:name="_Toc50691018"/>
      <w:bookmarkStart w:id="26" w:name="_Toc50736465"/>
      <w:bookmarkStart w:id="27" w:name="_Toc168288363"/>
      <w:bookmarkStart w:id="28" w:name="_Toc50737317"/>
      <w:bookmarkStart w:id="29" w:name="_Toc50737285"/>
      <w:bookmarkStart w:id="30" w:name="_Toc183316708"/>
      <w:bookmarkStart w:id="31" w:name="_Toc423021938"/>
      <w:r>
        <w:rPr>
          <w:rFonts w:hint="eastAsia"/>
          <w:b/>
          <w:bCs/>
          <w:highlight w:val="none"/>
        </w:rPr>
        <w:t>温馨提示</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pPr>
        <w:numPr>
          <w:ilvl w:val="0"/>
          <w:numId w:val="1"/>
        </w:numPr>
        <w:spacing w:line="360" w:lineRule="auto"/>
        <w:rPr>
          <w:sz w:val="24"/>
          <w:highlight w:val="none"/>
        </w:rPr>
      </w:pPr>
      <w:r>
        <w:rPr>
          <w:rFonts w:hint="eastAsia"/>
          <w:sz w:val="24"/>
          <w:highlight w:val="none"/>
        </w:rPr>
        <w:t>请投标人特别留意招标文件上注明的投标截止和开标时间，逾期送达的投标文件本公司恕不接收。</w:t>
      </w:r>
    </w:p>
    <w:p>
      <w:pPr>
        <w:numPr>
          <w:ilvl w:val="0"/>
          <w:numId w:val="1"/>
        </w:numPr>
        <w:spacing w:line="360" w:lineRule="auto"/>
        <w:rPr>
          <w:b/>
          <w:bCs/>
          <w:sz w:val="24"/>
          <w:highlight w:val="none"/>
        </w:rPr>
      </w:pPr>
      <w:r>
        <w:rPr>
          <w:rFonts w:hint="eastAsia"/>
          <w:b/>
          <w:bCs/>
          <w:sz w:val="24"/>
          <w:highlight w:val="none"/>
          <w:u w:val="double"/>
        </w:rPr>
        <w:t>领购招标文件或缴交中标服务费</w:t>
      </w:r>
      <w:r>
        <w:rPr>
          <w:rFonts w:hint="eastAsia"/>
          <w:b/>
          <w:bCs/>
          <w:sz w:val="24"/>
          <w:highlight w:val="none"/>
        </w:rPr>
        <w:t>的账户：</w:t>
      </w:r>
    </w:p>
    <w:p>
      <w:pPr>
        <w:spacing w:line="360" w:lineRule="auto"/>
        <w:ind w:firstLine="420" w:firstLineChars="175"/>
        <w:rPr>
          <w:sz w:val="24"/>
          <w:highlight w:val="none"/>
        </w:rPr>
      </w:pPr>
      <w:r>
        <w:rPr>
          <w:rFonts w:hint="eastAsia"/>
          <w:sz w:val="24"/>
          <w:highlight w:val="none"/>
        </w:rPr>
        <w:t>账号：38610188000123567，开户银行：中国光大银行广州分行，收款人：广东有德招标采购有限公司</w:t>
      </w:r>
    </w:p>
    <w:p>
      <w:pPr>
        <w:numPr>
          <w:ilvl w:val="0"/>
          <w:numId w:val="1"/>
        </w:numPr>
        <w:spacing w:line="360" w:lineRule="auto"/>
        <w:rPr>
          <w:b/>
          <w:bCs/>
          <w:sz w:val="24"/>
          <w:highlight w:val="none"/>
        </w:rPr>
      </w:pPr>
      <w:r>
        <w:rPr>
          <w:rFonts w:hint="eastAsia"/>
          <w:b/>
          <w:bCs/>
          <w:sz w:val="24"/>
          <w:highlight w:val="none"/>
          <w:u w:val="double"/>
        </w:rPr>
        <w:t>交纳投标保证金</w:t>
      </w:r>
      <w:r>
        <w:rPr>
          <w:rFonts w:hint="eastAsia"/>
          <w:b/>
          <w:bCs/>
          <w:sz w:val="24"/>
          <w:highlight w:val="none"/>
        </w:rPr>
        <w:t>的账户：</w:t>
      </w:r>
    </w:p>
    <w:p>
      <w:pPr>
        <w:spacing w:line="360" w:lineRule="auto"/>
        <w:ind w:firstLine="420" w:firstLineChars="175"/>
        <w:rPr>
          <w:sz w:val="24"/>
          <w:highlight w:val="none"/>
        </w:rPr>
      </w:pPr>
      <w:r>
        <w:rPr>
          <w:rFonts w:hint="eastAsia"/>
          <w:sz w:val="24"/>
          <w:highlight w:val="none"/>
        </w:rPr>
        <w:t>账号：120906120910101，开户银行：招商银行广州天润路支行，收款人：广东有德招标采购有限公司</w:t>
      </w:r>
    </w:p>
    <w:p>
      <w:pPr>
        <w:numPr>
          <w:ilvl w:val="0"/>
          <w:numId w:val="1"/>
        </w:numPr>
        <w:spacing w:line="360" w:lineRule="auto"/>
        <w:rPr>
          <w:sz w:val="24"/>
          <w:highlight w:val="none"/>
        </w:rPr>
      </w:pPr>
      <w:r>
        <w:rPr>
          <w:rFonts w:hint="eastAsia"/>
          <w:sz w:val="24"/>
          <w:highlight w:val="none"/>
        </w:rPr>
        <w:t>招标文件有“★”的地方为实质性的指标要求，必须一一响应。若有一项带“★”的指标要求未响应或不满足，将按投标无效处理。</w:t>
      </w:r>
    </w:p>
    <w:p>
      <w:pPr>
        <w:numPr>
          <w:ilvl w:val="0"/>
          <w:numId w:val="1"/>
        </w:numPr>
        <w:spacing w:line="360" w:lineRule="auto"/>
        <w:rPr>
          <w:sz w:val="24"/>
          <w:highlight w:val="none"/>
        </w:rPr>
      </w:pPr>
      <w:r>
        <w:rPr>
          <w:rFonts w:hint="eastAsia"/>
          <w:sz w:val="24"/>
          <w:highlight w:val="none"/>
        </w:rPr>
        <w:t>请正确填写《开标一览表》，含有包组的投标项目需分开报价，制作投标文件时可分开装订也可统一装订，但都必须密封。</w:t>
      </w:r>
    </w:p>
    <w:p>
      <w:pPr>
        <w:numPr>
          <w:ilvl w:val="0"/>
          <w:numId w:val="1"/>
        </w:numPr>
        <w:spacing w:line="360" w:lineRule="auto"/>
        <w:rPr>
          <w:sz w:val="24"/>
          <w:highlight w:val="none"/>
        </w:rPr>
      </w:pPr>
      <w:r>
        <w:rPr>
          <w:rFonts w:hint="eastAsia"/>
          <w:sz w:val="24"/>
          <w:highlight w:val="none"/>
        </w:rPr>
        <w:t>投标人同时参加多个包组投标时，应当分包组制作投标文件，并分别密封提交。</w:t>
      </w:r>
    </w:p>
    <w:p>
      <w:pPr>
        <w:numPr>
          <w:ilvl w:val="0"/>
          <w:numId w:val="1"/>
        </w:numPr>
        <w:spacing w:line="360" w:lineRule="auto"/>
        <w:rPr>
          <w:sz w:val="24"/>
          <w:highlight w:val="none"/>
        </w:rPr>
      </w:pPr>
      <w:r>
        <w:rPr>
          <w:rFonts w:hint="eastAsia"/>
          <w:sz w:val="24"/>
          <w:highlight w:val="none"/>
        </w:rPr>
        <w:t>请仔细检查《投标函》、《开标一览表》等重要格式文件是否有按要求盖公章或签名。</w:t>
      </w:r>
    </w:p>
    <w:p>
      <w:pPr>
        <w:numPr>
          <w:ilvl w:val="0"/>
          <w:numId w:val="1"/>
        </w:numPr>
        <w:spacing w:line="360" w:lineRule="auto"/>
        <w:rPr>
          <w:sz w:val="24"/>
          <w:highlight w:val="none"/>
        </w:rPr>
      </w:pPr>
      <w:r>
        <w:rPr>
          <w:rFonts w:hint="eastAsia"/>
          <w:sz w:val="24"/>
          <w:highlight w:val="none"/>
        </w:rPr>
        <w:t>投标文件应按顺序编制页码。</w:t>
      </w:r>
    </w:p>
    <w:p>
      <w:pPr>
        <w:numPr>
          <w:ilvl w:val="0"/>
          <w:numId w:val="1"/>
        </w:numPr>
        <w:spacing w:line="360" w:lineRule="auto"/>
        <w:rPr>
          <w:sz w:val="24"/>
          <w:highlight w:val="none"/>
        </w:rPr>
      </w:pPr>
      <w:r>
        <w:rPr>
          <w:rFonts w:hint="eastAsia"/>
          <w:sz w:val="24"/>
          <w:highlight w:val="none"/>
        </w:rPr>
        <w:t>招标文件如允许分公司投标的，需提供具有法人资格的总公司有效的营业执照副本复印件及对被授权人的授权书。</w:t>
      </w:r>
    </w:p>
    <w:p>
      <w:pPr>
        <w:numPr>
          <w:ilvl w:val="0"/>
          <w:numId w:val="1"/>
        </w:numPr>
        <w:spacing w:line="360" w:lineRule="auto"/>
        <w:rPr>
          <w:sz w:val="24"/>
          <w:highlight w:val="none"/>
        </w:rPr>
      </w:pPr>
      <w:r>
        <w:rPr>
          <w:rFonts w:hint="eastAsia"/>
          <w:sz w:val="24"/>
          <w:highlight w:val="none"/>
        </w:rPr>
        <w:t>我公司为采购代理机构，不对投标人领购招标文件时提交的相关资料的真伪做出判断，如投标人发现相关资料被盗用或复制，建议遵循法律途径解决，追究侵权者责任。对一家投标人递交两份投标文件的，评标委员会将按招标文件中有关无效投标的规定处理。</w:t>
      </w:r>
    </w:p>
    <w:p>
      <w:pPr>
        <w:rPr>
          <w:rFonts w:ascii="黑体" w:hAnsi="黑体" w:eastAsia="黑体" w:cs="黑体"/>
          <w:sz w:val="36"/>
          <w:szCs w:val="36"/>
          <w:highlight w:val="none"/>
        </w:rPr>
      </w:pPr>
    </w:p>
    <w:p>
      <w:pPr>
        <w:spacing w:line="360" w:lineRule="auto"/>
        <w:jc w:val="center"/>
        <w:rPr>
          <w:b/>
          <w:bCs/>
          <w:sz w:val="18"/>
          <w:szCs w:val="18"/>
          <w:highlight w:val="none"/>
        </w:rPr>
      </w:pPr>
      <w:r>
        <w:rPr>
          <w:rFonts w:hint="eastAsia"/>
          <w:b/>
          <w:bCs/>
          <w:sz w:val="18"/>
          <w:szCs w:val="18"/>
          <w:highlight w:val="none"/>
        </w:rPr>
        <w:t>（本提示非招标文件的组成部分，仅作善意提醒。若与招标文件有不同之处，以招标文件为准。）</w:t>
      </w:r>
    </w:p>
    <w:p>
      <w:pPr>
        <w:pStyle w:val="2"/>
        <w:keepNext w:val="0"/>
        <w:keepLines w:val="0"/>
        <w:pageBreakBefore w:val="0"/>
        <w:widowControl w:val="0"/>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kern w:val="44"/>
          <w:sz w:val="24"/>
          <w:szCs w:val="44"/>
          <w:highlight w:val="none"/>
          <w:lang w:val="en-US" w:eastAsia="zh-CN" w:bidi="ar-SA"/>
        </w:rPr>
      </w:pPr>
      <w:bookmarkStart w:id="32" w:name="_Toc15516"/>
      <w:bookmarkStart w:id="33" w:name="_Toc3828"/>
      <w:bookmarkStart w:id="34" w:name="_Toc4156"/>
      <w:r>
        <w:rPr>
          <w:rFonts w:hint="eastAsia"/>
          <w:b/>
          <w:bCs/>
          <w:kern w:val="44"/>
          <w:sz w:val="44"/>
          <w:szCs w:val="44"/>
          <w:highlight w:val="none"/>
        </w:rPr>
        <w:br w:type="page"/>
      </w:r>
      <w:bookmarkStart w:id="35" w:name="_Toc25620"/>
      <w:r>
        <w:rPr>
          <w:rFonts w:hint="eastAsia" w:ascii="宋体" w:hAnsi="宋体" w:cs="宋体"/>
          <w:b/>
          <w:bCs/>
          <w:kern w:val="44"/>
          <w:sz w:val="32"/>
          <w:szCs w:val="32"/>
          <w:highlight w:val="none"/>
        </w:rPr>
        <w:t>目  录</w:t>
      </w:r>
      <w:bookmarkEnd w:id="32"/>
      <w:bookmarkEnd w:id="33"/>
      <w:bookmarkEnd w:id="34"/>
      <w:bookmarkEnd w:id="35"/>
      <w:r>
        <w:rPr>
          <w:rFonts w:hint="eastAsia" w:ascii="宋体" w:hAnsi="宋体" w:cs="宋体"/>
          <w:sz w:val="24"/>
          <w:highlight w:val="none"/>
        </w:rPr>
        <w:fldChar w:fldCharType="begin"/>
      </w:r>
      <w:r>
        <w:rPr>
          <w:rFonts w:hint="eastAsia" w:ascii="宋体" w:hAnsi="宋体" w:cs="宋体"/>
          <w:sz w:val="24"/>
          <w:highlight w:val="none"/>
        </w:rPr>
        <w:instrText xml:space="preserve">TOC \o "1-3" \h \u </w:instrText>
      </w:r>
      <w:r>
        <w:rPr>
          <w:rFonts w:hint="eastAsia" w:ascii="宋体" w:hAnsi="宋体" w:cs="宋体"/>
          <w:sz w:val="24"/>
          <w:highlight w:val="none"/>
        </w:rPr>
        <w:fldChar w:fldCharType="separate"/>
      </w:r>
    </w:p>
    <w:p>
      <w:pPr>
        <w:pStyle w:val="19"/>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HYPERLINK \l _Toc31387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第一章 投标邀请函</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PAGEREF _Toc31387 \h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1</w:t>
      </w:r>
      <w:r>
        <w:rPr>
          <w:rFonts w:hint="eastAsia" w:ascii="宋体" w:hAnsi="宋体" w:eastAsia="宋体" w:cs="宋体"/>
          <w:b/>
          <w:bCs/>
          <w:sz w:val="24"/>
          <w:szCs w:val="32"/>
          <w:highlight w:val="none"/>
        </w:rPr>
        <w:fldChar w:fldCharType="end"/>
      </w:r>
      <w:r>
        <w:rPr>
          <w:rFonts w:hint="eastAsia" w:ascii="宋体" w:hAnsi="宋体" w:eastAsia="宋体" w:cs="宋体"/>
          <w:b/>
          <w:bCs/>
          <w:sz w:val="24"/>
          <w:szCs w:val="32"/>
          <w:highlight w:val="none"/>
        </w:rPr>
        <w:fldChar w:fldCharType="end"/>
      </w:r>
    </w:p>
    <w:p>
      <w:pPr>
        <w:pStyle w:val="19"/>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HYPERLINK \l _Toc23413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第二章 投标人须知</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PAGEREF _Toc23413 \h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6</w:t>
      </w:r>
      <w:r>
        <w:rPr>
          <w:rFonts w:hint="eastAsia" w:ascii="宋体" w:hAnsi="宋体" w:eastAsia="宋体" w:cs="宋体"/>
          <w:b/>
          <w:bCs/>
          <w:sz w:val="24"/>
          <w:szCs w:val="32"/>
          <w:highlight w:val="none"/>
        </w:rPr>
        <w:fldChar w:fldCharType="end"/>
      </w:r>
      <w:r>
        <w:rPr>
          <w:rFonts w:hint="eastAsia" w:ascii="宋体" w:hAnsi="宋体" w:eastAsia="宋体" w:cs="宋体"/>
          <w:b/>
          <w:bCs/>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_Toc12999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投标人须知前附表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_Toc12999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_Toc18849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（一） 总则</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_Toc18849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_Toc20307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 采购项目与采购当事人</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_Toc20307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_Toc15729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 合格的投标人</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_Toc15729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_Toc7082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 合格的货物和服务</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_Toc7082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_Toc21681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4. 政府采购信用担保</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_Toc21681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_Toc1590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（二） 招标文件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_Toc1590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_Toc5324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5. 招标文件的编制依据和组成</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_Toc5324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_Toc5327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6. 招标文件的澄清和修改</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_Toc5327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_Toc4581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7. 答疑会或踏勘现场</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_Toc4581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_Toc25073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（三） 投标文件的编制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_Toc25073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_Toc8141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8. 投标语言和计量单位</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_Toc8141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_Toc4205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9. 投标文件的构成</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_Toc4205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_Toc25446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10. 投标文件编制注意事项</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_Toc25446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_Toc20894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11. 投标文件的式样和签署</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_Toc20894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_Toc4222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12. 投标报价</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_Toc4222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_Toc14969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13. 投标有效期</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_Toc14969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_Toc16166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14. 联合体投标</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_Toc16166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_Toc17904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15. 证明投标人合格和资格的文件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_Toc17904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_Toc23821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16. 证明货物的合格性和符合招标文件规定的文件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_Toc23821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_Toc6007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17. 投标保证金</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_Toc6007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_Toc8809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18. 投标保证金的退还条件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_Toc8809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_Toc26289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（四） 投标文件的递交</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_Toc26289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_Toc28530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19. 投标文件的密封和标记</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_Toc28530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_Toc1425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20. 投标文件递交要求</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_Toc1425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_Toc24195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21. 投标样品（不适用）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_Toc24195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_Toc15471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22. 投标截止</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_Toc15471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_Toc30802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23. 投标文件的修改和撤回</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_Toc30802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_Toc21478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（五） 开标与评标</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_Toc21478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_Toc8931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24. 开标</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_Toc8931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_Toc8818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25. 评标</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_Toc8818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_Toc26915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26. 定标原则和授标</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_Toc26915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_Toc25636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27. 中标通知书</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_Toc25636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_Toc26704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（六） 询问、质疑及投诉</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_Toc26704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_Toc5361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28. 询问</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_Toc5361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_Toc22930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29. 质疑</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_Toc22930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_Toc2649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30. 投诉</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_Toc2649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_Toc8563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（七） 授予合同</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_Toc8563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_Toc12165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31. 合同的订立</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_Toc12165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_Toc23585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32. 合同的履行</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_Toc23585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_Toc7942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33. 履约保证金</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_Toc7942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_Toc21654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34. 招标代理服务费</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_Toc21654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_Toc28637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（八） 政府采购政策</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_Toc28637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_Toc1557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35. 采购节能产品、环境标志产品相关政策</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_Toc1557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_Toc30582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36. 促进中小企业发展政策</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_Toc30582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_Toc683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37. 支持监狱企业发展政策</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_Toc683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_Toc4276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38. 促进残疾人福利性单位政策</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_Toc4276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_Toc11919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lang w:val="zh-CN"/>
        </w:rPr>
        <w:t>39. 促进贫困地区农副产品政策</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_Toc11919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9"/>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HYPERLINK \l _Toc14413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第三章 用户需求书</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PAGEREF _Toc14413 \h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27</w:t>
      </w:r>
      <w:r>
        <w:rPr>
          <w:rFonts w:hint="eastAsia" w:ascii="宋体" w:hAnsi="宋体" w:eastAsia="宋体" w:cs="宋体"/>
          <w:b/>
          <w:bCs/>
          <w:sz w:val="24"/>
          <w:szCs w:val="32"/>
          <w:highlight w:val="none"/>
        </w:rPr>
        <w:fldChar w:fldCharType="end"/>
      </w:r>
      <w:r>
        <w:rPr>
          <w:rFonts w:hint="eastAsia" w:ascii="宋体" w:hAnsi="宋体" w:eastAsia="宋体" w:cs="宋体"/>
          <w:b/>
          <w:bCs/>
          <w:sz w:val="24"/>
          <w:szCs w:val="32"/>
          <w:highlight w:val="none"/>
        </w:rPr>
        <w:fldChar w:fldCharType="end"/>
      </w:r>
    </w:p>
    <w:p>
      <w:pPr>
        <w:pStyle w:val="19"/>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HYPERLINK \l _Toc31745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第四章 评分体系与标准</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PAGEREF _Toc31745 \h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50</w:t>
      </w:r>
      <w:r>
        <w:rPr>
          <w:rFonts w:hint="eastAsia" w:ascii="宋体" w:hAnsi="宋体" w:eastAsia="宋体" w:cs="宋体"/>
          <w:b/>
          <w:bCs/>
          <w:sz w:val="24"/>
          <w:szCs w:val="32"/>
          <w:highlight w:val="none"/>
        </w:rPr>
        <w:fldChar w:fldCharType="end"/>
      </w:r>
      <w:r>
        <w:rPr>
          <w:rFonts w:hint="eastAsia" w:ascii="宋体" w:hAnsi="宋体" w:eastAsia="宋体" w:cs="宋体"/>
          <w:b/>
          <w:bCs/>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_Toc10976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（一） 评标方法</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_Toc10976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_Toc28830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（二） 评标流程</w:t>
      </w:r>
      <w:r>
        <w:rPr>
          <w:rFonts w:hint="eastAsia" w:ascii="宋体" w:hAnsi="宋体" w:eastAsia="宋体" w:cs="宋体"/>
          <w:sz w:val="24"/>
          <w:szCs w:val="32"/>
          <w:highlight w:val="none"/>
          <w:lang w:val="zh-CN"/>
        </w:rPr>
        <w:t>及评标步骤</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_Toc28830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_Toc22272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zh-CN"/>
        </w:rPr>
        <w:t>1. 投标文件资格性审查</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_Toc22272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_Toc12536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zh-CN"/>
        </w:rPr>
        <w:t>2. 投标文件符合性审查</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_Toc12536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_Toc8174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zh-CN"/>
        </w:rPr>
        <w:t>3. 投标文件的澄清</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_Toc8174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_Toc12257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zh-CN"/>
        </w:rPr>
        <w:t>4. 投标文件的比较与评价</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_Toc12257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_Toc12085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zh-CN"/>
        </w:rPr>
        <w:t>5. 综合评分汇总及推荐意见</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_Toc12085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_Toc4764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zh-CN"/>
        </w:rPr>
        <w:t>（三） 附表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_Toc4764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_Toc14190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附表1：资格性审查表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_Toc14190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_Toc16980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附表2：符合性审查表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_Toc16980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_Toc31377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附表3：技术、商务及价格分值分配</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_Toc31377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_Toc7050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附表4：技术评审表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_Toc7050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_Toc17485 </w:instrText>
      </w:r>
      <w:r>
        <w:rPr>
          <w:rFonts w:hint="eastAsia" w:ascii="宋体" w:hAnsi="宋体" w:eastAsia="宋体" w:cs="宋体"/>
          <w:sz w:val="24"/>
          <w:szCs w:val="32"/>
          <w:highlight w:val="none"/>
        </w:rPr>
        <w:fldChar w:fldCharType="separate"/>
      </w:r>
      <w:r>
        <w:rPr>
          <w:rFonts w:hint="eastAsia" w:ascii="宋体" w:hAnsi="宋体" w:eastAsia="宋体" w:cs="宋体"/>
          <w:bCs/>
          <w:sz w:val="24"/>
          <w:szCs w:val="32"/>
          <w:highlight w:val="none"/>
        </w:rPr>
        <w:t>附表5：商务评审表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_Toc17485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62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_Toc10925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附表</w:t>
      </w:r>
      <w:r>
        <w:rPr>
          <w:rFonts w:hint="eastAsia" w:ascii="宋体" w:hAnsi="宋体" w:eastAsia="宋体" w:cs="宋体"/>
          <w:sz w:val="24"/>
          <w:szCs w:val="32"/>
          <w:highlight w:val="none"/>
          <w:lang w:val="en-US" w:eastAsia="zh-CN"/>
        </w:rPr>
        <w:t>6</w:t>
      </w:r>
      <w:r>
        <w:rPr>
          <w:rFonts w:hint="eastAsia" w:ascii="宋体" w:hAnsi="宋体" w:eastAsia="宋体" w:cs="宋体"/>
          <w:sz w:val="24"/>
          <w:szCs w:val="32"/>
          <w:highlight w:val="none"/>
        </w:rPr>
        <w:t>：价格评审表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_Toc10925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63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9"/>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HYPERLINK \l _Toc2691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第五章 合同格式</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PAGEREF _Toc2691 \h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64</w:t>
      </w:r>
      <w:r>
        <w:rPr>
          <w:rFonts w:hint="eastAsia" w:ascii="宋体" w:hAnsi="宋体" w:eastAsia="宋体" w:cs="宋体"/>
          <w:b/>
          <w:bCs/>
          <w:sz w:val="24"/>
          <w:szCs w:val="32"/>
          <w:highlight w:val="none"/>
        </w:rPr>
        <w:fldChar w:fldCharType="end"/>
      </w:r>
      <w:r>
        <w:rPr>
          <w:rFonts w:hint="eastAsia" w:ascii="宋体" w:hAnsi="宋体" w:eastAsia="宋体" w:cs="宋体"/>
          <w:b/>
          <w:bCs/>
          <w:sz w:val="24"/>
          <w:szCs w:val="32"/>
          <w:highlight w:val="none"/>
        </w:rPr>
        <w:fldChar w:fldCharType="end"/>
      </w:r>
    </w:p>
    <w:p>
      <w:pPr>
        <w:pStyle w:val="19"/>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b/>
          <w:bCs/>
          <w:sz w:val="24"/>
          <w:szCs w:val="32"/>
          <w:highlight w:val="none"/>
        </w:rPr>
      </w:pP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HYPERLINK \l _Toc21327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第六章 投标文件格式</w:t>
      </w:r>
      <w:r>
        <w:rPr>
          <w:rFonts w:hint="eastAsia" w:ascii="宋体" w:hAnsi="宋体" w:eastAsia="宋体" w:cs="宋体"/>
          <w:b/>
          <w:bCs/>
          <w:sz w:val="24"/>
          <w:szCs w:val="32"/>
          <w:highlight w:val="none"/>
        </w:rPr>
        <w:tab/>
      </w:r>
      <w:r>
        <w:rPr>
          <w:rFonts w:hint="eastAsia" w:ascii="宋体" w:hAnsi="宋体" w:eastAsia="宋体" w:cs="宋体"/>
          <w:b/>
          <w:bCs/>
          <w:sz w:val="24"/>
          <w:szCs w:val="32"/>
          <w:highlight w:val="none"/>
        </w:rPr>
        <w:fldChar w:fldCharType="begin"/>
      </w:r>
      <w:r>
        <w:rPr>
          <w:rFonts w:hint="eastAsia" w:ascii="宋体" w:hAnsi="宋体" w:eastAsia="宋体" w:cs="宋体"/>
          <w:b/>
          <w:bCs/>
          <w:sz w:val="24"/>
          <w:szCs w:val="32"/>
          <w:highlight w:val="none"/>
        </w:rPr>
        <w:instrText xml:space="preserve"> PAGEREF _Toc21327 \h </w:instrText>
      </w:r>
      <w:r>
        <w:rPr>
          <w:rFonts w:hint="eastAsia" w:ascii="宋体" w:hAnsi="宋体" w:eastAsia="宋体" w:cs="宋体"/>
          <w:b/>
          <w:bCs/>
          <w:sz w:val="24"/>
          <w:szCs w:val="32"/>
          <w:highlight w:val="none"/>
        </w:rPr>
        <w:fldChar w:fldCharType="separate"/>
      </w:r>
      <w:r>
        <w:rPr>
          <w:rFonts w:hint="eastAsia" w:ascii="宋体" w:hAnsi="宋体" w:eastAsia="宋体" w:cs="宋体"/>
          <w:b/>
          <w:bCs/>
          <w:sz w:val="24"/>
          <w:szCs w:val="32"/>
          <w:highlight w:val="none"/>
        </w:rPr>
        <w:t>82</w:t>
      </w:r>
      <w:r>
        <w:rPr>
          <w:rFonts w:hint="eastAsia" w:ascii="宋体" w:hAnsi="宋体" w:eastAsia="宋体" w:cs="宋体"/>
          <w:b/>
          <w:bCs/>
          <w:sz w:val="24"/>
          <w:szCs w:val="32"/>
          <w:highlight w:val="none"/>
        </w:rPr>
        <w:fldChar w:fldCharType="end"/>
      </w:r>
      <w:r>
        <w:rPr>
          <w:rFonts w:hint="eastAsia" w:ascii="宋体" w:hAnsi="宋体" w:eastAsia="宋体" w:cs="宋体"/>
          <w:b/>
          <w:bCs/>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_Toc7286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52"/>
          <w:highlight w:val="none"/>
        </w:rPr>
        <w:t>第一部分  自查表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_Toc7286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84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_Toc270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 资格性审查自查表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_Toc270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85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_Toc21258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 符合性审查自查表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_Toc21258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87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_Toc24064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3、 技术评审自查表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_Toc24064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88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_Toc31185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4、 商务评审自查表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_Toc31185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_Toc25040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52"/>
          <w:highlight w:val="none"/>
        </w:rPr>
        <w:t>第二部分 资格文件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_Toc25040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_Toc6320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 投标函</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_Toc6320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_Toc29434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 投标资格声明</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_Toc29434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_Toc28684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3、 法定代表人（负责人）证明书和法定代表人（负责人）</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_Toc28684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_Toc31477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4、 授权委托书</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_Toc31477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_Toc8719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5、 退还投标保证金说明</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_Toc8719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_Toc22209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6、 投标保证金凭证</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_Toc22209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_Toc434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7、 政府采购投标担保函</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_Toc434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98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_Toc12421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8、 招标代理服务费支付承诺书</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_Toc12421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_Toc7559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52"/>
          <w:highlight w:val="none"/>
        </w:rPr>
        <w:t>第三部分 商务文件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_Toc7559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_Toc4289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 投标人概况</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_Toc4289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_Toc21565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 商务条款响应一览表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_Toc21565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109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_Toc3709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6"/>
          <w:highlight w:val="none"/>
        </w:rPr>
        <w:t>3、 合同条款响应一览表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_Toc3709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_Toc32017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52"/>
          <w:highlight w:val="none"/>
        </w:rPr>
        <w:t>第四部分 技术文件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_Toc32017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_Toc5899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 货物说明一览表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_Toc5899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_Toc7917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 技术条款响应表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_Toc7917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_Toc12548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 xml:space="preserve">3、 </w:t>
      </w:r>
      <w:r>
        <w:rPr>
          <w:rFonts w:hint="eastAsia" w:ascii="宋体" w:hAnsi="宋体" w:eastAsia="宋体" w:cs="宋体"/>
          <w:sz w:val="24"/>
          <w:szCs w:val="32"/>
          <w:highlight w:val="none"/>
        </w:rPr>
        <w:t>技术方案</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_Toc12548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_Toc15354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 xml:space="preserve">4、 </w:t>
      </w:r>
      <w:r>
        <w:rPr>
          <w:rFonts w:hint="eastAsia" w:ascii="宋体" w:hAnsi="宋体" w:eastAsia="宋体" w:cs="宋体"/>
          <w:sz w:val="24"/>
          <w:szCs w:val="32"/>
          <w:highlight w:val="none"/>
          <w:lang w:val="en-US" w:eastAsia="zh-CN"/>
        </w:rPr>
        <w:t>伴随服务</w:t>
      </w:r>
      <w:r>
        <w:rPr>
          <w:rFonts w:hint="eastAsia" w:ascii="宋体" w:hAnsi="宋体" w:eastAsia="宋体" w:cs="宋体"/>
          <w:sz w:val="24"/>
          <w:szCs w:val="32"/>
          <w:highlight w:val="none"/>
        </w:rPr>
        <w:t>方案</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_Toc15354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119</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_Toc23578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en-US" w:eastAsia="zh-CN"/>
        </w:rPr>
        <w:t xml:space="preserve">5、 </w:t>
      </w:r>
      <w:r>
        <w:rPr>
          <w:rFonts w:hint="eastAsia" w:ascii="宋体" w:hAnsi="宋体" w:eastAsia="宋体" w:cs="宋体"/>
          <w:sz w:val="24"/>
          <w:szCs w:val="32"/>
          <w:highlight w:val="none"/>
          <w:lang w:val="en-US" w:eastAsia="zh-CN"/>
        </w:rPr>
        <w:t>项目质量保证措施和质量违约承诺</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_Toc23578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120</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_Toc27295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 xml:space="preserve">6、 </w:t>
      </w:r>
      <w:r>
        <w:rPr>
          <w:rFonts w:hint="eastAsia" w:ascii="宋体" w:hAnsi="宋体" w:eastAsia="宋体" w:cs="宋体"/>
          <w:sz w:val="24"/>
          <w:szCs w:val="32"/>
          <w:highlight w:val="none"/>
        </w:rPr>
        <w:t>售后服务方案</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_Toc27295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121</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23"/>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_Toc7314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52"/>
          <w:highlight w:val="none"/>
        </w:rPr>
        <w:t>第五部分 报价文件</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_Toc7314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122</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_Toc12196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 开标一览表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_Toc12196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123</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_Toc30556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2、 报价明细表</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_Toc30556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124</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_Toc27224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3、 中小企业声明函（如有）</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_Toc27224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125</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_Toc3111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en-GB"/>
        </w:rPr>
        <w:t>4、 残疾人福利性单位声明函（如有）</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_Toc3111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126</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_Toc27363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en-GB"/>
        </w:rPr>
        <w:t>5、 监狱企业的证明文件（如有）</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_Toc27363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_Toc9446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en-GB"/>
        </w:rPr>
        <w:t>6、 采用节能、环境标志产品情况（如有）</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_Toc9446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127</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pStyle w:val="12"/>
        <w:keepNext w:val="0"/>
        <w:keepLines w:val="0"/>
        <w:pageBreakBefore w:val="0"/>
        <w:widowControl w:val="0"/>
        <w:tabs>
          <w:tab w:val="right" w:leader="dot" w:pos="9025"/>
        </w:tabs>
        <w:kinsoku/>
        <w:wordWrap/>
        <w:overflowPunct/>
        <w:topLinePunct w:val="0"/>
        <w:autoSpaceDE/>
        <w:autoSpaceDN/>
        <w:bidi w:val="0"/>
        <w:adjustRightInd/>
        <w:snapToGrid/>
        <w:spacing w:line="400" w:lineRule="exact"/>
        <w:textAlignment w:val="auto"/>
        <w:rPr>
          <w:rFonts w:hint="eastAsia" w:ascii="宋体" w:hAnsi="宋体" w:eastAsia="宋体" w:cs="宋体"/>
          <w:sz w:val="24"/>
          <w:szCs w:val="32"/>
          <w:highlight w:val="none"/>
        </w:rPr>
      </w:pP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HYPERLINK \l _Toc19500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lang w:val="en-GB"/>
        </w:rPr>
        <w:t>7、 贫困地区农副产品情况（如有）</w:t>
      </w:r>
      <w:r>
        <w:rPr>
          <w:rFonts w:hint="eastAsia" w:ascii="宋体" w:hAnsi="宋体" w:eastAsia="宋体" w:cs="宋体"/>
          <w:sz w:val="24"/>
          <w:szCs w:val="32"/>
          <w:highlight w:val="none"/>
        </w:rPr>
        <w:tab/>
      </w:r>
      <w:r>
        <w:rPr>
          <w:rFonts w:hint="eastAsia" w:ascii="宋体" w:hAnsi="宋体" w:eastAsia="宋体" w:cs="宋体"/>
          <w:sz w:val="24"/>
          <w:szCs w:val="32"/>
          <w:highlight w:val="none"/>
        </w:rPr>
        <w:fldChar w:fldCharType="begin"/>
      </w:r>
      <w:r>
        <w:rPr>
          <w:rFonts w:hint="eastAsia" w:ascii="宋体" w:hAnsi="宋体" w:eastAsia="宋体" w:cs="宋体"/>
          <w:sz w:val="24"/>
          <w:szCs w:val="32"/>
          <w:highlight w:val="none"/>
        </w:rPr>
        <w:instrText xml:space="preserve"> PAGEREF _Toc19500 \h </w:instrText>
      </w:r>
      <w:r>
        <w:rPr>
          <w:rFonts w:hint="eastAsia" w:ascii="宋体" w:hAnsi="宋体" w:eastAsia="宋体" w:cs="宋体"/>
          <w:sz w:val="24"/>
          <w:szCs w:val="32"/>
          <w:highlight w:val="none"/>
        </w:rPr>
        <w:fldChar w:fldCharType="separate"/>
      </w:r>
      <w:r>
        <w:rPr>
          <w:rFonts w:hint="eastAsia" w:ascii="宋体" w:hAnsi="宋体" w:eastAsia="宋体" w:cs="宋体"/>
          <w:sz w:val="24"/>
          <w:szCs w:val="32"/>
          <w:highlight w:val="none"/>
        </w:rPr>
        <w:t>128</w:t>
      </w:r>
      <w:r>
        <w:rPr>
          <w:rFonts w:hint="eastAsia" w:ascii="宋体" w:hAnsi="宋体" w:eastAsia="宋体" w:cs="宋体"/>
          <w:sz w:val="24"/>
          <w:szCs w:val="32"/>
          <w:highlight w:val="none"/>
        </w:rPr>
        <w:fldChar w:fldCharType="end"/>
      </w:r>
      <w:r>
        <w:rPr>
          <w:rFonts w:hint="eastAsia" w:ascii="宋体" w:hAnsi="宋体" w:eastAsia="宋体" w:cs="宋体"/>
          <w:sz w:val="24"/>
          <w:szCs w:val="32"/>
          <w:highlight w:val="none"/>
        </w:rPr>
        <w:fldChar w:fldCharType="end"/>
      </w:r>
    </w:p>
    <w:p>
      <w:pPr>
        <w:keepNext w:val="0"/>
        <w:keepLines w:val="0"/>
        <w:pageBreakBefore w:val="0"/>
        <w:widowControl w:val="0"/>
        <w:tabs>
          <w:tab w:val="left" w:pos="720"/>
          <w:tab w:val="left" w:pos="1440"/>
        </w:tabs>
        <w:kinsoku/>
        <w:wordWrap/>
        <w:overflowPunct/>
        <w:topLinePunct w:val="0"/>
        <w:autoSpaceDE/>
        <w:autoSpaceDN/>
        <w:bidi w:val="0"/>
        <w:adjustRightInd w:val="0"/>
        <w:snapToGrid w:val="0"/>
        <w:spacing w:before="240" w:beforeLines="100" w:line="400" w:lineRule="exact"/>
        <w:ind w:right="204" w:rightChars="97"/>
        <w:jc w:val="center"/>
        <w:textAlignment w:val="auto"/>
        <w:rPr>
          <w:highlight w:val="none"/>
        </w:rPr>
        <w:sectPr>
          <w:headerReference r:id="rId4" w:type="default"/>
          <w:footerReference r:id="rId5" w:type="default"/>
          <w:pgSz w:w="11905" w:h="16838"/>
          <w:pgMar w:top="1803" w:right="1440" w:bottom="1803" w:left="1440" w:header="850" w:footer="822" w:gutter="0"/>
          <w:pgNumType w:start="1"/>
          <w:cols w:space="0" w:num="1"/>
          <w:docGrid w:linePitch="312" w:charSpace="0"/>
        </w:sectPr>
      </w:pPr>
      <w:r>
        <w:rPr>
          <w:rFonts w:hint="eastAsia" w:ascii="宋体" w:hAnsi="宋体" w:cs="宋体"/>
          <w:sz w:val="24"/>
          <w:highlight w:val="none"/>
        </w:rPr>
        <w:fldChar w:fldCharType="end"/>
      </w:r>
      <w:bookmarkStart w:id="36" w:name="_Toc28043"/>
      <w:bookmarkStart w:id="37" w:name="_Toc27984"/>
    </w:p>
    <w:p>
      <w:pPr>
        <w:pStyle w:val="38"/>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jc w:val="center"/>
        <w:rPr>
          <w:rFonts w:ascii="黑体" w:hAnsi="黑体" w:eastAsia="黑体" w:cs="黑体"/>
          <w:b/>
          <w:bCs/>
          <w:highlight w:val="none"/>
        </w:rPr>
      </w:pPr>
      <w:bookmarkStart w:id="38" w:name="_Toc31387"/>
      <w:r>
        <w:rPr>
          <w:rFonts w:hint="eastAsia" w:ascii="黑体" w:hAnsi="黑体" w:eastAsia="黑体" w:cs="黑体"/>
          <w:b/>
          <w:bCs/>
          <w:highlight w:val="none"/>
        </w:rPr>
        <w:t xml:space="preserve">第一章 </w:t>
      </w:r>
      <w:bookmarkEnd w:id="23"/>
      <w:bookmarkEnd w:id="24"/>
      <w:bookmarkEnd w:id="25"/>
      <w:bookmarkEnd w:id="26"/>
      <w:bookmarkEnd w:id="27"/>
      <w:bookmarkEnd w:id="28"/>
      <w:bookmarkEnd w:id="29"/>
      <w:bookmarkEnd w:id="30"/>
      <w:r>
        <w:rPr>
          <w:rFonts w:hint="eastAsia" w:ascii="黑体" w:hAnsi="黑体" w:eastAsia="黑体" w:cs="黑体"/>
          <w:b/>
          <w:bCs/>
          <w:highlight w:val="none"/>
        </w:rPr>
        <w:t>投标邀请函</w:t>
      </w:r>
      <w:bookmarkEnd w:id="31"/>
      <w:bookmarkEnd w:id="36"/>
      <w:bookmarkEnd w:id="37"/>
      <w:bookmarkEnd w:id="38"/>
    </w:p>
    <w:p>
      <w:pPr>
        <w:rPr>
          <w:highlight w:val="none"/>
        </w:rPr>
      </w:pPr>
      <w:r>
        <w:rPr>
          <w:rFonts w:hint="eastAsia"/>
          <w:highlight w:val="none"/>
        </w:rPr>
        <w:t xml:space="preserve">   </w:t>
      </w: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10"/>
        <w:rPr>
          <w:highlight w:val="none"/>
        </w:rPr>
      </w:pPr>
    </w:p>
    <w:p>
      <w:pPr>
        <w:rPr>
          <w:highlight w:val="none"/>
        </w:rPr>
      </w:pPr>
    </w:p>
    <w:p>
      <w:pPr>
        <w:rPr>
          <w:highlight w:val="none"/>
        </w:rPr>
      </w:pPr>
    </w:p>
    <w:p>
      <w:pPr>
        <w:pStyle w:val="10"/>
        <w:rPr>
          <w:highlight w:val="none"/>
        </w:rPr>
      </w:pPr>
    </w:p>
    <w:p>
      <w:pPr>
        <w:rPr>
          <w:highlight w:val="none"/>
        </w:rPr>
      </w:pPr>
    </w:p>
    <w:p>
      <w:pPr>
        <w:rPr>
          <w:rFonts w:ascii="黑体" w:eastAsia="黑体"/>
          <w:b/>
          <w:bCs/>
          <w:sz w:val="32"/>
          <w:szCs w:val="32"/>
          <w:highlight w:val="none"/>
        </w:rPr>
      </w:pPr>
      <w:r>
        <w:rPr>
          <w:rFonts w:hint="eastAsia" w:ascii="黑体" w:eastAsia="黑体"/>
          <w:b/>
          <w:bCs/>
          <w:sz w:val="32"/>
          <w:szCs w:val="32"/>
          <w:highlight w:val="none"/>
        </w:rPr>
        <w:br w:type="page"/>
      </w:r>
    </w:p>
    <w:p>
      <w:pPr>
        <w:spacing w:line="360" w:lineRule="auto"/>
        <w:ind w:left="-141" w:leftChars="-67" w:firstLine="141" w:firstLineChars="44"/>
        <w:jc w:val="center"/>
        <w:rPr>
          <w:rFonts w:ascii="黑体" w:eastAsia="黑体"/>
          <w:b/>
          <w:bCs/>
          <w:sz w:val="32"/>
          <w:szCs w:val="32"/>
          <w:highlight w:val="none"/>
        </w:rPr>
      </w:pPr>
      <w:r>
        <w:rPr>
          <w:rFonts w:hint="eastAsia" w:ascii="黑体" w:eastAsia="黑体"/>
          <w:b/>
          <w:bCs/>
          <w:sz w:val="32"/>
          <w:szCs w:val="32"/>
          <w:highlight w:val="none"/>
        </w:rPr>
        <w:t>投标邀请函</w:t>
      </w:r>
    </w:p>
    <w:p>
      <w:pPr>
        <w:pBdr>
          <w:top w:val="single" w:color="auto" w:sz="4" w:space="0"/>
          <w:left w:val="single" w:color="auto" w:sz="4" w:space="0"/>
          <w:bottom w:val="single" w:color="auto" w:sz="4" w:space="0"/>
          <w:right w:val="single" w:color="auto" w:sz="4" w:space="0"/>
        </w:pBdr>
        <w:spacing w:line="360" w:lineRule="auto"/>
        <w:ind w:right="88" w:rightChars="42" w:firstLine="480" w:firstLineChars="200"/>
        <w:rPr>
          <w:rFonts w:ascii="宋体" w:hAnsi="宋体" w:cs="宋体"/>
          <w:kern w:val="0"/>
          <w:sz w:val="24"/>
          <w:highlight w:val="none"/>
          <w:lang w:bidi="ar"/>
        </w:rPr>
      </w:pPr>
      <w:bookmarkStart w:id="734" w:name="_GoBack"/>
      <w:r>
        <w:rPr>
          <w:rFonts w:hint="eastAsia" w:ascii="宋体" w:hAnsi="宋体" w:cs="宋体"/>
          <w:kern w:val="0"/>
          <w:sz w:val="24"/>
          <w:highlight w:val="none"/>
          <w:lang w:bidi="ar"/>
        </w:rPr>
        <w:t>农业农村部木薯种质资源保护与利用重点实验室建设项目招标项目的潜在投标人应在广州市天河北路</w:t>
      </w:r>
      <w:r>
        <w:rPr>
          <w:rFonts w:ascii="宋体" w:hAnsi="宋体" w:cs="宋体"/>
          <w:kern w:val="0"/>
          <w:sz w:val="24"/>
          <w:highlight w:val="none"/>
          <w:lang w:bidi="ar"/>
        </w:rPr>
        <w:t>626</w:t>
      </w:r>
      <w:r>
        <w:rPr>
          <w:rFonts w:hint="eastAsia" w:ascii="宋体" w:hAnsi="宋体" w:cs="宋体"/>
          <w:kern w:val="0"/>
          <w:sz w:val="24"/>
          <w:highlight w:val="none"/>
          <w:lang w:bidi="ar"/>
        </w:rPr>
        <w:t>号保利中宇广场</w:t>
      </w:r>
      <w:r>
        <w:rPr>
          <w:rFonts w:ascii="宋体" w:hAnsi="宋体" w:cs="宋体"/>
          <w:color w:val="auto"/>
          <w:kern w:val="0"/>
          <w:sz w:val="24"/>
          <w:highlight w:val="none"/>
          <w:lang w:bidi="ar"/>
        </w:rPr>
        <w:t>A</w:t>
      </w:r>
      <w:r>
        <w:rPr>
          <w:rFonts w:hint="eastAsia" w:ascii="宋体" w:hAnsi="宋体" w:cs="宋体"/>
          <w:color w:val="auto"/>
          <w:kern w:val="0"/>
          <w:sz w:val="24"/>
          <w:highlight w:val="none"/>
          <w:lang w:bidi="ar"/>
        </w:rPr>
        <w:t>座</w:t>
      </w:r>
      <w:r>
        <w:rPr>
          <w:rFonts w:ascii="宋体" w:hAnsi="宋体" w:cs="宋体"/>
          <w:color w:val="auto"/>
          <w:kern w:val="0"/>
          <w:sz w:val="24"/>
          <w:highlight w:val="none"/>
          <w:lang w:bidi="ar"/>
        </w:rPr>
        <w:t>25</w:t>
      </w:r>
      <w:r>
        <w:rPr>
          <w:rFonts w:hint="eastAsia" w:ascii="宋体" w:hAnsi="宋体" w:cs="宋体"/>
          <w:color w:val="auto"/>
          <w:kern w:val="0"/>
          <w:sz w:val="24"/>
          <w:highlight w:val="none"/>
          <w:lang w:bidi="ar"/>
        </w:rPr>
        <w:t>楼（联系人：邓小姐，联系电话：</w:t>
      </w:r>
      <w:r>
        <w:rPr>
          <w:rFonts w:ascii="宋体" w:hAnsi="宋体" w:cs="宋体"/>
          <w:color w:val="auto"/>
          <w:kern w:val="0"/>
          <w:sz w:val="24"/>
          <w:highlight w:val="none"/>
          <w:lang w:bidi="ar"/>
        </w:rPr>
        <w:t>020-88260060</w:t>
      </w:r>
      <w:r>
        <w:rPr>
          <w:rFonts w:hint="eastAsia" w:ascii="宋体" w:hAnsi="宋体" w:cs="宋体"/>
          <w:color w:val="auto"/>
          <w:kern w:val="0"/>
          <w:sz w:val="24"/>
          <w:highlight w:val="none"/>
          <w:lang w:bidi="ar"/>
        </w:rPr>
        <w:t>，</w:t>
      </w:r>
      <w:r>
        <w:rPr>
          <w:rFonts w:hint="eastAsia" w:ascii="宋体" w:hAnsi="宋体" w:cs="宋体"/>
          <w:color w:val="auto"/>
          <w:kern w:val="0"/>
          <w:sz w:val="24"/>
          <w:highlight w:val="none"/>
        </w:rPr>
        <w:t>邮箱：</w:t>
      </w:r>
      <w:r>
        <w:rPr>
          <w:rFonts w:ascii="宋体" w:hAnsi="宋体" w:cs="宋体"/>
          <w:color w:val="auto"/>
          <w:kern w:val="0"/>
          <w:sz w:val="24"/>
          <w:highlight w:val="none"/>
        </w:rPr>
        <w:t>youde_zb@163.com</w:t>
      </w:r>
      <w:r>
        <w:rPr>
          <w:rFonts w:hint="eastAsia" w:ascii="宋体" w:hAnsi="宋体" w:cs="宋体"/>
          <w:color w:val="auto"/>
          <w:kern w:val="0"/>
          <w:sz w:val="24"/>
          <w:highlight w:val="none"/>
          <w:lang w:bidi="ar"/>
        </w:rPr>
        <w:t>）获取招标文件，并于</w:t>
      </w:r>
      <w:r>
        <w:rPr>
          <w:rFonts w:ascii="宋体" w:hAnsi="宋体" w:cs="宋体"/>
          <w:color w:val="auto"/>
          <w:kern w:val="0"/>
          <w:sz w:val="24"/>
          <w:highlight w:val="none"/>
        </w:rPr>
        <w:t>202</w:t>
      </w:r>
      <w:r>
        <w:rPr>
          <w:rFonts w:hint="eastAsia" w:ascii="宋体" w:hAnsi="宋体" w:cs="宋体"/>
          <w:color w:val="auto"/>
          <w:kern w:val="0"/>
          <w:sz w:val="24"/>
          <w:highlight w:val="none"/>
        </w:rPr>
        <w:t>4年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color w:val="auto"/>
          <w:kern w:val="0"/>
          <w:sz w:val="24"/>
          <w:highlight w:val="none"/>
          <w:lang w:bidi="ar"/>
        </w:rPr>
        <w:t>（北京时间）前递交投标文件。</w:t>
      </w:r>
    </w:p>
    <w:p>
      <w:pPr>
        <w:widowControl/>
        <w:numPr>
          <w:ilvl w:val="0"/>
          <w:numId w:val="2"/>
        </w:numPr>
        <w:wordWrap w:val="0"/>
        <w:topLinePunct/>
        <w:spacing w:before="120" w:beforeLines="50" w:line="360" w:lineRule="auto"/>
        <w:ind w:firstLine="0"/>
        <w:jc w:val="left"/>
        <w:textAlignment w:val="baseline"/>
        <w:rPr>
          <w:rFonts w:ascii="宋体" w:hAnsi="宋体" w:cs="宋体"/>
          <w:b/>
          <w:bCs/>
          <w:kern w:val="0"/>
          <w:sz w:val="24"/>
          <w:highlight w:val="none"/>
          <w:lang w:bidi="ar"/>
        </w:rPr>
      </w:pPr>
      <w:r>
        <w:rPr>
          <w:rFonts w:hint="eastAsia" w:ascii="宋体" w:hAnsi="宋体" w:cs="宋体"/>
          <w:b/>
          <w:bCs/>
          <w:kern w:val="0"/>
          <w:sz w:val="24"/>
          <w:highlight w:val="none"/>
          <w:lang w:bidi="ar"/>
        </w:rPr>
        <w:t>项目基本情况</w:t>
      </w:r>
    </w:p>
    <w:p>
      <w:pPr>
        <w:widowControl/>
        <w:numPr>
          <w:ilvl w:val="0"/>
          <w:numId w:val="3"/>
        </w:numPr>
        <w:tabs>
          <w:tab w:val="left" w:pos="840"/>
          <w:tab w:val="left" w:pos="1080"/>
        </w:tabs>
        <w:wordWrap w:val="0"/>
        <w:topLinePunct/>
        <w:spacing w:line="360" w:lineRule="auto"/>
        <w:ind w:firstLine="220"/>
        <w:jc w:val="left"/>
        <w:rPr>
          <w:rFonts w:ascii="宋体" w:hAnsi="宋体" w:cs="宋体"/>
          <w:sz w:val="24"/>
          <w:highlight w:val="none"/>
        </w:rPr>
      </w:pPr>
      <w:r>
        <w:rPr>
          <w:rFonts w:hint="eastAsia" w:ascii="宋体" w:hAnsi="宋体" w:cs="宋体"/>
          <w:sz w:val="24"/>
          <w:highlight w:val="none"/>
        </w:rPr>
        <w:t>项目编号：1210-2441YDZB7762</w:t>
      </w:r>
    </w:p>
    <w:p>
      <w:pPr>
        <w:widowControl/>
        <w:numPr>
          <w:ilvl w:val="0"/>
          <w:numId w:val="3"/>
        </w:numPr>
        <w:tabs>
          <w:tab w:val="left" w:pos="840"/>
          <w:tab w:val="left" w:pos="1080"/>
        </w:tabs>
        <w:wordWrap w:val="0"/>
        <w:topLinePunct/>
        <w:spacing w:line="360" w:lineRule="auto"/>
        <w:ind w:firstLine="220"/>
        <w:jc w:val="left"/>
        <w:rPr>
          <w:rFonts w:ascii="宋体" w:hAnsi="宋体" w:cs="宋体"/>
          <w:sz w:val="24"/>
          <w:highlight w:val="none"/>
        </w:rPr>
      </w:pPr>
      <w:r>
        <w:rPr>
          <w:rFonts w:hint="eastAsia" w:ascii="宋体" w:hAnsi="宋体" w:cs="宋体"/>
          <w:sz w:val="24"/>
          <w:highlight w:val="none"/>
        </w:rPr>
        <w:t>项目名称：农业农村部木薯种质资源保护与利用重点实验室建设项目</w:t>
      </w:r>
    </w:p>
    <w:p>
      <w:pPr>
        <w:widowControl/>
        <w:numPr>
          <w:ilvl w:val="0"/>
          <w:numId w:val="3"/>
        </w:numPr>
        <w:tabs>
          <w:tab w:val="left" w:pos="840"/>
          <w:tab w:val="left" w:pos="1080"/>
        </w:tabs>
        <w:wordWrap w:val="0"/>
        <w:topLinePunct/>
        <w:spacing w:line="360" w:lineRule="auto"/>
        <w:ind w:firstLine="220"/>
        <w:jc w:val="left"/>
        <w:rPr>
          <w:rFonts w:ascii="宋体" w:hAnsi="宋体" w:cs="宋体"/>
          <w:sz w:val="24"/>
          <w:highlight w:val="none"/>
        </w:rPr>
      </w:pPr>
      <w:r>
        <w:rPr>
          <w:rFonts w:hint="eastAsia" w:ascii="宋体" w:hAnsi="宋体" w:cs="宋体"/>
          <w:sz w:val="24"/>
          <w:highlight w:val="none"/>
        </w:rPr>
        <w:t>预算金额：人民币</w:t>
      </w:r>
      <w:r>
        <w:rPr>
          <w:rFonts w:hint="eastAsia" w:ascii="宋体" w:hAnsi="宋体" w:cs="宋体"/>
          <w:sz w:val="24"/>
          <w:highlight w:val="none"/>
          <w:lang w:val="en-US" w:eastAsia="zh-CN"/>
        </w:rPr>
        <w:t>680</w:t>
      </w:r>
      <w:r>
        <w:rPr>
          <w:rFonts w:hint="eastAsia" w:ascii="宋体" w:hAnsi="宋体" w:cs="宋体"/>
          <w:sz w:val="24"/>
          <w:highlight w:val="none"/>
        </w:rPr>
        <w:t>.00万元</w:t>
      </w:r>
    </w:p>
    <w:p>
      <w:pPr>
        <w:widowControl/>
        <w:numPr>
          <w:ilvl w:val="0"/>
          <w:numId w:val="3"/>
        </w:numPr>
        <w:tabs>
          <w:tab w:val="left" w:pos="840"/>
          <w:tab w:val="left" w:pos="1080"/>
        </w:tabs>
        <w:wordWrap w:val="0"/>
        <w:topLinePunct/>
        <w:spacing w:line="360" w:lineRule="auto"/>
        <w:ind w:firstLine="220"/>
        <w:jc w:val="left"/>
        <w:rPr>
          <w:rFonts w:ascii="宋体" w:hAnsi="宋体" w:cs="宋体"/>
          <w:sz w:val="24"/>
          <w:highlight w:val="none"/>
        </w:rPr>
      </w:pPr>
      <w:r>
        <w:rPr>
          <w:rFonts w:hint="eastAsia" w:ascii="宋体" w:hAnsi="宋体" w:cs="宋体"/>
          <w:sz w:val="24"/>
          <w:highlight w:val="none"/>
        </w:rPr>
        <w:t>最高限价：人民币</w:t>
      </w:r>
      <w:r>
        <w:rPr>
          <w:rFonts w:hint="eastAsia" w:ascii="宋体" w:hAnsi="宋体" w:cs="宋体"/>
          <w:sz w:val="24"/>
          <w:highlight w:val="none"/>
          <w:lang w:val="en-US" w:eastAsia="zh-CN"/>
        </w:rPr>
        <w:t>680</w:t>
      </w:r>
      <w:r>
        <w:rPr>
          <w:rFonts w:hint="eastAsia" w:ascii="宋体" w:hAnsi="宋体" w:cs="宋体"/>
          <w:sz w:val="24"/>
          <w:highlight w:val="none"/>
        </w:rPr>
        <w:t>.00万元</w:t>
      </w:r>
    </w:p>
    <w:p>
      <w:pPr>
        <w:widowControl/>
        <w:numPr>
          <w:ilvl w:val="0"/>
          <w:numId w:val="3"/>
        </w:numPr>
        <w:tabs>
          <w:tab w:val="left" w:pos="840"/>
          <w:tab w:val="left" w:pos="1080"/>
        </w:tabs>
        <w:wordWrap w:val="0"/>
        <w:topLinePunct/>
        <w:spacing w:line="360" w:lineRule="auto"/>
        <w:ind w:firstLine="220"/>
        <w:jc w:val="left"/>
        <w:rPr>
          <w:rFonts w:ascii="宋体" w:hAnsi="宋体" w:cs="宋体"/>
          <w:sz w:val="24"/>
          <w:highlight w:val="none"/>
        </w:rPr>
      </w:pPr>
      <w:r>
        <w:rPr>
          <w:rFonts w:hint="eastAsia" w:ascii="宋体" w:hAnsi="宋体" w:cs="宋体"/>
          <w:sz w:val="24"/>
          <w:highlight w:val="none"/>
        </w:rPr>
        <w:t>采购需求：</w:t>
      </w:r>
    </w:p>
    <w:p>
      <w:pPr>
        <w:numPr>
          <w:ilvl w:val="0"/>
          <w:numId w:val="4"/>
        </w:numPr>
        <w:adjustRightInd w:val="0"/>
        <w:snapToGrid w:val="0"/>
        <w:spacing w:line="360" w:lineRule="auto"/>
        <w:rPr>
          <w:rFonts w:ascii="宋体" w:hAnsi="宋体" w:cs="宋体"/>
          <w:sz w:val="24"/>
          <w:highlight w:val="none"/>
        </w:rPr>
      </w:pPr>
      <w:r>
        <w:rPr>
          <w:rFonts w:hint="eastAsia" w:ascii="宋体" w:hAnsi="宋体" w:cs="宋体"/>
          <w:sz w:val="24"/>
          <w:highlight w:val="none"/>
        </w:rPr>
        <w:t>项目内容：</w:t>
      </w:r>
    </w:p>
    <w:tbl>
      <w:tblPr>
        <w:tblStyle w:val="2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39"/>
        <w:gridCol w:w="2670"/>
        <w:gridCol w:w="922"/>
        <w:gridCol w:w="1029"/>
        <w:gridCol w:w="680"/>
        <w:gridCol w:w="1395"/>
        <w:gridCol w:w="1116"/>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blHeader/>
          <w:jc w:val="center"/>
        </w:trPr>
        <w:tc>
          <w:tcPr>
            <w:tcW w:w="1629" w:type="pct"/>
            <w:gridSpan w:val="2"/>
            <w:tcBorders>
              <w:left w:val="single" w:color="auto" w:sz="4" w:space="0"/>
            </w:tcBorders>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采购标的</w:t>
            </w:r>
          </w:p>
        </w:tc>
        <w:tc>
          <w:tcPr>
            <w:tcW w:w="499" w:type="pct"/>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是否核心产品</w:t>
            </w:r>
          </w:p>
        </w:tc>
        <w:tc>
          <w:tcPr>
            <w:tcW w:w="557" w:type="pct"/>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是否允许进口产品</w:t>
            </w:r>
          </w:p>
        </w:tc>
        <w:tc>
          <w:tcPr>
            <w:tcW w:w="368" w:type="pct"/>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数量</w:t>
            </w:r>
          </w:p>
        </w:tc>
        <w:tc>
          <w:tcPr>
            <w:tcW w:w="755" w:type="pct"/>
            <w:shd w:val="clear" w:color="auto" w:fill="auto"/>
            <w:vAlign w:val="center"/>
          </w:tcPr>
          <w:p>
            <w:pPr>
              <w:widowControl/>
              <w:jc w:val="center"/>
              <w:rPr>
                <w:rFonts w:ascii="宋体" w:hAnsi="宋体" w:cs="宋体"/>
                <w:b/>
                <w:bCs/>
                <w:sz w:val="22"/>
                <w:szCs w:val="22"/>
                <w:highlight w:val="none"/>
              </w:rPr>
            </w:pPr>
            <w:r>
              <w:rPr>
                <w:rFonts w:hint="eastAsia" w:ascii="宋体" w:hAnsi="宋体" w:cs="宋体"/>
                <w:b/>
                <w:bCs/>
                <w:sz w:val="22"/>
                <w:szCs w:val="22"/>
                <w:highlight w:val="none"/>
                <w:lang w:val="en-US" w:eastAsia="zh-CN"/>
              </w:rPr>
              <w:t>单价限价</w:t>
            </w:r>
            <w:r>
              <w:rPr>
                <w:rFonts w:hint="eastAsia" w:ascii="宋体" w:hAnsi="宋体" w:cs="宋体"/>
                <w:b/>
                <w:bCs/>
                <w:sz w:val="22"/>
                <w:szCs w:val="22"/>
                <w:highlight w:val="none"/>
              </w:rPr>
              <w:t>（万元）</w:t>
            </w:r>
          </w:p>
        </w:tc>
        <w:tc>
          <w:tcPr>
            <w:tcW w:w="604" w:type="pct"/>
            <w:shd w:val="clear" w:color="auto" w:fill="auto"/>
            <w:vAlign w:val="center"/>
          </w:tcPr>
          <w:p>
            <w:pPr>
              <w:widowControl/>
              <w:jc w:val="center"/>
              <w:rPr>
                <w:rFonts w:ascii="宋体" w:hAnsi="宋体" w:cs="宋体"/>
                <w:b/>
                <w:bCs/>
                <w:sz w:val="22"/>
                <w:szCs w:val="22"/>
                <w:highlight w:val="none"/>
              </w:rPr>
            </w:pPr>
            <w:r>
              <w:rPr>
                <w:rFonts w:hint="eastAsia" w:ascii="宋体" w:hAnsi="宋体" w:cs="宋体"/>
                <w:b/>
                <w:bCs/>
                <w:sz w:val="22"/>
                <w:szCs w:val="22"/>
                <w:highlight w:val="none"/>
              </w:rPr>
              <w:t>预算金额（万元）</w:t>
            </w:r>
          </w:p>
        </w:tc>
        <w:tc>
          <w:tcPr>
            <w:tcW w:w="586" w:type="pct"/>
            <w:shd w:val="clear" w:color="auto" w:fill="auto"/>
            <w:vAlign w:val="center"/>
          </w:tcPr>
          <w:p>
            <w:pPr>
              <w:widowControl/>
              <w:ind w:left="60"/>
              <w:jc w:val="center"/>
              <w:rPr>
                <w:rFonts w:ascii="宋体" w:hAnsi="宋体" w:cs="宋体"/>
                <w:b/>
                <w:bCs/>
                <w:sz w:val="22"/>
                <w:szCs w:val="22"/>
                <w:highlight w:val="none"/>
              </w:rPr>
            </w:pPr>
            <w:r>
              <w:rPr>
                <w:rFonts w:hint="eastAsia" w:ascii="宋体" w:hAnsi="宋体" w:cs="宋体"/>
                <w:b/>
                <w:bCs/>
                <w:sz w:val="22"/>
                <w:szCs w:val="22"/>
                <w:highlight w:val="none"/>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84" w:type="pct"/>
            <w:tcBorders>
              <w:left w:val="single" w:color="auto" w:sz="4" w:space="0"/>
            </w:tcBorders>
            <w:shd w:val="clear" w:color="auto" w:fill="auto"/>
            <w:vAlign w:val="center"/>
          </w:tcPr>
          <w:p>
            <w:pPr>
              <w:numPr>
                <w:ilvl w:val="0"/>
                <w:numId w:val="5"/>
              </w:numPr>
              <w:jc w:val="center"/>
              <w:rPr>
                <w:rFonts w:ascii="宋体" w:hAnsi="宋体" w:cs="宋体"/>
                <w:sz w:val="22"/>
                <w:szCs w:val="22"/>
                <w:highlight w:val="none"/>
              </w:rPr>
            </w:pPr>
          </w:p>
        </w:tc>
        <w:tc>
          <w:tcPr>
            <w:tcW w:w="1444"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全自动核酸电泳和片段回收系统</w:t>
            </w:r>
          </w:p>
        </w:tc>
        <w:tc>
          <w:tcPr>
            <w:tcW w:w="499" w:type="pct"/>
            <w:shd w:val="clear" w:color="auto" w:fill="auto"/>
            <w:vAlign w:val="center"/>
          </w:tcPr>
          <w:p>
            <w:pPr>
              <w:spacing w:line="400" w:lineRule="exact"/>
              <w:jc w:val="center"/>
              <w:rPr>
                <w:rFonts w:ascii="宋体" w:hAnsi="宋体" w:cs="宋体"/>
                <w:sz w:val="22"/>
                <w:szCs w:val="22"/>
                <w:highlight w:val="none"/>
              </w:rPr>
            </w:pPr>
          </w:p>
        </w:tc>
        <w:tc>
          <w:tcPr>
            <w:tcW w:w="557" w:type="pct"/>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45</w:t>
            </w:r>
          </w:p>
        </w:tc>
        <w:tc>
          <w:tcPr>
            <w:tcW w:w="604" w:type="pct"/>
            <w:vMerge w:val="restart"/>
            <w:shd w:val="clear" w:color="auto" w:fill="auto"/>
            <w:vAlign w:val="center"/>
          </w:tcPr>
          <w:p>
            <w:pPr>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680</w:t>
            </w:r>
          </w:p>
        </w:tc>
        <w:tc>
          <w:tcPr>
            <w:tcW w:w="586"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自合同签订之日起90个日历天内完成供货并交付验收。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7" w:hRule="atLeast"/>
          <w:jc w:val="center"/>
        </w:trPr>
        <w:tc>
          <w:tcPr>
            <w:tcW w:w="184" w:type="pct"/>
            <w:tcBorders>
              <w:left w:val="single" w:color="auto" w:sz="4" w:space="0"/>
            </w:tcBorders>
            <w:shd w:val="clear" w:color="auto" w:fill="auto"/>
            <w:vAlign w:val="center"/>
          </w:tcPr>
          <w:p>
            <w:pPr>
              <w:numPr>
                <w:ilvl w:val="0"/>
                <w:numId w:val="5"/>
              </w:numPr>
              <w:jc w:val="center"/>
              <w:rPr>
                <w:rFonts w:ascii="宋体" w:hAnsi="宋体" w:cs="宋体"/>
                <w:sz w:val="22"/>
                <w:szCs w:val="22"/>
                <w:highlight w:val="none"/>
              </w:rPr>
            </w:pPr>
          </w:p>
        </w:tc>
        <w:tc>
          <w:tcPr>
            <w:tcW w:w="1444"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原子吸收光谱仪</w:t>
            </w:r>
          </w:p>
        </w:tc>
        <w:tc>
          <w:tcPr>
            <w:tcW w:w="499" w:type="pct"/>
            <w:shd w:val="clear" w:color="auto" w:fill="auto"/>
            <w:vAlign w:val="center"/>
          </w:tcPr>
          <w:p>
            <w:pPr>
              <w:spacing w:line="400" w:lineRule="exac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是</w:t>
            </w: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75</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84" w:type="pct"/>
            <w:tcBorders>
              <w:left w:val="single" w:color="auto" w:sz="4" w:space="0"/>
            </w:tcBorders>
            <w:shd w:val="clear" w:color="auto" w:fill="auto"/>
            <w:vAlign w:val="center"/>
          </w:tcPr>
          <w:p>
            <w:pPr>
              <w:numPr>
                <w:ilvl w:val="0"/>
                <w:numId w:val="5"/>
              </w:numPr>
              <w:jc w:val="center"/>
              <w:rPr>
                <w:rFonts w:ascii="宋体" w:hAnsi="宋体" w:cs="宋体"/>
                <w:sz w:val="22"/>
                <w:szCs w:val="22"/>
                <w:highlight w:val="none"/>
              </w:rPr>
            </w:pPr>
          </w:p>
        </w:tc>
        <w:tc>
          <w:tcPr>
            <w:tcW w:w="1444"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ascii="宋体" w:hAnsi="宋体" w:cs="宋体"/>
                <w:sz w:val="22"/>
                <w:szCs w:val="22"/>
                <w:highlight w:val="none"/>
              </w:rPr>
              <w:t>质构仪</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40</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84" w:type="pct"/>
            <w:tcBorders>
              <w:left w:val="single" w:color="auto" w:sz="4" w:space="0"/>
            </w:tcBorders>
            <w:shd w:val="clear" w:color="auto" w:fill="auto"/>
            <w:vAlign w:val="center"/>
          </w:tcPr>
          <w:p>
            <w:pPr>
              <w:numPr>
                <w:ilvl w:val="0"/>
                <w:numId w:val="5"/>
              </w:numPr>
              <w:jc w:val="center"/>
              <w:rPr>
                <w:rFonts w:ascii="宋体" w:hAnsi="宋体" w:cs="宋体"/>
                <w:sz w:val="22"/>
                <w:szCs w:val="22"/>
                <w:highlight w:val="none"/>
              </w:rPr>
            </w:pPr>
          </w:p>
        </w:tc>
        <w:tc>
          <w:tcPr>
            <w:tcW w:w="1444"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ascii="宋体" w:hAnsi="宋体" w:cs="宋体"/>
                <w:sz w:val="22"/>
                <w:szCs w:val="22"/>
                <w:highlight w:val="none"/>
              </w:rPr>
              <w:t>动态数字式气味仪</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23</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4" w:type="pct"/>
            <w:tcBorders>
              <w:left w:val="single" w:color="auto" w:sz="4" w:space="0"/>
            </w:tcBorders>
            <w:shd w:val="clear" w:color="auto" w:fill="auto"/>
            <w:vAlign w:val="center"/>
          </w:tcPr>
          <w:p>
            <w:pPr>
              <w:numPr>
                <w:ilvl w:val="0"/>
                <w:numId w:val="5"/>
              </w:numPr>
              <w:jc w:val="center"/>
              <w:rPr>
                <w:rFonts w:hint="eastAsia" w:ascii="宋体" w:hAnsi="宋体" w:cs="宋体"/>
                <w:sz w:val="22"/>
                <w:szCs w:val="22"/>
                <w:highlight w:val="none"/>
                <w:lang w:eastAsia="zh-CN"/>
              </w:rPr>
            </w:pPr>
          </w:p>
        </w:tc>
        <w:tc>
          <w:tcPr>
            <w:tcW w:w="1444"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超高速冷冻离心机</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67</w:t>
            </w:r>
          </w:p>
        </w:tc>
        <w:tc>
          <w:tcPr>
            <w:tcW w:w="604" w:type="pct"/>
            <w:vMerge w:val="continue"/>
            <w:shd w:val="clear" w:color="auto" w:fill="auto"/>
            <w:vAlign w:val="center"/>
          </w:tcPr>
          <w:p>
            <w:pPr>
              <w:jc w:val="center"/>
              <w:rPr>
                <w:rFonts w:hint="default" w:ascii="宋体" w:hAnsi="宋体" w:eastAsia="宋体" w:cs="宋体"/>
                <w:sz w:val="22"/>
                <w:szCs w:val="22"/>
                <w:highlight w:val="none"/>
                <w:lang w:val="en-US" w:eastAsia="zh-CN"/>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35" w:hRule="atLeast"/>
          <w:jc w:val="center"/>
        </w:trPr>
        <w:tc>
          <w:tcPr>
            <w:tcW w:w="184" w:type="pct"/>
            <w:tcBorders>
              <w:left w:val="single" w:color="auto" w:sz="4" w:space="0"/>
            </w:tcBorders>
            <w:shd w:val="clear" w:color="auto" w:fill="auto"/>
            <w:vAlign w:val="center"/>
          </w:tcPr>
          <w:p>
            <w:pPr>
              <w:numPr>
                <w:ilvl w:val="0"/>
                <w:numId w:val="5"/>
              </w:numPr>
              <w:jc w:val="center"/>
              <w:rPr>
                <w:rFonts w:ascii="宋体" w:hAnsi="宋体" w:cs="宋体"/>
                <w:sz w:val="22"/>
                <w:szCs w:val="22"/>
                <w:highlight w:val="none"/>
              </w:rPr>
            </w:pPr>
          </w:p>
        </w:tc>
        <w:tc>
          <w:tcPr>
            <w:tcW w:w="1444"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三维立体及样带植物荧光成像系统</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75</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4" w:type="pct"/>
            <w:tcBorders>
              <w:left w:val="single" w:color="auto" w:sz="4" w:space="0"/>
            </w:tcBorders>
            <w:shd w:val="clear" w:color="auto" w:fill="auto"/>
            <w:vAlign w:val="center"/>
          </w:tcPr>
          <w:p>
            <w:pPr>
              <w:numPr>
                <w:ilvl w:val="0"/>
                <w:numId w:val="5"/>
              </w:numPr>
              <w:jc w:val="center"/>
              <w:rPr>
                <w:rFonts w:hint="eastAsia" w:ascii="宋体" w:hAnsi="宋体" w:cs="宋体"/>
                <w:sz w:val="22"/>
                <w:szCs w:val="22"/>
                <w:highlight w:val="none"/>
              </w:rPr>
            </w:pPr>
          </w:p>
        </w:tc>
        <w:tc>
          <w:tcPr>
            <w:tcW w:w="1444"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荧光定量PCR仪</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49</w:t>
            </w:r>
          </w:p>
        </w:tc>
        <w:tc>
          <w:tcPr>
            <w:tcW w:w="604" w:type="pct"/>
            <w:vMerge w:val="continue"/>
            <w:shd w:val="clear" w:color="auto" w:fill="auto"/>
            <w:vAlign w:val="center"/>
          </w:tcPr>
          <w:p>
            <w:pPr>
              <w:jc w:val="center"/>
              <w:rPr>
                <w:rFonts w:hint="default" w:ascii="宋体" w:hAnsi="宋体" w:eastAsia="宋体" w:cs="宋体"/>
                <w:sz w:val="22"/>
                <w:szCs w:val="22"/>
                <w:highlight w:val="none"/>
                <w:lang w:val="en-US" w:eastAsia="zh-CN"/>
              </w:rPr>
            </w:pPr>
          </w:p>
        </w:tc>
        <w:tc>
          <w:tcPr>
            <w:tcW w:w="58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84" w:type="pct"/>
            <w:tcBorders>
              <w:left w:val="single" w:color="auto" w:sz="4" w:space="0"/>
            </w:tcBorders>
            <w:shd w:val="clear" w:color="auto" w:fill="auto"/>
            <w:vAlign w:val="center"/>
          </w:tcPr>
          <w:p>
            <w:pPr>
              <w:numPr>
                <w:ilvl w:val="0"/>
                <w:numId w:val="5"/>
              </w:numPr>
              <w:jc w:val="center"/>
              <w:rPr>
                <w:rFonts w:hint="eastAsia" w:ascii="宋体" w:hAnsi="宋体" w:cs="宋体"/>
                <w:sz w:val="22"/>
                <w:szCs w:val="22"/>
                <w:highlight w:val="none"/>
                <w:lang w:val="en-US" w:eastAsia="zh-CN"/>
              </w:rPr>
            </w:pPr>
          </w:p>
        </w:tc>
        <w:tc>
          <w:tcPr>
            <w:tcW w:w="1444"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ascii="宋体" w:hAnsi="宋体" w:cs="宋体"/>
                <w:sz w:val="22"/>
                <w:szCs w:val="22"/>
                <w:highlight w:val="none"/>
              </w:rPr>
              <w:t>遗传分析系统</w:t>
            </w:r>
          </w:p>
        </w:tc>
        <w:tc>
          <w:tcPr>
            <w:tcW w:w="499" w:type="pct"/>
            <w:shd w:val="clear" w:color="auto" w:fill="auto"/>
            <w:vAlign w:val="center"/>
          </w:tcPr>
          <w:p>
            <w:pPr>
              <w:spacing w:line="400" w:lineRule="exac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是</w:t>
            </w:r>
          </w:p>
        </w:tc>
        <w:tc>
          <w:tcPr>
            <w:tcW w:w="557"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196</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84" w:type="pct"/>
            <w:tcBorders>
              <w:left w:val="single" w:color="auto" w:sz="4" w:space="0"/>
            </w:tcBorders>
            <w:shd w:val="clear" w:color="auto" w:fill="auto"/>
            <w:vAlign w:val="center"/>
          </w:tcPr>
          <w:p>
            <w:pPr>
              <w:numPr>
                <w:ilvl w:val="0"/>
                <w:numId w:val="5"/>
              </w:numPr>
              <w:jc w:val="center"/>
              <w:rPr>
                <w:rFonts w:hint="eastAsia" w:ascii="宋体" w:hAnsi="宋体" w:cs="宋体"/>
                <w:sz w:val="22"/>
                <w:szCs w:val="22"/>
                <w:highlight w:val="none"/>
              </w:rPr>
            </w:pPr>
          </w:p>
        </w:tc>
        <w:tc>
          <w:tcPr>
            <w:tcW w:w="1444"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ascii="宋体" w:hAnsi="宋体" w:cs="宋体"/>
                <w:sz w:val="22"/>
                <w:szCs w:val="22"/>
                <w:highlight w:val="none"/>
              </w:rPr>
              <w:t>电感耦合等离子体质谱仪</w:t>
            </w:r>
          </w:p>
        </w:tc>
        <w:tc>
          <w:tcPr>
            <w:tcW w:w="499" w:type="pct"/>
            <w:shd w:val="clear" w:color="auto" w:fill="auto"/>
            <w:vAlign w:val="center"/>
          </w:tcPr>
          <w:p>
            <w:pPr>
              <w:spacing w:line="400" w:lineRule="exac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是</w:t>
            </w:r>
          </w:p>
        </w:tc>
        <w:tc>
          <w:tcPr>
            <w:tcW w:w="557"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110</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jc w:val="center"/>
              <w:rPr>
                <w:rFonts w:ascii="宋体" w:hAnsi="宋体" w:cs="宋体"/>
                <w:sz w:val="22"/>
                <w:szCs w:val="22"/>
                <w:highlight w:val="none"/>
              </w:rPr>
            </w:pPr>
          </w:p>
        </w:tc>
      </w:tr>
    </w:tbl>
    <w:p>
      <w:pPr>
        <w:numPr>
          <w:ilvl w:val="0"/>
          <w:numId w:val="4"/>
        </w:numPr>
        <w:adjustRightInd w:val="0"/>
        <w:snapToGrid w:val="0"/>
        <w:spacing w:line="360" w:lineRule="auto"/>
        <w:rPr>
          <w:rFonts w:ascii="宋体" w:hAnsi="宋体" w:cs="宋体"/>
          <w:sz w:val="24"/>
          <w:highlight w:val="none"/>
        </w:rPr>
      </w:pPr>
      <w:r>
        <w:rPr>
          <w:rFonts w:hint="eastAsia" w:ascii="宋体" w:hAnsi="宋体" w:cs="宋体"/>
          <w:sz w:val="24"/>
          <w:highlight w:val="none"/>
        </w:rPr>
        <w:t>采购项目技术规格、参数及要求：详见招标文件第三章《用户需求书》。</w:t>
      </w:r>
    </w:p>
    <w:p>
      <w:pPr>
        <w:numPr>
          <w:ilvl w:val="0"/>
          <w:numId w:val="4"/>
        </w:numPr>
        <w:adjustRightInd w:val="0"/>
        <w:snapToGrid w:val="0"/>
        <w:spacing w:line="360" w:lineRule="auto"/>
        <w:rPr>
          <w:rFonts w:ascii="宋体" w:hAnsi="宋体" w:cs="宋体"/>
          <w:sz w:val="24"/>
          <w:highlight w:val="none"/>
        </w:rPr>
      </w:pPr>
      <w:r>
        <w:rPr>
          <w:rFonts w:hint="eastAsia" w:ascii="宋体" w:hAnsi="宋体" w:cs="宋体"/>
          <w:sz w:val="24"/>
          <w:highlight w:val="none"/>
        </w:rPr>
        <w:t>本项目标的物允许采购本国产品或不属于国家法律法规政策明确规定限制</w:t>
      </w:r>
      <w:r>
        <w:rPr>
          <w:rFonts w:hint="eastAsia" w:ascii="宋体" w:hAnsi="宋体" w:cs="宋体"/>
          <w:sz w:val="24"/>
          <w:highlight w:val="none"/>
        </w:rPr>
        <w:t>的进口产品。</w:t>
      </w:r>
    </w:p>
    <w:p>
      <w:pPr>
        <w:numPr>
          <w:ilvl w:val="0"/>
          <w:numId w:val="4"/>
        </w:numPr>
        <w:adjustRightInd w:val="0"/>
        <w:snapToGrid w:val="0"/>
        <w:spacing w:line="360" w:lineRule="auto"/>
        <w:rPr>
          <w:rFonts w:ascii="宋体" w:hAnsi="宋体" w:cs="宋体"/>
          <w:sz w:val="24"/>
          <w:highlight w:val="none"/>
        </w:rPr>
      </w:pPr>
      <w:r>
        <w:rPr>
          <w:rFonts w:hint="eastAsia" w:ascii="宋体" w:hAnsi="宋体" w:cs="宋体"/>
          <w:sz w:val="24"/>
          <w:highlight w:val="none"/>
        </w:rPr>
        <w:t>投标人须以</w:t>
      </w:r>
      <w:r>
        <w:rPr>
          <w:rFonts w:hint="eastAsia" w:ascii="宋体" w:hAnsi="宋体" w:cs="宋体"/>
          <w:sz w:val="24"/>
          <w:highlight w:val="none"/>
          <w:lang w:val="en-US" w:eastAsia="zh-CN"/>
        </w:rPr>
        <w:t>项目</w:t>
      </w:r>
      <w:r>
        <w:rPr>
          <w:rFonts w:hint="eastAsia" w:ascii="宋体" w:hAnsi="宋体" w:cs="宋体"/>
          <w:sz w:val="24"/>
          <w:highlight w:val="none"/>
        </w:rPr>
        <w:t>为单位对所有货物和服务进行整体投标，任何只对其中一部分内容进行的投标都被视为无效投标。</w:t>
      </w:r>
    </w:p>
    <w:p>
      <w:pPr>
        <w:numPr>
          <w:ilvl w:val="255"/>
          <w:numId w:val="0"/>
        </w:numPr>
        <w:adjustRightInd w:val="0"/>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合同履行期限：自合同生效之日起至合同全部权利义务履行完毕之日止</w:t>
      </w:r>
      <w:r>
        <w:rPr>
          <w:rFonts w:hint="eastAsia" w:ascii="宋体" w:hAnsi="宋体"/>
          <w:sz w:val="24"/>
          <w:highlight w:val="none"/>
        </w:rPr>
        <w:t>。</w:t>
      </w:r>
    </w:p>
    <w:p>
      <w:pPr>
        <w:numPr>
          <w:ilvl w:val="255"/>
          <w:numId w:val="0"/>
        </w:numPr>
        <w:adjustRightInd w:val="0"/>
        <w:snapToGrid w:val="0"/>
        <w:spacing w:line="360" w:lineRule="auto"/>
        <w:ind w:firstLine="720" w:firstLineChars="300"/>
        <w:rPr>
          <w:rFonts w:ascii="宋体" w:hAnsi="宋体" w:cs="宋体"/>
          <w:sz w:val="24"/>
          <w:highlight w:val="none"/>
        </w:rPr>
      </w:pPr>
      <w:r>
        <w:rPr>
          <w:rFonts w:hint="eastAsia" w:ascii="宋体" w:hAnsi="宋体" w:cs="宋体"/>
          <w:sz w:val="24"/>
          <w:highlight w:val="none"/>
        </w:rPr>
        <w:t>本项目(不接受)联合体投标。</w:t>
      </w:r>
    </w:p>
    <w:p>
      <w:pPr>
        <w:widowControl/>
        <w:numPr>
          <w:ilvl w:val="0"/>
          <w:numId w:val="2"/>
        </w:numPr>
        <w:wordWrap w:val="0"/>
        <w:topLinePunct/>
        <w:spacing w:before="120" w:beforeLines="50" w:line="360" w:lineRule="auto"/>
        <w:ind w:firstLine="0"/>
        <w:jc w:val="left"/>
        <w:textAlignment w:val="baseline"/>
        <w:rPr>
          <w:rFonts w:ascii="宋体" w:hAnsi="宋体" w:cs="宋体"/>
          <w:b/>
          <w:bCs/>
          <w:kern w:val="0"/>
          <w:sz w:val="24"/>
          <w:highlight w:val="none"/>
          <w:lang w:bidi="ar"/>
        </w:rPr>
      </w:pPr>
      <w:r>
        <w:rPr>
          <w:rFonts w:hint="eastAsia" w:ascii="宋体" w:hAnsi="宋体" w:cs="宋体"/>
          <w:b/>
          <w:bCs/>
          <w:kern w:val="0"/>
          <w:sz w:val="24"/>
          <w:highlight w:val="none"/>
          <w:lang w:bidi="ar"/>
        </w:rPr>
        <w:t>申请人的资格要求：</w:t>
      </w:r>
    </w:p>
    <w:p>
      <w:pPr>
        <w:pStyle w:val="24"/>
        <w:numPr>
          <w:ilvl w:val="0"/>
          <w:numId w:val="6"/>
        </w:numPr>
        <w:wordWrap w:val="0"/>
        <w:topLinePunct/>
        <w:spacing w:before="0" w:beforeAutospacing="0" w:after="0" w:afterAutospacing="0" w:line="360" w:lineRule="auto"/>
        <w:ind w:firstLine="220"/>
        <w:textAlignment w:val="baseline"/>
        <w:rPr>
          <w:rFonts w:ascii="宋体" w:hAnsi="宋体" w:cs="宋体"/>
          <w:sz w:val="24"/>
          <w:highlight w:val="none"/>
        </w:rPr>
      </w:pPr>
      <w:r>
        <w:rPr>
          <w:rFonts w:hint="eastAsia"/>
          <w:highlight w:val="none"/>
          <w:shd w:val="clear" w:color="auto" w:fill="FFFFFF"/>
        </w:rPr>
        <w:t>满足《中华人民共和国政府采购法》第二十二条规</w:t>
      </w:r>
      <w:r>
        <w:rPr>
          <w:rFonts w:hint="eastAsia"/>
          <w:highlight w:val="none"/>
          <w:shd w:val="clear" w:color="auto" w:fill="FFFFFF"/>
        </w:rPr>
        <w:t>定；</w:t>
      </w:r>
    </w:p>
    <w:p>
      <w:pPr>
        <w:pStyle w:val="24"/>
        <w:numPr>
          <w:ilvl w:val="0"/>
          <w:numId w:val="6"/>
        </w:numPr>
        <w:wordWrap w:val="0"/>
        <w:topLinePunct/>
        <w:spacing w:before="0" w:beforeAutospacing="0" w:after="0" w:afterAutospacing="0" w:line="360" w:lineRule="auto"/>
        <w:ind w:firstLine="220"/>
        <w:textAlignment w:val="baseline"/>
        <w:rPr>
          <w:rFonts w:ascii="宋体" w:hAnsi="宋体" w:cs="宋体"/>
          <w:sz w:val="24"/>
          <w:highlight w:val="none"/>
        </w:rPr>
      </w:pPr>
      <w:r>
        <w:rPr>
          <w:rFonts w:hint="eastAsia"/>
          <w:kern w:val="2"/>
          <w:highlight w:val="none"/>
        </w:rPr>
        <w:t>落实政府采购政策需满足的资格要求</w:t>
      </w:r>
      <w:r>
        <w:rPr>
          <w:rFonts w:hint="eastAsia"/>
          <w:highlight w:val="none"/>
          <w:shd w:val="clear" w:color="auto" w:fill="FFFFFF"/>
        </w:rPr>
        <w:t>：</w:t>
      </w:r>
      <w:r>
        <w:rPr>
          <w:rFonts w:hint="eastAsia" w:ascii="宋体" w:hAnsi="宋体" w:cs="宋体"/>
          <w:sz w:val="24"/>
          <w:highlight w:val="none"/>
        </w:rPr>
        <w:t>本</w:t>
      </w:r>
      <w:r>
        <w:rPr>
          <w:rFonts w:hint="eastAsia" w:cs="宋体"/>
          <w:sz w:val="24"/>
          <w:highlight w:val="none"/>
          <w:lang w:val="en-US" w:eastAsia="zh-CN"/>
        </w:rPr>
        <w:t>项目</w:t>
      </w:r>
      <w:r>
        <w:rPr>
          <w:rFonts w:hint="eastAsia" w:ascii="宋体" w:hAnsi="宋体" w:cs="宋体"/>
          <w:sz w:val="24"/>
          <w:highlight w:val="none"/>
        </w:rPr>
        <w:t>不属于专门面向中小企业采购的项目。</w:t>
      </w:r>
      <w:r>
        <w:rPr>
          <w:rFonts w:hint="eastAsia"/>
          <w:sz w:val="24"/>
          <w:highlight w:val="none"/>
        </w:rPr>
        <w:t>本</w:t>
      </w:r>
      <w:r>
        <w:rPr>
          <w:rFonts w:hint="eastAsia" w:cs="宋体"/>
          <w:sz w:val="24"/>
          <w:highlight w:val="none"/>
          <w:lang w:val="en-US" w:eastAsia="zh-CN"/>
        </w:rPr>
        <w:t>项目</w:t>
      </w:r>
      <w:r>
        <w:rPr>
          <w:rFonts w:hint="eastAsia"/>
          <w:sz w:val="24"/>
          <w:highlight w:val="none"/>
        </w:rPr>
        <w:t>标的物所属行业：工业。</w:t>
      </w:r>
    </w:p>
    <w:p>
      <w:pPr>
        <w:pStyle w:val="24"/>
        <w:numPr>
          <w:ilvl w:val="0"/>
          <w:numId w:val="6"/>
        </w:numPr>
        <w:wordWrap w:val="0"/>
        <w:topLinePunct/>
        <w:spacing w:before="0" w:beforeAutospacing="0" w:after="0" w:afterAutospacing="0" w:line="360" w:lineRule="auto"/>
        <w:ind w:firstLine="200"/>
        <w:textAlignment w:val="baseline"/>
        <w:rPr>
          <w:highlight w:val="none"/>
          <w:shd w:val="clear" w:color="auto" w:fill="FFFFFF"/>
        </w:rPr>
      </w:pPr>
      <w:r>
        <w:rPr>
          <w:rFonts w:hint="eastAsia"/>
          <w:highlight w:val="none"/>
          <w:shd w:val="clear" w:color="auto" w:fill="FFFFFF"/>
        </w:rPr>
        <w:t>本项目的特定资格要求：</w:t>
      </w:r>
    </w:p>
    <w:p>
      <w:pPr>
        <w:numPr>
          <w:ilvl w:val="0"/>
          <w:numId w:val="7"/>
        </w:numPr>
        <w:spacing w:line="360" w:lineRule="auto"/>
        <w:rPr>
          <w:rFonts w:ascii="宋体" w:hAnsi="宋体"/>
          <w:sz w:val="24"/>
          <w:highlight w:val="none"/>
        </w:rPr>
      </w:pPr>
      <w:r>
        <w:rPr>
          <w:rFonts w:hint="eastAsia" w:ascii="宋体" w:hAnsi="宋体"/>
          <w:sz w:val="24"/>
          <w:highlight w:val="none"/>
        </w:rPr>
        <w:t>供应商具有独立承担民事责任能力的在中华人民共和国境内注册的法人或其他组织（提供企业法人或者其他组织营业执照（或事业法人登记证</w:t>
      </w:r>
      <w:r>
        <w:rPr>
          <w:rFonts w:hint="eastAsia" w:ascii="宋体" w:hAnsi="宋体"/>
          <w:sz w:val="24"/>
          <w:highlight w:val="none"/>
        </w:rPr>
        <w:t>或身份证等相关证明）副本复印件，分支机构投标，须取得具有法人资格的总公司（总所）出具给分支机构的授权书，并提供总公司（总所）和分支机构的营业执照（执业许可证）复印件。已由总公司（总所）授权的，总公司（总所）取得的相关资质证书对分支机构有效，法律法规或者行业另有规定的除外）；</w:t>
      </w:r>
    </w:p>
    <w:p>
      <w:pPr>
        <w:numPr>
          <w:ilvl w:val="0"/>
          <w:numId w:val="7"/>
        </w:numPr>
        <w:spacing w:line="360" w:lineRule="auto"/>
        <w:rPr>
          <w:rFonts w:ascii="宋体" w:hAnsi="宋体"/>
          <w:sz w:val="24"/>
          <w:highlight w:val="none"/>
        </w:rPr>
      </w:pPr>
      <w:r>
        <w:rPr>
          <w:rFonts w:hint="eastAsia" w:ascii="宋体" w:hAnsi="宋体"/>
          <w:sz w:val="24"/>
          <w:highlight w:val="none"/>
        </w:rPr>
        <w:t>供应商必须具有良好的商业信誉和健全的财务会计制度</w:t>
      </w:r>
      <w:r>
        <w:rPr>
          <w:rFonts w:hint="eastAsia" w:ascii="宋体" w:hAnsi="宋体" w:cs="宋体"/>
          <w:sz w:val="24"/>
          <w:highlight w:val="none"/>
        </w:rPr>
        <w:t>（</w:t>
      </w:r>
      <w:r>
        <w:rPr>
          <w:rFonts w:hint="eastAsia" w:ascii="宋体" w:hAnsi="宋体"/>
          <w:sz w:val="24"/>
          <w:highlight w:val="none"/>
        </w:rPr>
        <w:t>提供书面声明</w:t>
      </w:r>
      <w:r>
        <w:rPr>
          <w:rFonts w:hint="eastAsia" w:ascii="宋体" w:hAnsi="宋体" w:cs="宋体"/>
          <w:sz w:val="24"/>
          <w:highlight w:val="none"/>
        </w:rPr>
        <w:t>）</w:t>
      </w:r>
      <w:r>
        <w:rPr>
          <w:rFonts w:hint="eastAsia" w:ascii="宋体" w:hAnsi="宋体"/>
          <w:sz w:val="24"/>
          <w:highlight w:val="none"/>
        </w:rPr>
        <w:t>；</w:t>
      </w:r>
    </w:p>
    <w:p>
      <w:pPr>
        <w:numPr>
          <w:ilvl w:val="0"/>
          <w:numId w:val="7"/>
        </w:numPr>
        <w:spacing w:line="360" w:lineRule="auto"/>
        <w:rPr>
          <w:rFonts w:ascii="宋体" w:hAnsi="宋体"/>
          <w:sz w:val="24"/>
          <w:highlight w:val="none"/>
        </w:rPr>
      </w:pPr>
      <w:r>
        <w:rPr>
          <w:rFonts w:hint="eastAsia" w:ascii="宋体" w:hAnsi="宋体"/>
          <w:sz w:val="24"/>
          <w:highlight w:val="none"/>
        </w:rPr>
        <w:t>供应商有依法缴纳税收和社会保障资金的良好记录</w:t>
      </w:r>
      <w:r>
        <w:rPr>
          <w:rFonts w:hint="eastAsia" w:ascii="宋体" w:hAnsi="宋体" w:cs="宋体"/>
          <w:sz w:val="24"/>
          <w:highlight w:val="none"/>
        </w:rPr>
        <w:t>（</w:t>
      </w:r>
      <w:r>
        <w:rPr>
          <w:rFonts w:hint="eastAsia" w:ascii="宋体" w:hAnsi="宋体"/>
          <w:sz w:val="24"/>
          <w:highlight w:val="none"/>
        </w:rPr>
        <w:t>提供书面声明</w:t>
      </w:r>
      <w:r>
        <w:rPr>
          <w:rFonts w:hint="eastAsia" w:ascii="宋体" w:hAnsi="宋体" w:cs="宋体"/>
          <w:sz w:val="24"/>
          <w:highlight w:val="none"/>
        </w:rPr>
        <w:t>）</w:t>
      </w:r>
      <w:r>
        <w:rPr>
          <w:rFonts w:hint="eastAsia" w:ascii="宋体" w:hAnsi="宋体"/>
          <w:sz w:val="24"/>
          <w:highlight w:val="none"/>
        </w:rPr>
        <w:t>；</w:t>
      </w:r>
    </w:p>
    <w:p>
      <w:pPr>
        <w:numPr>
          <w:ilvl w:val="0"/>
          <w:numId w:val="7"/>
        </w:numPr>
        <w:spacing w:line="360" w:lineRule="auto"/>
        <w:rPr>
          <w:rFonts w:ascii="宋体" w:hAnsi="宋体"/>
          <w:sz w:val="24"/>
          <w:highlight w:val="none"/>
        </w:rPr>
      </w:pPr>
      <w:r>
        <w:rPr>
          <w:rFonts w:hint="eastAsia" w:ascii="宋体" w:hAnsi="宋体"/>
          <w:sz w:val="24"/>
          <w:highlight w:val="none"/>
        </w:rPr>
        <w:t>供应商具备履行合同所必需的设备和专业技术能力（提供书面声明）；</w:t>
      </w:r>
    </w:p>
    <w:p>
      <w:pPr>
        <w:numPr>
          <w:ilvl w:val="0"/>
          <w:numId w:val="7"/>
        </w:numPr>
        <w:spacing w:line="360" w:lineRule="auto"/>
        <w:rPr>
          <w:rFonts w:ascii="宋体" w:hAnsi="宋体"/>
          <w:sz w:val="24"/>
          <w:highlight w:val="none"/>
        </w:rPr>
      </w:pPr>
      <w:r>
        <w:rPr>
          <w:rFonts w:hint="eastAsia" w:ascii="宋体" w:hAnsi="宋体"/>
          <w:sz w:val="24"/>
          <w:highlight w:val="none"/>
        </w:rPr>
        <w:t>供应商参加政府采购活动前三年内，在经营活动中没有重大违法记录（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提供书面声明）；</w:t>
      </w:r>
    </w:p>
    <w:p>
      <w:pPr>
        <w:numPr>
          <w:ilvl w:val="0"/>
          <w:numId w:val="7"/>
        </w:numPr>
        <w:spacing w:line="360" w:lineRule="auto"/>
        <w:rPr>
          <w:rFonts w:ascii="宋体" w:hAnsi="宋体"/>
          <w:sz w:val="24"/>
          <w:highlight w:val="none"/>
        </w:rPr>
      </w:pPr>
      <w:r>
        <w:rPr>
          <w:rFonts w:hint="eastAsia" w:ascii="宋体" w:hAnsi="宋体"/>
          <w:sz w:val="24"/>
          <w:highlight w:val="none"/>
        </w:rPr>
        <w:t>供应商必须符合法律、行政法规规定的其他条件（提供书面声明）；</w:t>
      </w:r>
    </w:p>
    <w:p>
      <w:pPr>
        <w:numPr>
          <w:ilvl w:val="0"/>
          <w:numId w:val="7"/>
        </w:numPr>
        <w:spacing w:line="360" w:lineRule="auto"/>
        <w:rPr>
          <w:rFonts w:ascii="宋体" w:hAnsi="宋体"/>
          <w:sz w:val="24"/>
          <w:highlight w:val="none"/>
        </w:rPr>
      </w:pPr>
      <w:r>
        <w:rPr>
          <w:rFonts w:ascii="宋体" w:hAnsi="宋体" w:cs="宋体"/>
          <w:sz w:val="24"/>
          <w:highlight w:val="none"/>
        </w:rPr>
        <w:t>供应商未被列入“中国执行信息公开网”（zxgk.court.gov.cn）“记录失信被执行人”；“信用中国”网站(www.creditchina.gov.cn)“</w:t>
      </w:r>
      <w:r>
        <w:rPr>
          <w:rFonts w:hint="eastAsia" w:ascii="宋体" w:hAnsi="宋体" w:cs="宋体"/>
          <w:sz w:val="24"/>
          <w:highlight w:val="none"/>
        </w:rPr>
        <w:t>重大税收违法失信主体、</w:t>
      </w:r>
      <w:r>
        <w:rPr>
          <w:rFonts w:ascii="宋体" w:hAnsi="宋体" w:cs="宋体"/>
          <w:sz w:val="24"/>
          <w:highlight w:val="none"/>
        </w:rPr>
        <w:t>政府采购严重违法失信行为”记录名单；不处于中国政府采购网(www.ccgp.gov.cn)“政府采购严重违法失信行为信息记录”中的禁止参加政府采购活动期间（</w:t>
      </w:r>
      <w:r>
        <w:rPr>
          <w:rFonts w:hint="eastAsia" w:ascii="宋体" w:hAnsi="宋体" w:cs="宋体"/>
          <w:sz w:val="24"/>
          <w:highlight w:val="none"/>
        </w:rPr>
        <w:t>以资格审查人员于投标截止时间当天在</w:t>
      </w:r>
      <w:r>
        <w:rPr>
          <w:rFonts w:hint="eastAsia" w:ascii="宋体" w:hAnsi="宋体" w:cs="宋体"/>
          <w:sz w:val="24"/>
          <w:highlight w:val="none"/>
          <w:lang w:eastAsia="zh-Hans"/>
        </w:rPr>
        <w:t>上述网站</w:t>
      </w:r>
      <w:r>
        <w:rPr>
          <w:rFonts w:hint="eastAsia" w:ascii="宋体" w:hAnsi="宋体" w:cs="宋体"/>
          <w:sz w:val="24"/>
          <w:highlight w:val="none"/>
        </w:rPr>
        <w:t>查询结果为准，如相关失信记录已失效，供应商需提供相关证明资料</w:t>
      </w:r>
      <w:r>
        <w:rPr>
          <w:rFonts w:hint="eastAsia" w:ascii="宋体" w:hAnsi="宋体"/>
          <w:sz w:val="24"/>
          <w:highlight w:val="none"/>
        </w:rPr>
        <w:t>。</w:t>
      </w:r>
      <w:r>
        <w:rPr>
          <w:rFonts w:ascii="宋体" w:hAnsi="宋体" w:cs="宋体"/>
          <w:sz w:val="24"/>
          <w:highlight w:val="none"/>
        </w:rPr>
        <w:t>）</w:t>
      </w:r>
      <w:r>
        <w:rPr>
          <w:rFonts w:hint="eastAsia" w:ascii="宋体" w:hAnsi="宋体"/>
          <w:sz w:val="24"/>
          <w:highlight w:val="none"/>
        </w:rPr>
        <w:t>；</w:t>
      </w:r>
    </w:p>
    <w:p>
      <w:pPr>
        <w:numPr>
          <w:ilvl w:val="0"/>
          <w:numId w:val="7"/>
        </w:numPr>
        <w:spacing w:line="360" w:lineRule="auto"/>
        <w:rPr>
          <w:rFonts w:ascii="宋体" w:hAnsi="宋体"/>
          <w:sz w:val="24"/>
          <w:highlight w:val="none"/>
        </w:rPr>
      </w:pPr>
      <w:r>
        <w:rPr>
          <w:rFonts w:hint="eastAsia" w:ascii="宋体" w:hAnsi="宋体"/>
          <w:sz w:val="24"/>
          <w:highlight w:val="none"/>
        </w:rPr>
        <w:t>单位负责人为同一人或者存在直接控股、管理关系的不同供应商，不得同时参加本采购项目投标（提供书面声明）；</w:t>
      </w:r>
    </w:p>
    <w:p>
      <w:pPr>
        <w:numPr>
          <w:ilvl w:val="0"/>
          <w:numId w:val="7"/>
        </w:numPr>
        <w:spacing w:line="360" w:lineRule="auto"/>
        <w:rPr>
          <w:rFonts w:ascii="宋体" w:hAnsi="宋体"/>
          <w:sz w:val="24"/>
          <w:highlight w:val="none"/>
        </w:rPr>
      </w:pPr>
      <w:r>
        <w:rPr>
          <w:rFonts w:hint="eastAsia" w:ascii="宋体" w:hAnsi="宋体"/>
          <w:sz w:val="24"/>
          <w:highlight w:val="none"/>
        </w:rPr>
        <w:t>为本项目提供整体设计、规范编制或者项目管理、监理、检测等服务的供应商，不得再参与本项目投标（提供书面声明）；</w:t>
      </w:r>
    </w:p>
    <w:p>
      <w:pPr>
        <w:numPr>
          <w:ilvl w:val="0"/>
          <w:numId w:val="7"/>
        </w:numPr>
        <w:spacing w:line="360" w:lineRule="auto"/>
        <w:rPr>
          <w:rFonts w:ascii="宋体" w:hAnsi="宋体"/>
          <w:sz w:val="24"/>
          <w:highlight w:val="none"/>
        </w:rPr>
      </w:pPr>
      <w:r>
        <w:rPr>
          <w:rFonts w:hint="eastAsia" w:ascii="宋体" w:hAnsi="宋体" w:cs="宋体"/>
          <w:sz w:val="24"/>
          <w:highlight w:val="none"/>
        </w:rPr>
        <w:t>供应商已领购本项目招标文件</w:t>
      </w:r>
      <w:r>
        <w:rPr>
          <w:rFonts w:hint="eastAsia" w:ascii="宋体" w:hAnsi="宋体"/>
          <w:sz w:val="24"/>
          <w:highlight w:val="none"/>
        </w:rPr>
        <w:t>。</w:t>
      </w:r>
    </w:p>
    <w:p>
      <w:pPr>
        <w:widowControl/>
        <w:numPr>
          <w:ilvl w:val="0"/>
          <w:numId w:val="2"/>
        </w:numPr>
        <w:wordWrap w:val="0"/>
        <w:topLinePunct/>
        <w:spacing w:before="120" w:beforeLines="50" w:line="360" w:lineRule="auto"/>
        <w:ind w:firstLine="0"/>
        <w:jc w:val="left"/>
        <w:textAlignment w:val="baseline"/>
        <w:rPr>
          <w:rFonts w:ascii="宋体" w:hAnsi="宋体" w:cs="宋体"/>
          <w:b/>
          <w:bCs/>
          <w:color w:val="auto"/>
          <w:kern w:val="0"/>
          <w:sz w:val="24"/>
          <w:highlight w:val="none"/>
          <w:lang w:bidi="ar"/>
        </w:rPr>
      </w:pPr>
      <w:bookmarkStart w:id="39" w:name="_Toc28359004"/>
      <w:bookmarkStart w:id="40" w:name="_Toc30501"/>
      <w:bookmarkStart w:id="41" w:name="_Toc35393792"/>
      <w:bookmarkStart w:id="42" w:name="_Toc28359081"/>
      <w:bookmarkStart w:id="43" w:name="_Toc35393623"/>
      <w:r>
        <w:rPr>
          <w:rFonts w:hint="eastAsia" w:ascii="宋体" w:hAnsi="宋体" w:cs="宋体"/>
          <w:b/>
          <w:bCs/>
          <w:kern w:val="0"/>
          <w:sz w:val="24"/>
          <w:highlight w:val="none"/>
          <w:lang w:bidi="ar"/>
        </w:rPr>
        <w:t>获取招标文件</w:t>
      </w:r>
      <w:bookmarkEnd w:id="39"/>
      <w:bookmarkEnd w:id="40"/>
      <w:bookmarkEnd w:id="41"/>
      <w:bookmarkEnd w:id="42"/>
      <w:bookmarkEnd w:id="43"/>
    </w:p>
    <w:p>
      <w:pPr>
        <w:widowControl/>
        <w:numPr>
          <w:ilvl w:val="0"/>
          <w:numId w:val="8"/>
        </w:numPr>
        <w:tabs>
          <w:tab w:val="left" w:pos="709"/>
        </w:tabs>
        <w:wordWrap w:val="0"/>
        <w:spacing w:line="360" w:lineRule="auto"/>
        <w:ind w:left="0" w:firstLine="465" w:firstLineChars="194"/>
        <w:jc w:val="left"/>
        <w:textAlignment w:val="baseline"/>
        <w:rPr>
          <w:rFonts w:ascii="宋体" w:hAnsi="宋体" w:cs="宋体"/>
          <w:color w:val="auto"/>
          <w:kern w:val="0"/>
          <w:sz w:val="24"/>
          <w:highlight w:val="none"/>
        </w:rPr>
      </w:pPr>
      <w:bookmarkStart w:id="44" w:name="_Toc28359082"/>
      <w:bookmarkStart w:id="45" w:name="_Toc28359005"/>
      <w:bookmarkStart w:id="46" w:name="_Toc35393793"/>
      <w:bookmarkStart w:id="47" w:name="_Toc29052"/>
      <w:bookmarkStart w:id="48" w:name="_Toc35393624"/>
      <w:r>
        <w:rPr>
          <w:rFonts w:hint="eastAsia" w:ascii="宋体" w:hAnsi="宋体" w:cs="宋体"/>
          <w:color w:val="auto"/>
          <w:kern w:val="0"/>
          <w:sz w:val="24"/>
          <w:highlight w:val="none"/>
        </w:rPr>
        <w:t>时间：</w:t>
      </w:r>
      <w:r>
        <w:rPr>
          <w:rFonts w:ascii="宋体" w:hAnsi="宋体" w:cs="宋体"/>
          <w:color w:val="auto"/>
          <w:kern w:val="0"/>
          <w:sz w:val="24"/>
          <w:highlight w:val="none"/>
        </w:rPr>
        <w:t>202</w:t>
      </w:r>
      <w:r>
        <w:rPr>
          <w:rFonts w:hint="eastAsia" w:ascii="宋体" w:hAnsi="宋体" w:cs="宋体"/>
          <w:color w:val="auto"/>
          <w:kern w:val="0"/>
          <w:sz w:val="24"/>
          <w:highlight w:val="none"/>
        </w:rPr>
        <w:t>4年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日至</w:t>
      </w:r>
      <w:r>
        <w:rPr>
          <w:rFonts w:ascii="宋体" w:hAnsi="宋体" w:cs="宋体"/>
          <w:color w:val="auto"/>
          <w:kern w:val="0"/>
          <w:sz w:val="24"/>
          <w:highlight w:val="none"/>
        </w:rPr>
        <w:t>202</w:t>
      </w:r>
      <w:r>
        <w:rPr>
          <w:rFonts w:hint="eastAsia" w:ascii="宋体" w:hAnsi="宋体" w:cs="宋体"/>
          <w:color w:val="auto"/>
          <w:kern w:val="0"/>
          <w:sz w:val="24"/>
          <w:highlight w:val="none"/>
        </w:rPr>
        <w:t>4年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14</w:t>
      </w:r>
      <w:r>
        <w:rPr>
          <w:rFonts w:hint="eastAsia" w:ascii="宋体" w:hAnsi="宋体" w:cs="宋体"/>
          <w:color w:val="auto"/>
          <w:kern w:val="0"/>
          <w:sz w:val="24"/>
          <w:highlight w:val="none"/>
        </w:rPr>
        <w:t>日，每天上午9:00至12:00，下午14:30至17:30（北京时间，法定节假日除外）。</w:t>
      </w:r>
    </w:p>
    <w:p>
      <w:pPr>
        <w:widowControl/>
        <w:numPr>
          <w:ilvl w:val="0"/>
          <w:numId w:val="8"/>
        </w:numPr>
        <w:tabs>
          <w:tab w:val="left" w:pos="709"/>
        </w:tabs>
        <w:wordWrap w:val="0"/>
        <w:spacing w:line="360" w:lineRule="auto"/>
        <w:ind w:left="0" w:firstLine="465" w:firstLineChars="194"/>
        <w:jc w:val="left"/>
        <w:textAlignment w:val="baseline"/>
        <w:rPr>
          <w:rFonts w:ascii="宋体" w:hAnsi="宋体" w:cs="宋体"/>
          <w:color w:val="auto"/>
          <w:kern w:val="0"/>
          <w:sz w:val="24"/>
          <w:highlight w:val="none"/>
        </w:rPr>
      </w:pPr>
      <w:r>
        <w:rPr>
          <w:rFonts w:hint="eastAsia" w:ascii="宋体" w:hAnsi="宋体" w:cs="宋体"/>
          <w:color w:val="auto"/>
          <w:kern w:val="0"/>
          <w:sz w:val="24"/>
          <w:highlight w:val="none"/>
        </w:rPr>
        <w:t>地点：广州市天河北路626号保利中宇广场A座25楼</w:t>
      </w:r>
    </w:p>
    <w:p>
      <w:pPr>
        <w:widowControl/>
        <w:numPr>
          <w:ilvl w:val="0"/>
          <w:numId w:val="8"/>
        </w:numPr>
        <w:tabs>
          <w:tab w:val="left" w:pos="709"/>
        </w:tabs>
        <w:wordWrap w:val="0"/>
        <w:spacing w:line="360" w:lineRule="auto"/>
        <w:ind w:left="0" w:firstLine="465" w:firstLineChars="194"/>
        <w:jc w:val="left"/>
        <w:textAlignment w:val="baseline"/>
        <w:rPr>
          <w:rFonts w:ascii="宋体" w:hAnsi="宋体" w:cs="宋体"/>
          <w:kern w:val="0"/>
          <w:sz w:val="24"/>
          <w:highlight w:val="none"/>
        </w:rPr>
      </w:pPr>
      <w:r>
        <w:rPr>
          <w:rFonts w:hint="eastAsia" w:ascii="宋体" w:hAnsi="宋体" w:cs="宋体"/>
          <w:kern w:val="0"/>
          <w:sz w:val="24"/>
          <w:highlight w:val="none"/>
        </w:rPr>
        <w:t>方式：现场领购或线上领购</w:t>
      </w:r>
    </w:p>
    <w:p>
      <w:pPr>
        <w:widowControl/>
        <w:numPr>
          <w:ilvl w:val="0"/>
          <w:numId w:val="8"/>
        </w:numPr>
        <w:tabs>
          <w:tab w:val="left" w:pos="709"/>
        </w:tabs>
        <w:wordWrap w:val="0"/>
        <w:spacing w:line="360" w:lineRule="auto"/>
        <w:ind w:left="0" w:firstLine="465" w:firstLineChars="194"/>
        <w:jc w:val="left"/>
        <w:textAlignment w:val="baseline"/>
        <w:rPr>
          <w:rFonts w:ascii="宋体" w:hAnsi="宋体" w:cs="宋体"/>
          <w:kern w:val="0"/>
          <w:sz w:val="24"/>
          <w:highlight w:val="none"/>
        </w:rPr>
      </w:pPr>
      <w:r>
        <w:rPr>
          <w:rFonts w:hint="eastAsia" w:ascii="宋体" w:hAnsi="宋体" w:cs="宋体"/>
          <w:kern w:val="0"/>
          <w:sz w:val="24"/>
          <w:highlight w:val="none"/>
        </w:rPr>
        <w:t>售价：￥300.0元（人民币）</w:t>
      </w:r>
    </w:p>
    <w:p>
      <w:pPr>
        <w:widowControl/>
        <w:numPr>
          <w:ilvl w:val="0"/>
          <w:numId w:val="2"/>
        </w:numPr>
        <w:wordWrap w:val="0"/>
        <w:topLinePunct/>
        <w:spacing w:before="120" w:beforeLines="50" w:line="360" w:lineRule="auto"/>
        <w:ind w:firstLine="0"/>
        <w:jc w:val="left"/>
        <w:textAlignment w:val="baseline"/>
        <w:rPr>
          <w:rFonts w:ascii="宋体" w:hAnsi="宋体" w:cs="宋体"/>
          <w:b/>
          <w:bCs/>
          <w:kern w:val="0"/>
          <w:sz w:val="24"/>
          <w:highlight w:val="none"/>
          <w:lang w:bidi="ar"/>
        </w:rPr>
      </w:pPr>
      <w:r>
        <w:rPr>
          <w:rFonts w:hint="eastAsia" w:ascii="宋体" w:hAnsi="宋体" w:cs="宋体"/>
          <w:b/>
          <w:bCs/>
          <w:kern w:val="0"/>
          <w:sz w:val="24"/>
          <w:highlight w:val="none"/>
          <w:lang w:bidi="ar"/>
        </w:rPr>
        <w:t>提交投标文件</w:t>
      </w:r>
      <w:bookmarkEnd w:id="44"/>
      <w:bookmarkEnd w:id="45"/>
      <w:r>
        <w:rPr>
          <w:rFonts w:hint="eastAsia" w:ascii="宋体" w:hAnsi="宋体" w:cs="宋体"/>
          <w:b/>
          <w:bCs/>
          <w:kern w:val="0"/>
          <w:sz w:val="24"/>
          <w:highlight w:val="none"/>
          <w:lang w:bidi="ar"/>
        </w:rPr>
        <w:t>截止时间、开标时间和地点</w:t>
      </w:r>
      <w:bookmarkEnd w:id="46"/>
      <w:bookmarkEnd w:id="47"/>
      <w:bookmarkEnd w:id="48"/>
    </w:p>
    <w:p>
      <w:pPr>
        <w:numPr>
          <w:ilvl w:val="0"/>
          <w:numId w:val="9"/>
        </w:numPr>
        <w:tabs>
          <w:tab w:val="left" w:pos="0"/>
        </w:tabs>
        <w:adjustRightInd w:val="0"/>
        <w:snapToGrid w:val="0"/>
        <w:spacing w:line="360" w:lineRule="auto"/>
        <w:rPr>
          <w:rFonts w:ascii="宋体" w:hAnsi="宋体" w:cs="宋体"/>
          <w:sz w:val="24"/>
          <w:highlight w:val="none"/>
        </w:rPr>
      </w:pPr>
      <w:r>
        <w:rPr>
          <w:rFonts w:hint="eastAsia" w:ascii="宋体" w:hAnsi="宋体" w:cs="宋体"/>
          <w:kern w:val="0"/>
          <w:sz w:val="24"/>
          <w:highlight w:val="none"/>
        </w:rPr>
        <w:t>提交投标文件截止时间：</w:t>
      </w:r>
      <w:r>
        <w:rPr>
          <w:rFonts w:ascii="宋体" w:hAnsi="宋体" w:cs="宋体"/>
          <w:color w:val="auto"/>
          <w:kern w:val="0"/>
          <w:sz w:val="24"/>
          <w:highlight w:val="none"/>
        </w:rPr>
        <w:t>202</w:t>
      </w:r>
      <w:r>
        <w:rPr>
          <w:rFonts w:hint="eastAsia" w:ascii="宋体" w:hAnsi="宋体" w:cs="宋体"/>
          <w:color w:val="auto"/>
          <w:kern w:val="0"/>
          <w:sz w:val="24"/>
          <w:highlight w:val="none"/>
        </w:rPr>
        <w:t>4年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sz w:val="24"/>
          <w:highlight w:val="none"/>
        </w:rPr>
        <w:t>（北京时间）（投标文件现场递交开始时间：</w:t>
      </w:r>
      <w:r>
        <w:rPr>
          <w:rFonts w:ascii="宋体" w:hAnsi="宋体" w:cs="宋体"/>
          <w:color w:val="auto"/>
          <w:kern w:val="0"/>
          <w:sz w:val="24"/>
          <w:highlight w:val="none"/>
        </w:rPr>
        <w:t>202</w:t>
      </w:r>
      <w:r>
        <w:rPr>
          <w:rFonts w:hint="eastAsia" w:ascii="宋体" w:hAnsi="宋体" w:cs="宋体"/>
          <w:color w:val="auto"/>
          <w:kern w:val="0"/>
          <w:sz w:val="24"/>
          <w:highlight w:val="none"/>
        </w:rPr>
        <w:t>4年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00</w:t>
      </w:r>
      <w:r>
        <w:rPr>
          <w:rFonts w:hint="eastAsia" w:ascii="宋体" w:hAnsi="宋体" w:cs="宋体"/>
          <w:color w:val="auto"/>
          <w:sz w:val="24"/>
          <w:highlight w:val="none"/>
        </w:rPr>
        <w:t>分</w:t>
      </w:r>
      <w:r>
        <w:rPr>
          <w:rFonts w:hint="eastAsia" w:ascii="宋体" w:hAnsi="宋体" w:cs="宋体"/>
          <w:sz w:val="24"/>
          <w:highlight w:val="none"/>
        </w:rPr>
        <w:t>）</w:t>
      </w:r>
    </w:p>
    <w:p>
      <w:pPr>
        <w:numPr>
          <w:ilvl w:val="0"/>
          <w:numId w:val="9"/>
        </w:numPr>
        <w:tabs>
          <w:tab w:val="left" w:pos="0"/>
        </w:tabs>
        <w:adjustRightInd w:val="0"/>
        <w:snapToGrid w:val="0"/>
        <w:spacing w:line="360" w:lineRule="auto"/>
        <w:rPr>
          <w:rFonts w:ascii="宋体" w:hAnsi="宋体" w:cs="宋体"/>
          <w:bCs/>
          <w:sz w:val="24"/>
          <w:highlight w:val="none"/>
        </w:rPr>
      </w:pPr>
      <w:r>
        <w:rPr>
          <w:rFonts w:hint="eastAsia" w:ascii="宋体" w:hAnsi="宋体" w:cs="宋体"/>
          <w:bCs/>
          <w:sz w:val="24"/>
          <w:highlight w:val="none"/>
        </w:rPr>
        <w:t>开标时间：</w:t>
      </w:r>
      <w:r>
        <w:rPr>
          <w:rFonts w:ascii="宋体" w:hAnsi="宋体" w:cs="宋体"/>
          <w:color w:val="auto"/>
          <w:kern w:val="0"/>
          <w:sz w:val="24"/>
          <w:highlight w:val="none"/>
        </w:rPr>
        <w:t>202</w:t>
      </w:r>
      <w:r>
        <w:rPr>
          <w:rFonts w:hint="eastAsia" w:ascii="宋体" w:hAnsi="宋体" w:cs="宋体"/>
          <w:color w:val="auto"/>
          <w:kern w:val="0"/>
          <w:sz w:val="24"/>
          <w:highlight w:val="none"/>
        </w:rPr>
        <w:t>4年</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28</w:t>
      </w:r>
      <w:r>
        <w:rPr>
          <w:rFonts w:hint="eastAsia" w:ascii="宋体" w:hAnsi="宋体" w:cs="宋体"/>
          <w:color w:val="auto"/>
          <w:kern w:val="0"/>
          <w:sz w:val="24"/>
          <w:highlight w:val="none"/>
        </w:rPr>
        <w:t>日</w:t>
      </w:r>
      <w:r>
        <w:rPr>
          <w:rFonts w:hint="eastAsia" w:ascii="宋体" w:hAnsi="宋体" w:cs="宋体"/>
          <w:color w:val="auto"/>
          <w:kern w:val="0"/>
          <w:sz w:val="24"/>
          <w:highlight w:val="none"/>
          <w:lang w:val="en-US" w:eastAsia="zh-CN"/>
        </w:rPr>
        <w:t>9</w:t>
      </w:r>
      <w:r>
        <w:rPr>
          <w:rFonts w:hint="eastAsia" w:ascii="宋体" w:hAnsi="宋体" w:cs="宋体"/>
          <w:color w:val="auto"/>
          <w:sz w:val="24"/>
          <w:highlight w:val="none"/>
        </w:rPr>
        <w:t>点</w:t>
      </w:r>
      <w:r>
        <w:rPr>
          <w:rFonts w:hint="eastAsia" w:ascii="宋体" w:hAnsi="宋体" w:cs="宋体"/>
          <w:color w:val="auto"/>
          <w:sz w:val="24"/>
          <w:highlight w:val="none"/>
          <w:lang w:val="en-US" w:eastAsia="zh-CN"/>
        </w:rPr>
        <w:t>30</w:t>
      </w:r>
      <w:r>
        <w:rPr>
          <w:rFonts w:hint="eastAsia" w:ascii="宋体" w:hAnsi="宋体" w:cs="宋体"/>
          <w:color w:val="auto"/>
          <w:sz w:val="24"/>
          <w:highlight w:val="none"/>
        </w:rPr>
        <w:t>分</w:t>
      </w:r>
      <w:r>
        <w:rPr>
          <w:rFonts w:hint="eastAsia" w:ascii="宋体" w:hAnsi="宋体" w:cs="宋体"/>
          <w:bCs/>
          <w:sz w:val="24"/>
          <w:highlight w:val="none"/>
        </w:rPr>
        <w:t>（北京时间）</w:t>
      </w:r>
    </w:p>
    <w:p>
      <w:pPr>
        <w:numPr>
          <w:ilvl w:val="0"/>
          <w:numId w:val="9"/>
        </w:numPr>
        <w:tabs>
          <w:tab w:val="left" w:pos="0"/>
        </w:tabs>
        <w:adjustRightInd w:val="0"/>
        <w:snapToGrid w:val="0"/>
        <w:spacing w:line="360" w:lineRule="auto"/>
        <w:rPr>
          <w:rFonts w:ascii="宋体" w:hAnsi="宋体" w:cs="宋体"/>
          <w:bCs/>
          <w:sz w:val="24"/>
          <w:highlight w:val="none"/>
        </w:rPr>
      </w:pPr>
      <w:r>
        <w:rPr>
          <w:rFonts w:hint="eastAsia" w:ascii="宋体" w:hAnsi="宋体" w:cs="宋体"/>
          <w:sz w:val="24"/>
          <w:highlight w:val="none"/>
        </w:rPr>
        <w:t>地点：广州市天河北路626号保利中宇广场A座25楼</w:t>
      </w:r>
    </w:p>
    <w:p>
      <w:pPr>
        <w:widowControl/>
        <w:numPr>
          <w:ilvl w:val="0"/>
          <w:numId w:val="2"/>
        </w:numPr>
        <w:wordWrap w:val="0"/>
        <w:topLinePunct/>
        <w:spacing w:before="120" w:beforeLines="50" w:line="360" w:lineRule="auto"/>
        <w:ind w:firstLine="0"/>
        <w:jc w:val="left"/>
        <w:textAlignment w:val="baseline"/>
        <w:rPr>
          <w:rFonts w:ascii="宋体" w:hAnsi="宋体" w:cs="宋体"/>
          <w:b/>
          <w:bCs/>
          <w:kern w:val="0"/>
          <w:sz w:val="24"/>
          <w:highlight w:val="none"/>
          <w:lang w:bidi="ar"/>
        </w:rPr>
      </w:pPr>
      <w:bookmarkStart w:id="49" w:name="_Toc28359084"/>
      <w:bookmarkStart w:id="50" w:name="_Toc28008"/>
      <w:bookmarkStart w:id="51" w:name="_Toc28359007"/>
      <w:bookmarkStart w:id="52" w:name="_Toc35393794"/>
      <w:bookmarkStart w:id="53" w:name="_Toc35393625"/>
      <w:r>
        <w:rPr>
          <w:rFonts w:hint="eastAsia" w:ascii="宋体" w:hAnsi="宋体" w:cs="宋体"/>
          <w:b/>
          <w:bCs/>
          <w:kern w:val="0"/>
          <w:sz w:val="24"/>
          <w:highlight w:val="none"/>
          <w:lang w:bidi="ar"/>
        </w:rPr>
        <w:t>公告期限</w:t>
      </w:r>
      <w:bookmarkEnd w:id="49"/>
      <w:bookmarkEnd w:id="50"/>
      <w:bookmarkEnd w:id="51"/>
      <w:bookmarkEnd w:id="52"/>
      <w:bookmarkEnd w:id="53"/>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自本公告发布之日起5个工作日。</w:t>
      </w:r>
    </w:p>
    <w:p>
      <w:pPr>
        <w:widowControl/>
        <w:numPr>
          <w:ilvl w:val="0"/>
          <w:numId w:val="2"/>
        </w:numPr>
        <w:wordWrap w:val="0"/>
        <w:topLinePunct/>
        <w:spacing w:before="120" w:beforeLines="50" w:line="360" w:lineRule="auto"/>
        <w:ind w:firstLine="0"/>
        <w:jc w:val="left"/>
        <w:textAlignment w:val="baseline"/>
        <w:rPr>
          <w:rFonts w:ascii="宋体" w:hAnsi="宋体" w:cs="宋体"/>
          <w:b/>
          <w:bCs/>
          <w:kern w:val="0"/>
          <w:sz w:val="24"/>
          <w:highlight w:val="none"/>
          <w:lang w:bidi="ar"/>
        </w:rPr>
      </w:pPr>
      <w:bookmarkStart w:id="54" w:name="_Toc35393795"/>
      <w:bookmarkStart w:id="55" w:name="_Toc35393626"/>
      <w:bookmarkStart w:id="56" w:name="_Toc17596"/>
      <w:r>
        <w:rPr>
          <w:rFonts w:hint="eastAsia" w:ascii="宋体" w:hAnsi="宋体" w:cs="宋体"/>
          <w:b/>
          <w:bCs/>
          <w:kern w:val="0"/>
          <w:sz w:val="24"/>
          <w:highlight w:val="none"/>
          <w:lang w:bidi="ar"/>
        </w:rPr>
        <w:t>其他补充事宜</w:t>
      </w:r>
      <w:bookmarkEnd w:id="54"/>
      <w:bookmarkEnd w:id="55"/>
      <w:bookmarkEnd w:id="56"/>
    </w:p>
    <w:p>
      <w:pPr>
        <w:numPr>
          <w:ilvl w:val="0"/>
          <w:numId w:val="10"/>
        </w:numPr>
        <w:tabs>
          <w:tab w:val="left" w:pos="0"/>
        </w:tabs>
        <w:adjustRightInd w:val="0"/>
        <w:snapToGrid w:val="0"/>
        <w:spacing w:line="360" w:lineRule="auto"/>
        <w:rPr>
          <w:rFonts w:ascii="宋体" w:hAnsi="宋体" w:cs="宋体"/>
          <w:sz w:val="24"/>
          <w:highlight w:val="none"/>
        </w:rPr>
      </w:pPr>
      <w:r>
        <w:rPr>
          <w:rFonts w:hint="eastAsia" w:ascii="宋体" w:hAnsi="宋体" w:cs="宋体"/>
          <w:sz w:val="24"/>
          <w:highlight w:val="none"/>
        </w:rPr>
        <w:t>现场领购招标文件者，投标人凭《投标登记表》（登陆广东有德招标采购有限公司http://www.youde.net网站下载），填写相关信息并加盖公司公章至采购代理机构处领购招标文件。</w:t>
      </w:r>
    </w:p>
    <w:p>
      <w:pPr>
        <w:numPr>
          <w:ilvl w:val="0"/>
          <w:numId w:val="10"/>
        </w:numPr>
        <w:tabs>
          <w:tab w:val="left" w:pos="0"/>
        </w:tabs>
        <w:adjustRightInd w:val="0"/>
        <w:snapToGrid w:val="0"/>
        <w:spacing w:line="360" w:lineRule="auto"/>
        <w:rPr>
          <w:rFonts w:ascii="宋体" w:hAnsi="宋体" w:cs="宋体"/>
          <w:sz w:val="24"/>
          <w:highlight w:val="none"/>
        </w:rPr>
      </w:pPr>
      <w:r>
        <w:rPr>
          <w:rFonts w:hint="eastAsia" w:ascii="宋体" w:hAnsi="宋体" w:cs="宋体"/>
          <w:sz w:val="24"/>
          <w:highlight w:val="none"/>
        </w:rPr>
        <w:t>线上领购招标文件者，将《投标登记表》填写相关信息并加盖供应商公章后，扫描发至采购代理机构邮箱（E－mail：youde_zb@163.com，电话：020-88260060），经采购代理机构工作人员确认后办理相关手续。</w:t>
      </w:r>
    </w:p>
    <w:p>
      <w:pPr>
        <w:numPr>
          <w:ilvl w:val="0"/>
          <w:numId w:val="10"/>
        </w:numPr>
        <w:tabs>
          <w:tab w:val="left" w:pos="0"/>
        </w:tabs>
        <w:adjustRightInd w:val="0"/>
        <w:snapToGrid w:val="0"/>
        <w:spacing w:line="360" w:lineRule="auto"/>
        <w:rPr>
          <w:rFonts w:ascii="宋体" w:hAnsi="宋体" w:cs="宋体"/>
          <w:sz w:val="24"/>
          <w:highlight w:val="none"/>
        </w:rPr>
      </w:pPr>
      <w:r>
        <w:rPr>
          <w:rFonts w:hint="eastAsia" w:ascii="宋体" w:hAnsi="宋体" w:cs="宋体"/>
          <w:sz w:val="24"/>
          <w:highlight w:val="none"/>
        </w:rPr>
        <w:t>线上领购招标文件开户银行名称及账号（采购代理机构只接受以投标人名义的汇款，不接受个人的汇款及其它款项）：</w:t>
      </w:r>
    </w:p>
    <w:p>
      <w:pPr>
        <w:numPr>
          <w:ilvl w:val="0"/>
          <w:numId w:val="11"/>
        </w:numPr>
        <w:tabs>
          <w:tab w:val="left" w:pos="0"/>
        </w:tabs>
        <w:adjustRightInd w:val="0"/>
        <w:snapToGrid w:val="0"/>
        <w:spacing w:line="360" w:lineRule="auto"/>
        <w:rPr>
          <w:rFonts w:ascii="宋体" w:hAnsi="宋体" w:cs="宋体"/>
          <w:bCs/>
          <w:sz w:val="24"/>
          <w:highlight w:val="none"/>
        </w:rPr>
      </w:pPr>
      <w:r>
        <w:rPr>
          <w:rFonts w:hint="eastAsia" w:ascii="宋体" w:hAnsi="宋体" w:cs="宋体"/>
          <w:bCs/>
          <w:sz w:val="24"/>
          <w:highlight w:val="none"/>
        </w:rPr>
        <w:t>开户银行名称：中国光大银行广州分行</w:t>
      </w:r>
    </w:p>
    <w:p>
      <w:pPr>
        <w:numPr>
          <w:ilvl w:val="0"/>
          <w:numId w:val="11"/>
        </w:numPr>
        <w:tabs>
          <w:tab w:val="left" w:pos="0"/>
        </w:tabs>
        <w:adjustRightInd w:val="0"/>
        <w:snapToGrid w:val="0"/>
        <w:spacing w:line="360" w:lineRule="auto"/>
        <w:rPr>
          <w:rFonts w:ascii="宋体" w:hAnsi="宋体" w:cs="宋体"/>
          <w:bCs/>
          <w:sz w:val="24"/>
          <w:highlight w:val="none"/>
        </w:rPr>
      </w:pPr>
      <w:r>
        <w:rPr>
          <w:rFonts w:hint="eastAsia" w:ascii="宋体" w:hAnsi="宋体" w:cs="宋体"/>
          <w:bCs/>
          <w:sz w:val="24"/>
          <w:highlight w:val="none"/>
        </w:rPr>
        <w:t>单位名称：广东有德招标采购有限公司</w:t>
      </w:r>
    </w:p>
    <w:p>
      <w:pPr>
        <w:numPr>
          <w:ilvl w:val="0"/>
          <w:numId w:val="11"/>
        </w:numPr>
        <w:tabs>
          <w:tab w:val="left" w:pos="0"/>
        </w:tabs>
        <w:adjustRightInd w:val="0"/>
        <w:snapToGrid w:val="0"/>
        <w:spacing w:line="360" w:lineRule="auto"/>
        <w:rPr>
          <w:rFonts w:ascii="宋体" w:hAnsi="宋体" w:cs="宋体"/>
          <w:sz w:val="24"/>
          <w:highlight w:val="none"/>
        </w:rPr>
      </w:pPr>
      <w:r>
        <w:rPr>
          <w:rFonts w:hint="eastAsia" w:ascii="宋体" w:hAnsi="宋体" w:cs="宋体"/>
          <w:bCs/>
          <w:sz w:val="24"/>
          <w:highlight w:val="none"/>
        </w:rPr>
        <w:t>账号</w:t>
      </w:r>
      <w:r>
        <w:rPr>
          <w:rFonts w:hint="eastAsia" w:ascii="宋体" w:hAnsi="宋体" w:cs="宋体"/>
          <w:sz w:val="24"/>
          <w:highlight w:val="none"/>
        </w:rPr>
        <w:t>：38610188000123567</w:t>
      </w:r>
    </w:p>
    <w:p>
      <w:pPr>
        <w:numPr>
          <w:ilvl w:val="0"/>
          <w:numId w:val="10"/>
        </w:numPr>
        <w:tabs>
          <w:tab w:val="left" w:pos="0"/>
        </w:tabs>
        <w:adjustRightInd w:val="0"/>
        <w:snapToGrid w:val="0"/>
        <w:spacing w:line="360" w:lineRule="auto"/>
        <w:rPr>
          <w:rFonts w:ascii="宋体" w:hAnsi="宋体" w:cs="宋体"/>
          <w:bCs/>
          <w:kern w:val="0"/>
          <w:sz w:val="24"/>
          <w:highlight w:val="none"/>
        </w:rPr>
      </w:pPr>
      <w:r>
        <w:rPr>
          <w:rFonts w:hint="eastAsia" w:ascii="宋体" w:hAnsi="宋体" w:cs="宋体"/>
          <w:bCs/>
          <w:kern w:val="0"/>
          <w:sz w:val="24"/>
          <w:highlight w:val="none"/>
        </w:rPr>
        <w:t>需要落实的政府采购政策：《政府采购促进中小企业发展管理办法》（财库﹝2020﹞46 号））、《关于政府采购支持监狱企业发展有关问题的通知》(财库〔2014〕68号)、《关于促进残疾人就业政府采购政策的通知》（财库〔2017〕141号)、《节能产品政府采购实施意见》的通知（财库〔2004〕185号）、《关于调整优化节能产品、环境标志产品政府采购执行机制的通知》（财库〔2019〕9号）等。</w:t>
      </w:r>
    </w:p>
    <w:p>
      <w:pPr>
        <w:widowControl/>
        <w:numPr>
          <w:ilvl w:val="0"/>
          <w:numId w:val="2"/>
        </w:numPr>
        <w:wordWrap w:val="0"/>
        <w:topLinePunct/>
        <w:spacing w:before="120" w:beforeLines="50" w:line="360" w:lineRule="auto"/>
        <w:ind w:firstLine="0"/>
        <w:jc w:val="left"/>
        <w:textAlignment w:val="baseline"/>
        <w:rPr>
          <w:rFonts w:ascii="宋体" w:hAnsi="宋体" w:cs="宋体"/>
          <w:b/>
          <w:bCs/>
          <w:kern w:val="0"/>
          <w:sz w:val="24"/>
          <w:highlight w:val="none"/>
          <w:lang w:bidi="ar"/>
        </w:rPr>
      </w:pPr>
      <w:r>
        <w:rPr>
          <w:rFonts w:hint="eastAsia" w:ascii="宋体" w:hAnsi="宋体" w:cs="宋体"/>
          <w:b/>
          <w:bCs/>
          <w:kern w:val="0"/>
          <w:sz w:val="24"/>
          <w:highlight w:val="none"/>
          <w:lang w:bidi="ar"/>
        </w:rPr>
        <w:t>对本次招标提出询问，请按以下方式联系</w:t>
      </w:r>
    </w:p>
    <w:p>
      <w:pPr>
        <w:widowControl/>
        <w:numPr>
          <w:ilvl w:val="0"/>
          <w:numId w:val="12"/>
        </w:numPr>
        <w:wordWrap w:val="0"/>
        <w:spacing w:line="360" w:lineRule="auto"/>
        <w:jc w:val="left"/>
        <w:textAlignment w:val="baseline"/>
        <w:rPr>
          <w:rFonts w:ascii="宋体" w:hAnsi="宋体" w:cs="宋体"/>
          <w:kern w:val="0"/>
          <w:sz w:val="24"/>
          <w:highlight w:val="none"/>
        </w:rPr>
      </w:pPr>
      <w:r>
        <w:rPr>
          <w:rFonts w:hint="eastAsia" w:ascii="宋体" w:hAnsi="宋体" w:cs="宋体"/>
          <w:kern w:val="0"/>
          <w:sz w:val="24"/>
          <w:highlight w:val="none"/>
        </w:rPr>
        <w:t>采购人信息</w:t>
      </w:r>
    </w:p>
    <w:p>
      <w:pPr>
        <w:widowControl/>
        <w:wordWrap w:val="0"/>
        <w:spacing w:line="360" w:lineRule="auto"/>
        <w:ind w:left="798" w:leftChars="380"/>
        <w:textAlignment w:val="baseline"/>
        <w:rPr>
          <w:rFonts w:ascii="宋体" w:hAnsi="宋体" w:cs="宋体"/>
          <w:kern w:val="0"/>
          <w:sz w:val="24"/>
          <w:highlight w:val="none"/>
        </w:rPr>
      </w:pPr>
      <w:r>
        <w:rPr>
          <w:rFonts w:hint="eastAsia" w:ascii="宋体" w:hAnsi="宋体" w:cs="宋体"/>
          <w:kern w:val="0"/>
          <w:sz w:val="24"/>
          <w:highlight w:val="none"/>
        </w:rPr>
        <w:t>名</w:t>
      </w:r>
      <w:r>
        <w:rPr>
          <w:rFonts w:ascii="宋体" w:hAnsi="宋体" w:cs="宋体"/>
          <w:kern w:val="0"/>
          <w:sz w:val="24"/>
          <w:highlight w:val="none"/>
        </w:rPr>
        <w:t xml:space="preserve"> </w:t>
      </w:r>
      <w:r>
        <w:rPr>
          <w:rFonts w:hint="eastAsia" w:ascii="宋体" w:hAnsi="宋体" w:cs="宋体"/>
          <w:kern w:val="0"/>
          <w:sz w:val="24"/>
          <w:highlight w:val="none"/>
        </w:rPr>
        <w:t>称：中国热带农业科学院热带作物品种资源研究所</w:t>
      </w:r>
    </w:p>
    <w:p>
      <w:pPr>
        <w:spacing w:line="360" w:lineRule="auto"/>
        <w:ind w:firstLine="840" w:firstLineChars="350"/>
        <w:rPr>
          <w:rFonts w:ascii="宋体" w:hAnsi="宋体"/>
          <w:sz w:val="24"/>
          <w:highlight w:val="none"/>
        </w:rPr>
      </w:pPr>
      <w:r>
        <w:rPr>
          <w:rFonts w:hint="eastAsia" w:ascii="宋体" w:hAnsi="宋体"/>
          <w:sz w:val="24"/>
          <w:highlight w:val="none"/>
        </w:rPr>
        <w:t>地址：海南省海口市龙华区学院路4号</w:t>
      </w:r>
    </w:p>
    <w:p>
      <w:pPr>
        <w:spacing w:line="360" w:lineRule="auto"/>
        <w:ind w:firstLine="840" w:firstLineChars="350"/>
        <w:rPr>
          <w:rFonts w:hint="default" w:ascii="宋体" w:hAnsi="宋体" w:eastAsia="宋体"/>
          <w:sz w:val="24"/>
          <w:highlight w:val="none"/>
          <w:lang w:val="en-US" w:eastAsia="zh-CN"/>
        </w:rPr>
      </w:pPr>
      <w:r>
        <w:rPr>
          <w:rFonts w:hint="eastAsia" w:ascii="宋体" w:hAnsi="宋体"/>
          <w:sz w:val="24"/>
          <w:highlight w:val="none"/>
        </w:rPr>
        <w:t>联系方式：</w:t>
      </w:r>
      <w:r>
        <w:rPr>
          <w:rFonts w:hint="eastAsia" w:ascii="宋体" w:hAnsi="宋体"/>
          <w:sz w:val="24"/>
          <w:highlight w:val="none"/>
          <w:lang w:val="en-US" w:eastAsia="zh-CN"/>
        </w:rPr>
        <w:t>田小姐，0898-66961371</w:t>
      </w:r>
    </w:p>
    <w:p>
      <w:pPr>
        <w:widowControl/>
        <w:numPr>
          <w:ilvl w:val="0"/>
          <w:numId w:val="12"/>
        </w:numPr>
        <w:wordWrap w:val="0"/>
        <w:spacing w:line="360" w:lineRule="auto"/>
        <w:textAlignment w:val="baseline"/>
        <w:rPr>
          <w:rFonts w:ascii="宋体" w:hAnsi="宋体" w:cs="宋体"/>
          <w:kern w:val="0"/>
          <w:sz w:val="24"/>
          <w:highlight w:val="none"/>
        </w:rPr>
      </w:pPr>
      <w:r>
        <w:rPr>
          <w:rFonts w:hint="eastAsia" w:ascii="宋体" w:hAnsi="宋体" w:cs="宋体"/>
          <w:kern w:val="0"/>
          <w:sz w:val="24"/>
          <w:highlight w:val="none"/>
        </w:rPr>
        <w:t>采购代理机构信息</w:t>
      </w:r>
    </w:p>
    <w:p>
      <w:pPr>
        <w:widowControl/>
        <w:wordWrap w:val="0"/>
        <w:spacing w:line="360" w:lineRule="auto"/>
        <w:ind w:left="798" w:leftChars="380"/>
        <w:textAlignment w:val="baseline"/>
        <w:rPr>
          <w:rFonts w:ascii="宋体" w:hAnsi="宋体" w:cs="宋体"/>
          <w:kern w:val="0"/>
          <w:sz w:val="24"/>
          <w:highlight w:val="none"/>
        </w:rPr>
      </w:pPr>
      <w:r>
        <w:rPr>
          <w:rFonts w:hint="eastAsia" w:ascii="宋体" w:hAnsi="宋体" w:cs="宋体"/>
          <w:kern w:val="0"/>
          <w:sz w:val="24"/>
          <w:highlight w:val="none"/>
        </w:rPr>
        <w:t>名 称：广东有德招标采购有限公司</w:t>
      </w:r>
    </w:p>
    <w:p>
      <w:pPr>
        <w:widowControl/>
        <w:wordWrap w:val="0"/>
        <w:spacing w:line="360" w:lineRule="auto"/>
        <w:ind w:left="798" w:leftChars="380"/>
        <w:textAlignment w:val="baseline"/>
        <w:rPr>
          <w:rFonts w:ascii="宋体" w:hAnsi="宋体" w:cs="宋体"/>
          <w:kern w:val="0"/>
          <w:sz w:val="24"/>
          <w:highlight w:val="none"/>
        </w:rPr>
      </w:pPr>
      <w:r>
        <w:rPr>
          <w:rFonts w:hint="eastAsia" w:ascii="宋体" w:hAnsi="宋体" w:cs="宋体"/>
          <w:kern w:val="0"/>
          <w:sz w:val="24"/>
          <w:highlight w:val="none"/>
        </w:rPr>
        <w:t>地　址：广州市天河北路626号保利中宇广场A座25楼</w:t>
      </w:r>
    </w:p>
    <w:p>
      <w:pPr>
        <w:widowControl/>
        <w:wordWrap w:val="0"/>
        <w:spacing w:line="360" w:lineRule="auto"/>
        <w:ind w:left="798" w:leftChars="380"/>
        <w:jc w:val="left"/>
        <w:textAlignment w:val="baseline"/>
        <w:rPr>
          <w:rFonts w:ascii="宋体" w:hAnsi="宋体" w:cs="宋体"/>
          <w:kern w:val="0"/>
          <w:sz w:val="24"/>
          <w:highlight w:val="none"/>
        </w:rPr>
      </w:pPr>
      <w:r>
        <w:rPr>
          <w:rFonts w:hint="eastAsia" w:ascii="宋体" w:hAnsi="宋体" w:cs="宋体"/>
          <w:kern w:val="0"/>
          <w:sz w:val="24"/>
          <w:highlight w:val="none"/>
        </w:rPr>
        <w:t>联系方式：李小姐，020-83625516</w:t>
      </w:r>
    </w:p>
    <w:p>
      <w:pPr>
        <w:widowControl/>
        <w:numPr>
          <w:ilvl w:val="0"/>
          <w:numId w:val="12"/>
        </w:numPr>
        <w:wordWrap w:val="0"/>
        <w:spacing w:line="360" w:lineRule="auto"/>
        <w:jc w:val="left"/>
        <w:textAlignment w:val="baseline"/>
        <w:rPr>
          <w:rFonts w:ascii="宋体" w:hAnsi="宋体" w:cs="宋体"/>
          <w:kern w:val="0"/>
          <w:sz w:val="24"/>
          <w:highlight w:val="none"/>
        </w:rPr>
      </w:pPr>
      <w:r>
        <w:rPr>
          <w:rFonts w:hint="eastAsia" w:ascii="宋体" w:hAnsi="宋体" w:cs="宋体"/>
          <w:kern w:val="0"/>
          <w:sz w:val="24"/>
          <w:highlight w:val="none"/>
        </w:rPr>
        <w:t>项目联系方式</w:t>
      </w:r>
    </w:p>
    <w:p>
      <w:pPr>
        <w:widowControl/>
        <w:wordWrap w:val="0"/>
        <w:spacing w:line="360" w:lineRule="auto"/>
        <w:ind w:left="798" w:leftChars="380"/>
        <w:jc w:val="left"/>
        <w:textAlignment w:val="baseline"/>
        <w:rPr>
          <w:rFonts w:ascii="宋体" w:hAnsi="宋体" w:cs="宋体"/>
          <w:kern w:val="0"/>
          <w:sz w:val="24"/>
          <w:highlight w:val="none"/>
        </w:rPr>
      </w:pPr>
      <w:r>
        <w:rPr>
          <w:rFonts w:hint="eastAsia" w:ascii="宋体" w:hAnsi="宋体" w:cs="宋体"/>
          <w:kern w:val="0"/>
          <w:sz w:val="24"/>
          <w:highlight w:val="none"/>
        </w:rPr>
        <w:t>项目联系人：凌小姐</w:t>
      </w:r>
    </w:p>
    <w:p>
      <w:pPr>
        <w:pStyle w:val="24"/>
        <w:wordWrap w:val="0"/>
        <w:spacing w:before="0" w:beforeAutospacing="0" w:after="0" w:afterAutospacing="0" w:line="360" w:lineRule="auto"/>
        <w:ind w:left="798" w:leftChars="380"/>
        <w:textAlignment w:val="baseline"/>
        <w:rPr>
          <w:highlight w:val="none"/>
        </w:rPr>
      </w:pPr>
      <w:r>
        <w:rPr>
          <w:rFonts w:hint="eastAsia"/>
          <w:highlight w:val="none"/>
        </w:rPr>
        <w:t>电　话：020-83625516</w:t>
      </w:r>
    </w:p>
    <w:bookmarkEnd w:id="734"/>
    <w:p>
      <w:pPr>
        <w:rPr>
          <w:rFonts w:ascii="黑体" w:hAnsi="黑体" w:eastAsia="黑体" w:cs="黑体"/>
          <w:b/>
          <w:bCs/>
          <w:highlight w:val="none"/>
        </w:rPr>
      </w:pPr>
      <w:bookmarkStart w:id="57" w:name="_Toc423021939"/>
      <w:bookmarkStart w:id="58" w:name="_Toc23439"/>
      <w:bookmarkStart w:id="59" w:name="_Toc20446"/>
      <w:r>
        <w:rPr>
          <w:rFonts w:hint="eastAsia" w:ascii="黑体" w:hAnsi="黑体" w:eastAsia="黑体" w:cs="黑体"/>
          <w:b/>
          <w:bCs/>
          <w:highlight w:val="none"/>
        </w:rPr>
        <w:br w:type="page"/>
      </w:r>
    </w:p>
    <w:p>
      <w:pPr>
        <w:pStyle w:val="38"/>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2"/>
        <w:jc w:val="center"/>
        <w:rPr>
          <w:rFonts w:ascii="黑体" w:hAnsi="黑体" w:eastAsia="黑体" w:cs="黑体"/>
          <w:b/>
          <w:bCs/>
          <w:highlight w:val="none"/>
        </w:rPr>
      </w:pPr>
      <w:bookmarkStart w:id="60" w:name="_Toc23413"/>
      <w:r>
        <w:rPr>
          <w:rFonts w:hint="eastAsia" w:ascii="黑体" w:hAnsi="黑体" w:eastAsia="黑体" w:cs="黑体"/>
          <w:b/>
          <w:bCs/>
          <w:highlight w:val="none"/>
        </w:rPr>
        <w:t>第二章 投标人须知</w:t>
      </w:r>
      <w:bookmarkEnd w:id="57"/>
      <w:bookmarkEnd w:id="58"/>
      <w:bookmarkEnd w:id="59"/>
      <w:bookmarkEnd w:id="60"/>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snapToGrid w:val="0"/>
        <w:spacing w:before="0" w:after="0" w:line="360" w:lineRule="auto"/>
        <w:jc w:val="center"/>
        <w:rPr>
          <w:highlight w:val="none"/>
        </w:rPr>
      </w:pPr>
      <w:bookmarkStart w:id="61" w:name="_Toc22617"/>
      <w:r>
        <w:rPr>
          <w:highlight w:val="none"/>
        </w:rPr>
        <w:br w:type="page"/>
      </w:r>
      <w:bookmarkStart w:id="62" w:name="_Toc12999"/>
      <w:bookmarkStart w:id="63" w:name="_Toc30670"/>
      <w:r>
        <w:rPr>
          <w:rFonts w:hint="eastAsia"/>
          <w:highlight w:val="none"/>
        </w:rPr>
        <w:t>投标人须知前附表</w:t>
      </w:r>
      <w:bookmarkEnd w:id="61"/>
      <w:bookmarkEnd w:id="62"/>
      <w:bookmarkEnd w:id="63"/>
    </w:p>
    <w:p>
      <w:pPr>
        <w:spacing w:line="360" w:lineRule="auto"/>
        <w:ind w:right="-174" w:rightChars="-83" w:firstLine="480" w:firstLineChars="200"/>
        <w:rPr>
          <w:rFonts w:ascii="宋体" w:hAnsi="宋体" w:cs="宋体"/>
          <w:sz w:val="24"/>
          <w:highlight w:val="none"/>
        </w:rPr>
      </w:pPr>
      <w:r>
        <w:rPr>
          <w:rFonts w:hint="eastAsia" w:ascii="宋体" w:hAnsi="宋体" w:cs="宋体"/>
          <w:sz w:val="24"/>
          <w:highlight w:val="none"/>
        </w:rPr>
        <w:t>本表的条款项号是与本章《投标人须知》条款项号对应的，或增加的条款，是对本章的补充、修改和完善，均已在本表中注明。</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140"/>
        <w:gridCol w:w="7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blHeader/>
        </w:trPr>
        <w:tc>
          <w:tcPr>
            <w:tcW w:w="752" w:type="pct"/>
            <w:gridSpan w:val="2"/>
            <w:shd w:val="clear" w:color="auto" w:fill="D8D8D8"/>
            <w:vAlign w:val="center"/>
          </w:tcPr>
          <w:p>
            <w:pPr>
              <w:adjustRightInd w:val="0"/>
              <w:snapToGrid w:val="0"/>
              <w:spacing w:line="440" w:lineRule="exact"/>
              <w:jc w:val="center"/>
              <w:rPr>
                <w:rFonts w:ascii="宋体" w:hAnsi="宋体" w:cs="宋体"/>
                <w:b/>
                <w:bCs/>
                <w:sz w:val="24"/>
                <w:highlight w:val="none"/>
              </w:rPr>
            </w:pPr>
            <w:r>
              <w:rPr>
                <w:rFonts w:hint="eastAsia" w:ascii="宋体" w:hAnsi="宋体" w:cs="宋体"/>
                <w:b/>
                <w:bCs/>
                <w:sz w:val="24"/>
                <w:highlight w:val="none"/>
              </w:rPr>
              <w:t>条款项号</w:t>
            </w:r>
          </w:p>
        </w:tc>
        <w:tc>
          <w:tcPr>
            <w:tcW w:w="4247" w:type="pct"/>
            <w:shd w:val="clear" w:color="auto" w:fill="D8D8D8"/>
            <w:vAlign w:val="center"/>
          </w:tcPr>
          <w:p>
            <w:pPr>
              <w:adjustRightInd w:val="0"/>
              <w:snapToGrid w:val="0"/>
              <w:spacing w:line="440" w:lineRule="exact"/>
              <w:jc w:val="center"/>
              <w:rPr>
                <w:rFonts w:ascii="宋体" w:hAnsi="宋体" w:cs="宋体"/>
                <w:b/>
                <w:bCs/>
                <w:sz w:val="24"/>
                <w:highlight w:val="none"/>
              </w:rPr>
            </w:pPr>
            <w:r>
              <w:rPr>
                <w:rFonts w:hint="eastAsia" w:ascii="宋体" w:hAnsi="宋体" w:cs="宋体"/>
                <w:b/>
                <w:bCs/>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（一）总则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1.1</w:t>
            </w:r>
          </w:p>
        </w:tc>
        <w:tc>
          <w:tcPr>
            <w:tcW w:w="4323" w:type="pct"/>
            <w:gridSpan w:val="2"/>
            <w:vAlign w:val="center"/>
          </w:tcPr>
          <w:p>
            <w:pPr>
              <w:adjustRightInd w:val="0"/>
              <w:snapToGrid w:val="0"/>
              <w:spacing w:line="440" w:lineRule="exact"/>
              <w:rPr>
                <w:rFonts w:hint="eastAsia" w:ascii="宋体" w:hAnsi="宋体" w:eastAsia="宋体" w:cs="宋体"/>
                <w:sz w:val="24"/>
                <w:highlight w:val="none"/>
                <w:lang w:eastAsia="zh-CN"/>
              </w:rPr>
            </w:pPr>
            <w:r>
              <w:rPr>
                <w:rFonts w:hint="eastAsia" w:ascii="宋体" w:hAnsi="宋体" w:cs="宋体"/>
                <w:sz w:val="24"/>
                <w:highlight w:val="none"/>
                <w:lang w:val="zh-CN"/>
              </w:rPr>
              <w:t>资金性质：</w:t>
            </w:r>
            <w:r>
              <w:rPr>
                <w:rFonts w:hint="eastAsia" w:ascii="宋体" w:hAnsi="宋体" w:cs="宋体"/>
                <w:sz w:val="24"/>
                <w:highlight w:val="none"/>
                <w:lang w:val="en-US" w:eastAsia="zh-CN"/>
              </w:rPr>
              <w:t>中央预算内投资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6" w:type="pct"/>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1.2</w:t>
            </w:r>
          </w:p>
        </w:tc>
        <w:tc>
          <w:tcPr>
            <w:tcW w:w="4323" w:type="pct"/>
            <w:gridSpan w:val="2"/>
            <w:vAlign w:val="center"/>
          </w:tcPr>
          <w:p>
            <w:pPr>
              <w:adjustRightInd w:val="0"/>
              <w:snapToGrid w:val="0"/>
              <w:spacing w:line="440" w:lineRule="exact"/>
              <w:rPr>
                <w:rFonts w:ascii="宋体" w:hAnsi="宋体" w:cs="宋体"/>
                <w:sz w:val="24"/>
                <w:highlight w:val="none"/>
              </w:rPr>
            </w:pPr>
            <w:r>
              <w:rPr>
                <w:rFonts w:hint="eastAsia" w:ascii="宋体" w:hAnsi="宋体"/>
                <w:sz w:val="24"/>
                <w:highlight w:val="none"/>
              </w:rPr>
              <w:t>采购人：</w:t>
            </w:r>
            <w:r>
              <w:rPr>
                <w:rFonts w:hint="eastAsia" w:ascii="宋体" w:hAnsi="宋体" w:cs="宋体"/>
                <w:kern w:val="0"/>
                <w:sz w:val="24"/>
                <w:highlight w:val="none"/>
              </w:rPr>
              <w:t>中国热带农业科学院热带作物品种资源研究所</w:t>
            </w:r>
          </w:p>
          <w:p>
            <w:pPr>
              <w:adjustRightInd w:val="0"/>
              <w:snapToGrid w:val="0"/>
              <w:spacing w:line="440" w:lineRule="exact"/>
              <w:rPr>
                <w:rFonts w:hint="eastAsia" w:ascii="宋体" w:hAnsi="宋体" w:eastAsia="宋体" w:cs="宋体"/>
                <w:sz w:val="24"/>
                <w:szCs w:val="24"/>
                <w:highlight w:val="none"/>
              </w:rPr>
            </w:pPr>
            <w:r>
              <w:rPr>
                <w:rFonts w:hint="eastAsia" w:ascii="宋体" w:hAnsi="宋体"/>
                <w:sz w:val="24"/>
                <w:highlight w:val="none"/>
              </w:rPr>
              <w:t>地址：海</w:t>
            </w:r>
            <w:r>
              <w:rPr>
                <w:rFonts w:hint="eastAsia" w:ascii="宋体" w:hAnsi="宋体"/>
                <w:sz w:val="24"/>
                <w:szCs w:val="24"/>
                <w:highlight w:val="none"/>
              </w:rPr>
              <w:t>南省海口市龙</w:t>
            </w:r>
            <w:r>
              <w:rPr>
                <w:rFonts w:hint="eastAsia" w:ascii="宋体" w:hAnsi="宋体" w:eastAsia="宋体" w:cs="宋体"/>
                <w:sz w:val="24"/>
                <w:szCs w:val="24"/>
                <w:highlight w:val="none"/>
              </w:rPr>
              <w:t>华区学院路4号</w:t>
            </w:r>
          </w:p>
          <w:p>
            <w:pPr>
              <w:adjustRightInd w:val="0"/>
              <w:snapToGrid w:val="0"/>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田</w:t>
            </w:r>
            <w:r>
              <w:rPr>
                <w:rFonts w:hint="eastAsia" w:ascii="宋体" w:hAnsi="宋体" w:eastAsia="宋体" w:cs="宋体"/>
                <w:sz w:val="24"/>
                <w:szCs w:val="24"/>
                <w:highlight w:val="none"/>
              </w:rPr>
              <w:t>小姐</w:t>
            </w:r>
          </w:p>
          <w:p>
            <w:pPr>
              <w:adjustRightInd w:val="0"/>
              <w:snapToGrid w:val="0"/>
              <w:spacing w:line="440" w:lineRule="exac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联系电话：0898-</w:t>
            </w:r>
            <w:r>
              <w:rPr>
                <w:rFonts w:hint="eastAsia" w:ascii="宋体" w:hAnsi="宋体" w:eastAsia="宋体" w:cs="宋体"/>
                <w:sz w:val="24"/>
                <w:szCs w:val="24"/>
                <w:highlight w:val="none"/>
                <w:lang w:val="en-US" w:eastAsia="zh-CN"/>
              </w:rPr>
              <w:t>66961371</w:t>
            </w:r>
          </w:p>
          <w:p>
            <w:pPr>
              <w:adjustRightInd w:val="0"/>
              <w:snapToGrid w:val="0"/>
              <w:spacing w:line="440" w:lineRule="exact"/>
              <w:rPr>
                <w:rFonts w:ascii="宋体" w:hAnsi="宋体"/>
                <w:sz w:val="24"/>
                <w:highlight w:val="none"/>
              </w:rPr>
            </w:pPr>
          </w:p>
          <w:p>
            <w:pPr>
              <w:adjustRightInd w:val="0"/>
              <w:snapToGrid w:val="0"/>
              <w:spacing w:line="440" w:lineRule="exact"/>
              <w:rPr>
                <w:rFonts w:ascii="宋体" w:hAnsi="宋体"/>
                <w:sz w:val="24"/>
                <w:highlight w:val="none"/>
              </w:rPr>
            </w:pPr>
            <w:r>
              <w:rPr>
                <w:rFonts w:hint="eastAsia" w:ascii="宋体" w:hAnsi="宋体"/>
                <w:sz w:val="24"/>
                <w:highlight w:val="none"/>
              </w:rPr>
              <w:t>采购代理机构：广东有德招标采购有限公司</w:t>
            </w:r>
          </w:p>
          <w:p>
            <w:pPr>
              <w:adjustRightInd w:val="0"/>
              <w:snapToGrid w:val="0"/>
              <w:spacing w:line="440" w:lineRule="exact"/>
              <w:rPr>
                <w:rFonts w:ascii="宋体" w:hAnsi="宋体"/>
                <w:sz w:val="24"/>
                <w:highlight w:val="none"/>
              </w:rPr>
            </w:pPr>
            <w:r>
              <w:rPr>
                <w:rFonts w:hint="eastAsia" w:ascii="宋体" w:hAnsi="宋体"/>
                <w:sz w:val="24"/>
                <w:highlight w:val="none"/>
              </w:rPr>
              <w:t xml:space="preserve">地址：广州市天河北路626号保利中宇广场A座25楼 </w:t>
            </w:r>
          </w:p>
          <w:p>
            <w:pPr>
              <w:adjustRightInd w:val="0"/>
              <w:snapToGrid w:val="0"/>
              <w:spacing w:line="440" w:lineRule="exact"/>
              <w:rPr>
                <w:rFonts w:ascii="宋体" w:hAnsi="宋体" w:cs="宋体"/>
                <w:sz w:val="24"/>
                <w:highlight w:val="none"/>
              </w:rPr>
            </w:pPr>
            <w:r>
              <w:rPr>
                <w:rFonts w:hint="eastAsia" w:ascii="宋体" w:hAnsi="宋体" w:cs="宋体"/>
                <w:sz w:val="24"/>
                <w:highlight w:val="none"/>
                <w:lang w:val="zh-CN"/>
              </w:rPr>
              <w:t>联系人：</w:t>
            </w:r>
            <w:r>
              <w:rPr>
                <w:rFonts w:hint="eastAsia" w:ascii="宋体" w:hAnsi="宋体" w:cs="宋体"/>
                <w:sz w:val="24"/>
                <w:highlight w:val="none"/>
              </w:rPr>
              <w:t>李</w:t>
            </w:r>
            <w:r>
              <w:rPr>
                <w:rFonts w:hint="eastAsia" w:ascii="宋体" w:hAnsi="宋体" w:cs="宋体"/>
                <w:sz w:val="24"/>
                <w:highlight w:val="none"/>
                <w:lang w:val="zh-CN"/>
              </w:rPr>
              <w:t>小姐、</w:t>
            </w:r>
            <w:r>
              <w:rPr>
                <w:rFonts w:hint="eastAsia" w:ascii="宋体" w:hAnsi="宋体" w:cs="宋体"/>
                <w:sz w:val="24"/>
                <w:highlight w:val="none"/>
              </w:rPr>
              <w:t>凌小姐</w:t>
            </w:r>
          </w:p>
          <w:p>
            <w:pPr>
              <w:adjustRightInd w:val="0"/>
              <w:snapToGrid w:val="0"/>
              <w:spacing w:line="440" w:lineRule="exact"/>
              <w:rPr>
                <w:rFonts w:ascii="宋体" w:hAnsi="宋体" w:cs="宋体"/>
                <w:sz w:val="24"/>
                <w:highlight w:val="none"/>
              </w:rPr>
            </w:pPr>
            <w:r>
              <w:rPr>
                <w:rFonts w:hint="eastAsia" w:ascii="宋体" w:hAnsi="宋体" w:cs="宋体"/>
                <w:sz w:val="24"/>
                <w:highlight w:val="none"/>
                <w:lang w:val="zh-CN"/>
              </w:rPr>
              <w:t>联系方式：020-8362</w:t>
            </w:r>
            <w:r>
              <w:rPr>
                <w:rFonts w:hint="eastAsia" w:ascii="宋体" w:hAnsi="宋体" w:cs="宋体"/>
                <w:sz w:val="24"/>
                <w:highlight w:val="none"/>
              </w:rPr>
              <w:t>5516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3"/>
            <w:vAlign w:val="center"/>
          </w:tcPr>
          <w:p>
            <w:pPr>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（二）招标文件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7.1</w:t>
            </w:r>
          </w:p>
        </w:tc>
        <w:tc>
          <w:tcPr>
            <w:tcW w:w="4247" w:type="pct"/>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答疑会或踏勘现场：本项目不集中举行答疑会或踏勘现场。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3"/>
            <w:vAlign w:val="center"/>
          </w:tcPr>
          <w:p>
            <w:pPr>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（三）投标文件的编制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11.1</w:t>
            </w:r>
          </w:p>
        </w:tc>
        <w:tc>
          <w:tcPr>
            <w:tcW w:w="4247" w:type="pct"/>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1.投标文件正本</w:t>
            </w:r>
            <w:r>
              <w:rPr>
                <w:rFonts w:hint="eastAsia" w:ascii="宋体" w:hAnsi="宋体" w:cs="宋体"/>
                <w:b/>
                <w:bCs/>
                <w:sz w:val="24"/>
                <w:highlight w:val="none"/>
                <w:u w:val="single"/>
              </w:rPr>
              <w:t xml:space="preserve"> 1</w:t>
            </w:r>
            <w:r>
              <w:rPr>
                <w:rFonts w:hint="eastAsia" w:ascii="宋体" w:hAnsi="宋体" w:cs="宋体"/>
                <w:sz w:val="24"/>
                <w:highlight w:val="none"/>
                <w:u w:val="single"/>
              </w:rPr>
              <w:t xml:space="preserve"> </w:t>
            </w:r>
            <w:r>
              <w:rPr>
                <w:rFonts w:hint="eastAsia" w:ascii="宋体" w:hAnsi="宋体" w:cs="宋体"/>
                <w:sz w:val="24"/>
                <w:highlight w:val="none"/>
              </w:rPr>
              <w:t>套，副本</w:t>
            </w:r>
            <w:r>
              <w:rPr>
                <w:rFonts w:hint="eastAsia" w:ascii="宋体" w:hAnsi="宋体" w:cs="宋体"/>
                <w:sz w:val="24"/>
                <w:highlight w:val="none"/>
                <w:u w:val="single"/>
              </w:rPr>
              <w:t xml:space="preserve"> </w:t>
            </w:r>
            <w:r>
              <w:rPr>
                <w:rFonts w:hint="eastAsia" w:ascii="宋体" w:hAnsi="宋体" w:cs="宋体"/>
                <w:b/>
                <w:bCs/>
                <w:sz w:val="24"/>
                <w:highlight w:val="none"/>
                <w:u w:val="single"/>
              </w:rPr>
              <w:t>5</w:t>
            </w:r>
            <w:r>
              <w:rPr>
                <w:rFonts w:hint="eastAsia" w:ascii="宋体" w:hAnsi="宋体" w:cs="宋体"/>
                <w:sz w:val="24"/>
                <w:highlight w:val="none"/>
                <w:u w:val="single"/>
              </w:rPr>
              <w:t xml:space="preserve"> </w:t>
            </w:r>
            <w:r>
              <w:rPr>
                <w:rFonts w:hint="eastAsia" w:ascii="宋体" w:hAnsi="宋体" w:cs="宋体"/>
                <w:sz w:val="24"/>
                <w:highlight w:val="none"/>
              </w:rPr>
              <w:t>套；</w:t>
            </w:r>
          </w:p>
          <w:p>
            <w:pPr>
              <w:adjustRightInd w:val="0"/>
              <w:snapToGrid w:val="0"/>
              <w:spacing w:line="440" w:lineRule="exact"/>
              <w:rPr>
                <w:rFonts w:ascii="宋体" w:hAnsi="宋体" w:cs="宋体"/>
                <w:sz w:val="24"/>
                <w:highlight w:val="none"/>
              </w:rPr>
            </w:pPr>
            <w:r>
              <w:rPr>
                <w:rFonts w:hint="eastAsia" w:ascii="宋体" w:hAnsi="宋体" w:cs="宋体"/>
                <w:sz w:val="24"/>
                <w:highlight w:val="none"/>
              </w:rPr>
              <w:t>2.唱标信封</w:t>
            </w:r>
            <w:r>
              <w:rPr>
                <w:rFonts w:hint="eastAsia" w:ascii="宋体" w:hAnsi="宋体" w:cs="宋体"/>
                <w:b/>
                <w:bCs/>
                <w:sz w:val="24"/>
                <w:highlight w:val="none"/>
                <w:u w:val="single"/>
              </w:rPr>
              <w:t>1</w:t>
            </w:r>
            <w:r>
              <w:rPr>
                <w:rFonts w:hint="eastAsia" w:ascii="宋体" w:hAnsi="宋体" w:cs="宋体"/>
                <w:sz w:val="24"/>
                <w:highlight w:val="none"/>
              </w:rPr>
              <w:t>份</w:t>
            </w:r>
            <w:r>
              <w:rPr>
                <w:rFonts w:hint="eastAsia" w:ascii="宋体" w:hAnsi="宋体" w:cs="宋体"/>
                <w:b/>
                <w:bCs/>
                <w:sz w:val="24"/>
                <w:highlight w:val="none"/>
              </w:rPr>
              <w:t>（</w:t>
            </w:r>
            <w:r>
              <w:rPr>
                <w:rFonts w:hint="eastAsia" w:ascii="宋体" w:hAnsi="宋体" w:cs="宋体"/>
                <w:b/>
                <w:bCs/>
                <w:sz w:val="24"/>
                <w:highlight w:val="none"/>
                <w:lang w:val="zh-CN"/>
              </w:rPr>
              <w:t>含签字盖章的投标函</w:t>
            </w:r>
            <w:r>
              <w:rPr>
                <w:rFonts w:hint="eastAsia" w:ascii="宋体" w:hAnsi="宋体" w:cs="宋体"/>
                <w:b/>
                <w:bCs/>
                <w:sz w:val="24"/>
                <w:highlight w:val="none"/>
                <w:lang w:val="zh-CN" w:eastAsia="zh-TW"/>
              </w:rPr>
              <w:t>、</w:t>
            </w:r>
            <w:r>
              <w:rPr>
                <w:rFonts w:hint="eastAsia" w:ascii="宋体" w:hAnsi="宋体" w:cs="宋体"/>
                <w:b/>
                <w:bCs/>
                <w:sz w:val="24"/>
                <w:highlight w:val="none"/>
                <w:lang w:val="zh-CN"/>
              </w:rPr>
              <w:t>开标</w:t>
            </w:r>
            <w:r>
              <w:rPr>
                <w:rFonts w:hint="eastAsia" w:ascii="宋体" w:hAnsi="宋体" w:cs="宋体"/>
                <w:b/>
                <w:bCs/>
                <w:sz w:val="24"/>
                <w:highlight w:val="none"/>
                <w:lang w:val="zh-CN" w:eastAsia="zh-TW"/>
              </w:rPr>
              <w:t>一览表</w:t>
            </w:r>
            <w:r>
              <w:rPr>
                <w:rFonts w:hint="eastAsia" w:ascii="宋体" w:hAnsi="宋体" w:cs="宋体"/>
                <w:b/>
                <w:bCs/>
                <w:sz w:val="24"/>
                <w:highlight w:val="none"/>
                <w:lang w:val="zh-CN"/>
              </w:rPr>
              <w:t>、投标报价明细表、</w:t>
            </w:r>
            <w:r>
              <w:rPr>
                <w:rFonts w:hint="eastAsia" w:ascii="宋体" w:hAnsi="宋体" w:cs="宋体"/>
                <w:b/>
                <w:bCs/>
                <w:sz w:val="24"/>
                <w:highlight w:val="none"/>
              </w:rPr>
              <w:t>退还保证金说明、中小微企业声明函（含属于监狱企业的证明文件及《残疾人福利性单位声明函》）</w:t>
            </w:r>
            <w:r>
              <w:rPr>
                <w:rFonts w:hint="eastAsia" w:ascii="宋体" w:hAnsi="宋体" w:cs="宋体"/>
                <w:b/>
                <w:bCs/>
                <w:sz w:val="24"/>
                <w:highlight w:val="none"/>
                <w:u w:val="single"/>
                <w:lang w:val="zh-CN" w:eastAsia="zh-TW"/>
              </w:rPr>
              <w:t>单独密封提交，并在封套上标明“</w:t>
            </w:r>
            <w:r>
              <w:rPr>
                <w:rFonts w:hint="eastAsia" w:ascii="宋体" w:hAnsi="宋体" w:cs="宋体"/>
                <w:b/>
                <w:bCs/>
                <w:sz w:val="24"/>
                <w:highlight w:val="none"/>
                <w:u w:val="single"/>
              </w:rPr>
              <w:t>开标信封</w:t>
            </w:r>
            <w:r>
              <w:rPr>
                <w:rFonts w:hint="eastAsia" w:ascii="宋体" w:hAnsi="宋体" w:cs="宋体"/>
                <w:b/>
                <w:bCs/>
                <w:sz w:val="24"/>
                <w:highlight w:val="none"/>
                <w:u w:val="single"/>
                <w:lang w:val="zh-CN" w:eastAsia="zh-TW"/>
              </w:rPr>
              <w:t>”字样。</w:t>
            </w:r>
            <w:r>
              <w:rPr>
                <w:rFonts w:hint="eastAsia" w:ascii="宋体" w:hAnsi="宋体" w:cs="宋体"/>
                <w:b/>
                <w:bCs/>
                <w:sz w:val="24"/>
                <w:highlight w:val="none"/>
              </w:rPr>
              <w:t>）</w:t>
            </w:r>
            <w:r>
              <w:rPr>
                <w:rFonts w:hint="eastAsia" w:ascii="宋体" w:hAnsi="宋体" w:cs="宋体"/>
                <w:sz w:val="24"/>
                <w:highlight w:val="none"/>
              </w:rPr>
              <w:t>；</w:t>
            </w:r>
          </w:p>
          <w:p>
            <w:pPr>
              <w:adjustRightInd w:val="0"/>
              <w:snapToGrid w:val="0"/>
              <w:spacing w:line="440" w:lineRule="exact"/>
              <w:rPr>
                <w:rFonts w:ascii="宋体" w:hAnsi="宋体" w:cs="宋体"/>
                <w:sz w:val="24"/>
                <w:highlight w:val="none"/>
              </w:rPr>
            </w:pPr>
            <w:r>
              <w:rPr>
                <w:rFonts w:hint="eastAsia" w:ascii="宋体" w:hAnsi="宋体" w:cs="宋体"/>
                <w:bCs/>
                <w:sz w:val="24"/>
                <w:highlight w:val="none"/>
                <w:lang w:val="zh-CN"/>
              </w:rPr>
              <w:t>3.</w:t>
            </w:r>
            <w:r>
              <w:rPr>
                <w:rFonts w:hint="eastAsia" w:ascii="宋体" w:hAnsi="宋体" w:cs="宋体"/>
                <w:sz w:val="24"/>
                <w:highlight w:val="none"/>
              </w:rPr>
              <w:t>电子文件</w:t>
            </w:r>
            <w:r>
              <w:rPr>
                <w:rFonts w:hint="eastAsia" w:ascii="宋体" w:hAnsi="宋体" w:cs="宋体"/>
                <w:b/>
                <w:bCs/>
                <w:sz w:val="24"/>
                <w:highlight w:val="none"/>
                <w:u w:val="single"/>
              </w:rPr>
              <w:t>1</w:t>
            </w:r>
            <w:r>
              <w:rPr>
                <w:rFonts w:hint="eastAsia" w:ascii="宋体" w:hAnsi="宋体" w:cs="宋体"/>
                <w:sz w:val="24"/>
                <w:highlight w:val="none"/>
              </w:rPr>
              <w:t>份</w:t>
            </w:r>
            <w:r>
              <w:rPr>
                <w:rFonts w:hint="eastAsia" w:ascii="宋体" w:hAnsi="宋体" w:cs="宋体"/>
                <w:sz w:val="24"/>
                <w:highlight w:val="none"/>
                <w:lang w:val="zh-CN"/>
              </w:rPr>
              <w:t>（电子文件为U盘介质，</w:t>
            </w:r>
            <w:r>
              <w:rPr>
                <w:rFonts w:hint="eastAsia" w:ascii="宋体" w:hAnsi="宋体" w:cs="宋体"/>
                <w:bCs/>
                <w:sz w:val="24"/>
                <w:highlight w:val="none"/>
                <w:lang w:val="zh-CN"/>
              </w:rPr>
              <w:t>采用Word和PDF格式，Word内容应与投标供应商打印产生的纸质投标文件内容一致，PDF内容必须是纸质投标文件正本扫描件（含盖章、签署）</w:t>
            </w:r>
            <w:r>
              <w:rPr>
                <w:rFonts w:hint="eastAsia" w:ascii="宋体" w:hAnsi="宋体" w:cs="宋体"/>
                <w:sz w:val="24"/>
                <w:highlight w:val="none"/>
                <w:lang w:val="zh-CN"/>
              </w:rPr>
              <w:t>，不留密码，无病毒，不压缩）</w:t>
            </w:r>
            <w:r>
              <w:rPr>
                <w:rFonts w:hint="eastAsia" w:ascii="宋体" w:hAnsi="宋体" w:cs="宋体"/>
                <w:sz w:val="24"/>
                <w:highlight w:val="none"/>
              </w:rPr>
              <w:t>。</w:t>
            </w:r>
          </w:p>
          <w:p>
            <w:pPr>
              <w:spacing w:line="440" w:lineRule="exact"/>
              <w:rPr>
                <w:rFonts w:ascii="宋体" w:hAnsi="宋体" w:cs="宋体"/>
                <w:highlight w:val="none"/>
              </w:rPr>
            </w:pPr>
            <w:bookmarkStart w:id="64" w:name="_Toc29842"/>
            <w:bookmarkStart w:id="65" w:name="_Toc359725057"/>
            <w:r>
              <w:rPr>
                <w:rFonts w:hint="eastAsia" w:ascii="宋体" w:hAnsi="宋体" w:cs="宋体"/>
                <w:sz w:val="24"/>
                <w:szCs w:val="32"/>
                <w:highlight w:val="none"/>
              </w:rPr>
              <w:t>4.投标文件可以现场提交或邮寄（邮寄地址：广州市天河北路626号保利中宇广场A座25楼（广东有德招标采购有限公司）），收件人及电话：详见项目公告的项目联系人）。投标人如选择邮寄投标文件，请提前安排时间邮寄，务必保证投标文件于提交投标文件截止时间前到达上述地址（以签收时间为准），并及时将快递单号发送至招标代理机构邮箱：youde_zb@163.com。</w:t>
            </w:r>
            <w:bookmarkEnd w:id="64"/>
            <w:bookmarkEnd w:id="6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12.7</w:t>
            </w:r>
          </w:p>
        </w:tc>
        <w:tc>
          <w:tcPr>
            <w:tcW w:w="4247" w:type="pct"/>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本项目不接受备选方案。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12.8</w:t>
            </w:r>
          </w:p>
        </w:tc>
        <w:tc>
          <w:tcPr>
            <w:tcW w:w="4247" w:type="pct"/>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本项目不接受具有附加条件的报价。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13.1</w:t>
            </w:r>
          </w:p>
        </w:tc>
        <w:tc>
          <w:tcPr>
            <w:tcW w:w="4247" w:type="pct"/>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投标有效期：自递交投标文件截止之日起90天。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17.1</w:t>
            </w:r>
          </w:p>
        </w:tc>
        <w:tc>
          <w:tcPr>
            <w:tcW w:w="4247" w:type="pct"/>
            <w:vAlign w:val="center"/>
          </w:tcPr>
          <w:p>
            <w:pPr>
              <w:numPr>
                <w:ilvl w:val="0"/>
                <w:numId w:val="13"/>
              </w:numPr>
              <w:adjustRightInd w:val="0"/>
              <w:snapToGrid w:val="0"/>
              <w:spacing w:line="440" w:lineRule="exact"/>
              <w:rPr>
                <w:rFonts w:ascii="宋体" w:hAnsi="宋体" w:cs="宋体"/>
                <w:sz w:val="24"/>
                <w:highlight w:val="none"/>
              </w:rPr>
            </w:pPr>
            <w:r>
              <w:rPr>
                <w:rFonts w:hint="eastAsia" w:ascii="宋体" w:hAnsi="宋体" w:cs="宋体"/>
                <w:sz w:val="24"/>
                <w:highlight w:val="none"/>
              </w:rPr>
              <w:t>本项目投标保证金金额：</w:t>
            </w:r>
            <w:r>
              <w:rPr>
                <w:rFonts w:hint="eastAsia" w:ascii="宋体" w:hAnsi="宋体" w:cs="宋体"/>
                <w:b/>
                <w:sz w:val="24"/>
                <w:highlight w:val="none"/>
                <w:u w:val="single"/>
              </w:rPr>
              <w:t>¥</w:t>
            </w:r>
            <w:r>
              <w:rPr>
                <w:rFonts w:hint="eastAsia" w:ascii="宋体" w:hAnsi="宋体" w:cs="宋体"/>
                <w:b/>
                <w:sz w:val="24"/>
                <w:highlight w:val="none"/>
                <w:u w:val="single"/>
                <w:lang w:val="en-US" w:eastAsia="zh-CN"/>
              </w:rPr>
              <w:t>136</w:t>
            </w:r>
            <w:r>
              <w:rPr>
                <w:rFonts w:hint="eastAsia" w:ascii="宋体" w:hAnsi="宋体" w:cs="宋体"/>
                <w:b/>
                <w:sz w:val="24"/>
                <w:highlight w:val="none"/>
                <w:u w:val="single"/>
              </w:rPr>
              <w:t>,000.00（人民币</w:t>
            </w:r>
            <w:r>
              <w:rPr>
                <w:rFonts w:hint="eastAsia" w:ascii="宋体" w:hAnsi="宋体" w:cs="宋体"/>
                <w:b/>
                <w:sz w:val="24"/>
                <w:highlight w:val="none"/>
                <w:u w:val="single"/>
                <w:lang w:val="en-US" w:eastAsia="zh-CN"/>
              </w:rPr>
              <w:t>壹拾叁万陆仟元整</w:t>
            </w:r>
            <w:r>
              <w:rPr>
                <w:rFonts w:hint="eastAsia" w:ascii="宋体" w:hAnsi="宋体" w:cs="宋体"/>
                <w:b/>
                <w:sz w:val="24"/>
                <w:highlight w:val="none"/>
                <w:u w:val="single"/>
              </w:rPr>
              <w:t>）</w:t>
            </w:r>
            <w:r>
              <w:rPr>
                <w:rFonts w:hint="eastAsia" w:ascii="宋体" w:hAnsi="宋体" w:cs="宋体"/>
                <w:b/>
                <w:sz w:val="24"/>
                <w:highlight w:val="none"/>
                <w:u w:val="single"/>
                <w:lang w:eastAsia="zh-CN"/>
              </w:rPr>
              <w:t>。</w:t>
            </w:r>
          </w:p>
          <w:p>
            <w:pPr>
              <w:numPr>
                <w:ilvl w:val="0"/>
                <w:numId w:val="13"/>
              </w:numPr>
              <w:adjustRightInd w:val="0"/>
              <w:snapToGrid w:val="0"/>
              <w:spacing w:line="440" w:lineRule="exact"/>
              <w:rPr>
                <w:rFonts w:ascii="宋体" w:hAnsi="宋体" w:cs="宋体"/>
                <w:sz w:val="24"/>
                <w:highlight w:val="none"/>
                <w:lang w:val="zh-CN"/>
              </w:rPr>
            </w:pPr>
            <w:r>
              <w:rPr>
                <w:rFonts w:hint="eastAsia" w:ascii="宋体" w:hAnsi="宋体" w:cs="宋体"/>
                <w:sz w:val="24"/>
                <w:highlight w:val="none"/>
                <w:lang w:val="zh-CN"/>
              </w:rPr>
              <w:t>投标保证金作为供应商投标的组成部分，与投标文件一同递交。</w:t>
            </w:r>
          </w:p>
          <w:p>
            <w:pPr>
              <w:numPr>
                <w:ilvl w:val="0"/>
                <w:numId w:val="13"/>
              </w:numPr>
              <w:adjustRightInd w:val="0"/>
              <w:snapToGrid w:val="0"/>
              <w:spacing w:line="440" w:lineRule="exact"/>
              <w:rPr>
                <w:rFonts w:ascii="宋体" w:hAnsi="宋体" w:cs="宋体"/>
                <w:sz w:val="24"/>
                <w:highlight w:val="none"/>
                <w:lang w:val="zh-CN"/>
              </w:rPr>
            </w:pPr>
            <w:r>
              <w:rPr>
                <w:rFonts w:hint="eastAsia" w:ascii="宋体" w:hAnsi="宋体" w:cs="宋体"/>
                <w:sz w:val="24"/>
                <w:highlight w:val="none"/>
                <w:lang w:val="zh-CN"/>
              </w:rPr>
              <w:t>投标保证金应当以支票、汇票、本票或者金融机构、担保机构出具的保函等非现金形式提交。</w:t>
            </w:r>
          </w:p>
          <w:p>
            <w:pPr>
              <w:numPr>
                <w:ilvl w:val="0"/>
                <w:numId w:val="13"/>
              </w:numPr>
              <w:adjustRightInd w:val="0"/>
              <w:snapToGrid w:val="0"/>
              <w:spacing w:line="440" w:lineRule="exact"/>
              <w:rPr>
                <w:rFonts w:ascii="宋体" w:hAnsi="宋体" w:cs="宋体"/>
                <w:sz w:val="24"/>
                <w:highlight w:val="none"/>
                <w:lang w:val="zh-CN"/>
              </w:rPr>
            </w:pPr>
            <w:r>
              <w:rPr>
                <w:rFonts w:hint="eastAsia" w:ascii="宋体" w:hAnsi="宋体" w:cs="宋体"/>
                <w:sz w:val="24"/>
                <w:highlight w:val="none"/>
                <w:lang w:val="zh-CN"/>
              </w:rPr>
              <w:t>投标保证金以转账形式递交的，请务必按以下信息填写汇款单：</w:t>
            </w:r>
          </w:p>
          <w:p>
            <w:pPr>
              <w:adjustRightInd w:val="0"/>
              <w:snapToGrid w:val="0"/>
              <w:spacing w:line="44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收款单位名称：广东有德招标采购有限公司</w:t>
            </w:r>
          </w:p>
          <w:p>
            <w:pPr>
              <w:adjustRightInd w:val="0"/>
              <w:snapToGrid w:val="0"/>
              <w:spacing w:line="44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开户银行：招商银行广州天润路支行</w:t>
            </w:r>
          </w:p>
          <w:p>
            <w:pPr>
              <w:adjustRightInd w:val="0"/>
              <w:snapToGrid w:val="0"/>
              <w:spacing w:line="44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账号：120906120910101</w:t>
            </w:r>
          </w:p>
          <w:p>
            <w:pPr>
              <w:adjustRightInd w:val="0"/>
              <w:snapToGrid w:val="0"/>
              <w:spacing w:line="44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联系人：江小姐、余小姐</w:t>
            </w:r>
          </w:p>
          <w:p>
            <w:pPr>
              <w:adjustRightInd w:val="0"/>
              <w:snapToGrid w:val="0"/>
              <w:spacing w:line="440" w:lineRule="exact"/>
              <w:ind w:firstLine="480" w:firstLineChars="200"/>
              <w:rPr>
                <w:rFonts w:ascii="宋体" w:hAnsi="宋体" w:cs="宋体"/>
                <w:bCs/>
                <w:sz w:val="24"/>
                <w:highlight w:val="none"/>
                <w:lang w:val="zh-CN"/>
              </w:rPr>
            </w:pPr>
            <w:r>
              <w:rPr>
                <w:rFonts w:hint="eastAsia" w:ascii="宋体" w:hAnsi="宋体" w:cs="宋体"/>
                <w:bCs/>
                <w:sz w:val="24"/>
                <w:highlight w:val="none"/>
                <w:lang w:val="zh-CN"/>
              </w:rPr>
              <w:t>联系电话：020-87595661、020-87595690</w:t>
            </w:r>
          </w:p>
          <w:p>
            <w:pPr>
              <w:wordWrap w:val="0"/>
              <w:adjustRightInd w:val="0"/>
              <w:snapToGrid w:val="0"/>
              <w:spacing w:line="440" w:lineRule="exact"/>
              <w:ind w:left="319" w:leftChars="152"/>
              <w:jc w:val="left"/>
              <w:rPr>
                <w:rFonts w:ascii="宋体" w:hAnsi="宋体" w:cs="宋体"/>
                <w:b/>
                <w:sz w:val="24"/>
                <w:highlight w:val="none"/>
              </w:rPr>
            </w:pPr>
            <w:r>
              <w:rPr>
                <w:rFonts w:hint="eastAsia" w:ascii="宋体" w:hAnsi="宋体" w:cs="宋体"/>
                <w:b/>
                <w:sz w:val="24"/>
                <w:highlight w:val="none"/>
              </w:rPr>
              <w:t>注：</w:t>
            </w:r>
            <w:r>
              <w:rPr>
                <w:rFonts w:hint="eastAsia" w:ascii="宋体" w:hAnsi="宋体" w:cs="宋体"/>
                <w:b/>
                <w:sz w:val="24"/>
                <w:highlight w:val="none"/>
                <w:lang w:val="zh-CN"/>
              </w:rPr>
              <w:t>投标人请在缴款凭证备注栏写明“</w:t>
            </w:r>
            <w:r>
              <w:rPr>
                <w:rFonts w:hint="eastAsia" w:ascii="宋体" w:hAnsi="宋体" w:cs="宋体"/>
                <w:b/>
                <w:sz w:val="24"/>
                <w:highlight w:val="none"/>
                <w:u w:val="single"/>
                <w:lang w:val="zh-CN"/>
              </w:rPr>
              <w:t>项目编号：</w:t>
            </w:r>
            <w:r>
              <w:rPr>
                <w:rFonts w:hint="eastAsia" w:ascii="宋体" w:hAnsi="宋体" w:cs="宋体"/>
                <w:b/>
                <w:sz w:val="24"/>
                <w:highlight w:val="none"/>
                <w:u w:val="single"/>
              </w:rPr>
              <w:t>1210-2441YDZB7762</w:t>
            </w:r>
            <w:r>
              <w:rPr>
                <w:rFonts w:hint="eastAsia" w:ascii="宋体" w:hAnsi="宋体" w:cs="宋体"/>
                <w:b/>
                <w:sz w:val="24"/>
                <w:highlight w:val="none"/>
                <w:u w:val="single"/>
                <w:lang w:val="zh-CN"/>
              </w:rPr>
              <w:t>投标保证金</w:t>
            </w:r>
            <w:r>
              <w:rPr>
                <w:rFonts w:hint="eastAsia" w:ascii="宋体" w:hAnsi="宋体" w:cs="宋体"/>
                <w:b/>
                <w:sz w:val="24"/>
                <w:highlight w:val="none"/>
                <w:lang w:val="zh-CN"/>
              </w:rPr>
              <w:t>”，以便查询。</w:t>
            </w:r>
            <w:r>
              <w:rPr>
                <w:rFonts w:hint="eastAsia" w:ascii="宋体" w:hAnsi="宋体" w:cs="宋体"/>
                <w:b/>
                <w:sz w:val="24"/>
                <w:highlight w:val="none"/>
              </w:rPr>
              <w:t>（上述账号只接受以投标人名义的转账，不接受以个人名义及其他款项的转账）</w:t>
            </w:r>
          </w:p>
          <w:p>
            <w:pPr>
              <w:numPr>
                <w:ilvl w:val="0"/>
                <w:numId w:val="13"/>
              </w:numPr>
              <w:adjustRightInd w:val="0"/>
              <w:snapToGrid w:val="0"/>
              <w:spacing w:line="440" w:lineRule="exact"/>
              <w:rPr>
                <w:rFonts w:ascii="宋体" w:hAnsi="宋体" w:cs="宋体"/>
                <w:sz w:val="24"/>
                <w:highlight w:val="none"/>
                <w:lang w:val="zh-CN"/>
              </w:rPr>
            </w:pPr>
            <w:r>
              <w:rPr>
                <w:rFonts w:hint="eastAsia" w:ascii="宋体" w:hAnsi="宋体" w:cs="宋体"/>
                <w:sz w:val="24"/>
                <w:highlight w:val="none"/>
                <w:lang w:val="zh-CN"/>
              </w:rPr>
              <w:t>有效期：投标保证金应在投标有效期内有效。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3"/>
            <w:vAlign w:val="center"/>
          </w:tcPr>
          <w:p>
            <w:pPr>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（四）投标文件的递交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52" w:type="pct"/>
            <w:gridSpan w:val="2"/>
            <w:vAlign w:val="center"/>
          </w:tcPr>
          <w:p>
            <w:pPr>
              <w:adjustRightInd w:val="0"/>
              <w:snapToGrid w:val="0"/>
              <w:spacing w:line="440" w:lineRule="exact"/>
              <w:jc w:val="center"/>
              <w:rPr>
                <w:rFonts w:ascii="宋体" w:hAnsi="宋体" w:cs="宋体"/>
                <w:b/>
                <w:sz w:val="24"/>
                <w:highlight w:val="none"/>
              </w:rPr>
            </w:pPr>
            <w:r>
              <w:rPr>
                <w:rFonts w:hint="eastAsia" w:ascii="宋体" w:hAnsi="宋体" w:cs="宋体"/>
                <w:sz w:val="24"/>
                <w:highlight w:val="none"/>
              </w:rPr>
              <w:t>21.1</w:t>
            </w:r>
          </w:p>
        </w:tc>
        <w:tc>
          <w:tcPr>
            <w:tcW w:w="4247" w:type="pct"/>
            <w:vAlign w:val="center"/>
          </w:tcPr>
          <w:p>
            <w:pPr>
              <w:adjustRightInd w:val="0"/>
              <w:snapToGrid w:val="0"/>
              <w:spacing w:line="440" w:lineRule="exact"/>
              <w:ind w:left="120" w:hanging="120" w:hangingChars="50"/>
              <w:rPr>
                <w:rFonts w:ascii="宋体" w:hAnsi="宋体" w:cs="宋体"/>
                <w:b/>
                <w:sz w:val="24"/>
                <w:highlight w:val="none"/>
              </w:rPr>
            </w:pPr>
            <w:r>
              <w:rPr>
                <w:rFonts w:hint="eastAsia" w:ascii="宋体" w:hAnsi="宋体" w:cs="宋体"/>
                <w:sz w:val="24"/>
                <w:highlight w:val="none"/>
              </w:rPr>
              <w:t>投标样品：不适用。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3"/>
            <w:vAlign w:val="center"/>
          </w:tcPr>
          <w:p>
            <w:pPr>
              <w:adjustRightInd w:val="0"/>
              <w:snapToGrid w:val="0"/>
              <w:spacing w:line="440" w:lineRule="exact"/>
              <w:jc w:val="center"/>
              <w:rPr>
                <w:rFonts w:ascii="宋体" w:hAnsi="宋体" w:cs="宋体"/>
                <w:sz w:val="24"/>
                <w:highlight w:val="none"/>
              </w:rPr>
            </w:pPr>
            <w:r>
              <w:rPr>
                <w:rFonts w:hint="eastAsia" w:ascii="宋体" w:hAnsi="宋体" w:cs="宋体"/>
                <w:b/>
                <w:sz w:val="24"/>
                <w:highlight w:val="none"/>
              </w:rPr>
              <w:t>（五）开标与评标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25.1</w:t>
            </w:r>
          </w:p>
        </w:tc>
        <w:tc>
          <w:tcPr>
            <w:tcW w:w="4247" w:type="pct"/>
            <w:vAlign w:val="center"/>
          </w:tcPr>
          <w:p>
            <w:pPr>
              <w:adjustRightInd w:val="0"/>
              <w:snapToGrid w:val="0"/>
              <w:spacing w:line="440" w:lineRule="exact"/>
              <w:rPr>
                <w:rFonts w:ascii="宋体" w:hAnsi="宋体" w:cs="宋体"/>
                <w:sz w:val="24"/>
                <w:highlight w:val="none"/>
              </w:rPr>
            </w:pPr>
            <w:r>
              <w:rPr>
                <w:rFonts w:hint="eastAsia" w:ascii="宋体" w:hAnsi="宋体" w:cs="宋体"/>
                <w:bCs/>
                <w:sz w:val="24"/>
                <w:highlight w:val="none"/>
              </w:rPr>
              <w:t>评标委员会由</w:t>
            </w:r>
            <w:r>
              <w:rPr>
                <w:rFonts w:hint="eastAsia" w:ascii="宋体" w:hAnsi="宋体" w:cs="宋体"/>
                <w:bCs/>
                <w:sz w:val="24"/>
                <w:highlight w:val="none"/>
                <w:u w:val="single"/>
              </w:rPr>
              <w:t xml:space="preserve"> </w:t>
            </w:r>
            <w:r>
              <w:rPr>
                <w:rFonts w:hint="eastAsia" w:ascii="宋体" w:hAnsi="宋体" w:cs="宋体"/>
                <w:b/>
                <w:sz w:val="24"/>
                <w:highlight w:val="none"/>
                <w:u w:val="single"/>
              </w:rPr>
              <w:t>5</w:t>
            </w:r>
            <w:r>
              <w:rPr>
                <w:rFonts w:hint="eastAsia" w:ascii="宋体" w:hAnsi="宋体" w:cs="宋体"/>
                <w:bCs/>
                <w:sz w:val="24"/>
                <w:highlight w:val="none"/>
                <w:u w:val="single"/>
              </w:rPr>
              <w:t xml:space="preserve"> </w:t>
            </w:r>
            <w:r>
              <w:rPr>
                <w:rFonts w:hint="eastAsia" w:ascii="宋体" w:hAnsi="宋体" w:cs="宋体"/>
                <w:bCs/>
                <w:sz w:val="24"/>
                <w:highlight w:val="none"/>
              </w:rPr>
              <w:t>人单数组成。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26.2</w:t>
            </w:r>
          </w:p>
        </w:tc>
        <w:tc>
          <w:tcPr>
            <w:tcW w:w="4247" w:type="pct"/>
            <w:vAlign w:val="center"/>
          </w:tcPr>
          <w:p>
            <w:pPr>
              <w:adjustRightInd w:val="0"/>
              <w:snapToGrid w:val="0"/>
              <w:spacing w:line="440" w:lineRule="exact"/>
              <w:rPr>
                <w:rFonts w:ascii="宋体" w:hAnsi="宋体" w:cs="宋体"/>
                <w:bCs/>
                <w:sz w:val="24"/>
                <w:highlight w:val="none"/>
              </w:rPr>
            </w:pPr>
            <w:r>
              <w:rPr>
                <w:rFonts w:hint="eastAsia" w:ascii="宋体" w:hAnsi="宋体" w:cs="宋体"/>
                <w:bCs/>
                <w:sz w:val="24"/>
                <w:highlight w:val="none"/>
              </w:rPr>
              <w:t>评标方法：综合评分法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3"/>
            <w:vAlign w:val="center"/>
          </w:tcPr>
          <w:p>
            <w:pPr>
              <w:adjustRightInd w:val="0"/>
              <w:snapToGrid w:val="0"/>
              <w:spacing w:line="440" w:lineRule="exact"/>
              <w:jc w:val="center"/>
              <w:rPr>
                <w:rFonts w:ascii="宋体" w:hAnsi="宋体" w:cs="宋体"/>
                <w:sz w:val="24"/>
                <w:highlight w:val="none"/>
              </w:rPr>
            </w:pPr>
            <w:r>
              <w:rPr>
                <w:rFonts w:hint="eastAsia" w:ascii="宋体" w:hAnsi="宋体" w:cs="宋体"/>
                <w:b/>
                <w:sz w:val="24"/>
                <w:highlight w:val="none"/>
              </w:rPr>
              <w:t>（七）授予合同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ascii="宋体" w:hAnsi="宋体" w:cs="宋体"/>
                <w:sz w:val="24"/>
                <w:highlight w:val="none"/>
              </w:rPr>
              <w:t>33.1</w:t>
            </w:r>
          </w:p>
        </w:tc>
        <w:tc>
          <w:tcPr>
            <w:tcW w:w="4247" w:type="pct"/>
            <w:vAlign w:val="center"/>
          </w:tcPr>
          <w:p>
            <w:pPr>
              <w:adjustRightInd w:val="0"/>
              <w:snapToGrid w:val="0"/>
              <w:spacing w:line="440" w:lineRule="exact"/>
              <w:rPr>
                <w:rFonts w:ascii="宋体" w:hAnsi="宋体" w:cs="宋体"/>
                <w:sz w:val="24"/>
                <w:highlight w:val="none"/>
              </w:rPr>
            </w:pPr>
            <w:r>
              <w:rPr>
                <w:rFonts w:hint="eastAsia" w:ascii="宋体" w:hAnsi="宋体" w:cs="宋体"/>
                <w:sz w:val="24"/>
                <w:highlight w:val="none"/>
              </w:rPr>
              <w:t>履约保证金：合同金额的10%。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34.1</w:t>
            </w:r>
          </w:p>
        </w:tc>
        <w:tc>
          <w:tcPr>
            <w:tcW w:w="4247" w:type="pct"/>
            <w:vAlign w:val="center"/>
          </w:tcPr>
          <w:p>
            <w:pPr>
              <w:numPr>
                <w:ilvl w:val="0"/>
                <w:numId w:val="14"/>
              </w:numPr>
              <w:tabs>
                <w:tab w:val="left" w:pos="425"/>
              </w:tabs>
              <w:adjustRightInd w:val="0"/>
              <w:snapToGrid w:val="0"/>
              <w:spacing w:line="440" w:lineRule="exact"/>
              <w:rPr>
                <w:rFonts w:ascii="宋体" w:hAnsi="宋体" w:cs="宋体"/>
                <w:sz w:val="24"/>
                <w:highlight w:val="none"/>
              </w:rPr>
            </w:pPr>
            <w:r>
              <w:rPr>
                <w:rFonts w:hint="eastAsia" w:ascii="宋体" w:hAnsi="宋体" w:cs="宋体"/>
                <w:sz w:val="24"/>
                <w:highlight w:val="none"/>
              </w:rPr>
              <w:t>中标人须向采购代理机构按如下标准和规定交纳招标代理服务费：</w:t>
            </w:r>
          </w:p>
          <w:p>
            <w:pPr>
              <w:numPr>
                <w:ilvl w:val="0"/>
                <w:numId w:val="15"/>
              </w:numPr>
              <w:adjustRightInd w:val="0"/>
              <w:snapToGrid w:val="0"/>
              <w:spacing w:line="440" w:lineRule="exact"/>
              <w:ind w:left="680" w:hanging="680"/>
              <w:rPr>
                <w:highlight w:val="none"/>
                <w:lang w:eastAsia="zh-Hans"/>
              </w:rPr>
            </w:pPr>
            <w:r>
              <w:rPr>
                <w:rFonts w:hint="eastAsia" w:ascii="宋体" w:hAnsi="宋体" w:cs="宋体"/>
                <w:sz w:val="24"/>
                <w:highlight w:val="none"/>
              </w:rPr>
              <w:t>招标</w:t>
            </w:r>
            <w:r>
              <w:rPr>
                <w:rFonts w:hint="eastAsia" w:cs="宋体" w:asciiTheme="minorEastAsia" w:hAnsiTheme="minorEastAsia"/>
                <w:kern w:val="0"/>
                <w:sz w:val="24"/>
                <w:highlight w:val="none"/>
                <w:lang w:bidi="ar"/>
              </w:rPr>
              <w:t>代理费以采购预算金额为计算基数，收取标准参照《招标代理服务收费管理暂行办法》计价格[2002]1980号文和发改价格[2011]534号（</w:t>
            </w:r>
            <w:r>
              <w:rPr>
                <w:rFonts w:hint="eastAsia" w:ascii="宋体" w:hAnsi="宋体"/>
                <w:sz w:val="24"/>
                <w:highlight w:val="none"/>
              </w:rPr>
              <w:t>招标文件34.2规定</w:t>
            </w:r>
            <w:r>
              <w:rPr>
                <w:rFonts w:hint="eastAsia" w:cs="宋体" w:asciiTheme="minorEastAsia" w:hAnsiTheme="minorEastAsia"/>
                <w:kern w:val="0"/>
                <w:sz w:val="24"/>
                <w:highlight w:val="none"/>
                <w:lang w:bidi="ar"/>
              </w:rPr>
              <w:t>）“货物类”费率差额累进计算收取。</w:t>
            </w:r>
          </w:p>
          <w:p>
            <w:pPr>
              <w:numPr>
                <w:ilvl w:val="0"/>
                <w:numId w:val="15"/>
              </w:numPr>
              <w:adjustRightInd w:val="0"/>
              <w:snapToGrid w:val="0"/>
              <w:spacing w:line="440" w:lineRule="exact"/>
              <w:ind w:left="680" w:hanging="680"/>
              <w:rPr>
                <w:rFonts w:ascii="宋体" w:hAnsi="宋体" w:cs="宋体"/>
                <w:sz w:val="24"/>
                <w:highlight w:val="none"/>
              </w:rPr>
            </w:pPr>
            <w:r>
              <w:rPr>
                <w:rFonts w:hint="eastAsia" w:ascii="宋体" w:hAnsi="宋体" w:cs="宋体"/>
                <w:sz w:val="24"/>
                <w:highlight w:val="none"/>
              </w:rPr>
              <w:t>招标代理服务费的交纳形式：采用现金或转账付款方式。</w:t>
            </w:r>
          </w:p>
          <w:p>
            <w:pPr>
              <w:numPr>
                <w:ilvl w:val="0"/>
                <w:numId w:val="15"/>
              </w:numPr>
              <w:adjustRightInd w:val="0"/>
              <w:snapToGrid w:val="0"/>
              <w:spacing w:line="440" w:lineRule="exact"/>
              <w:ind w:left="680" w:hanging="680"/>
              <w:rPr>
                <w:rFonts w:ascii="宋体" w:hAnsi="宋体" w:cs="宋体"/>
                <w:sz w:val="24"/>
                <w:highlight w:val="none"/>
              </w:rPr>
            </w:pPr>
            <w:r>
              <w:rPr>
                <w:rFonts w:hint="eastAsia" w:ascii="宋体" w:hAnsi="宋体" w:cs="宋体"/>
                <w:sz w:val="24"/>
                <w:highlight w:val="none"/>
              </w:rPr>
              <w:t>招标代理服务费付至：</w:t>
            </w:r>
          </w:p>
          <w:p>
            <w:pPr>
              <w:adjustRightInd w:val="0"/>
              <w:snapToGrid w:val="0"/>
              <w:spacing w:line="440" w:lineRule="exact"/>
              <w:ind w:firstLine="698" w:firstLineChars="291"/>
              <w:rPr>
                <w:rFonts w:ascii="宋体" w:hAnsi="宋体" w:cs="宋体"/>
                <w:sz w:val="24"/>
                <w:highlight w:val="none"/>
              </w:rPr>
            </w:pPr>
            <w:r>
              <w:rPr>
                <w:rFonts w:hint="eastAsia" w:ascii="宋体" w:hAnsi="宋体" w:cs="宋体"/>
                <w:sz w:val="24"/>
                <w:highlight w:val="none"/>
              </w:rPr>
              <w:t>收款人名称：广东有德招标采购有限公司</w:t>
            </w:r>
          </w:p>
          <w:p>
            <w:pPr>
              <w:adjustRightInd w:val="0"/>
              <w:snapToGrid w:val="0"/>
              <w:spacing w:line="440" w:lineRule="exact"/>
              <w:ind w:firstLine="698" w:firstLineChars="291"/>
              <w:rPr>
                <w:rFonts w:ascii="宋体" w:hAnsi="宋体" w:cs="宋体"/>
                <w:sz w:val="24"/>
                <w:highlight w:val="none"/>
              </w:rPr>
            </w:pPr>
            <w:r>
              <w:rPr>
                <w:rFonts w:hint="eastAsia" w:ascii="宋体" w:hAnsi="宋体" w:cs="宋体"/>
                <w:sz w:val="24"/>
                <w:highlight w:val="none"/>
              </w:rPr>
              <w:t>开户银行：中国光大银行广州分行</w:t>
            </w:r>
          </w:p>
          <w:p>
            <w:pPr>
              <w:adjustRightInd w:val="0"/>
              <w:snapToGrid w:val="0"/>
              <w:spacing w:line="440" w:lineRule="exact"/>
              <w:ind w:firstLine="698" w:firstLineChars="291"/>
              <w:rPr>
                <w:rFonts w:ascii="宋体" w:hAnsi="宋体" w:cs="宋体"/>
                <w:sz w:val="24"/>
                <w:highlight w:val="none"/>
              </w:rPr>
            </w:pPr>
            <w:r>
              <w:rPr>
                <w:rFonts w:hint="eastAsia" w:ascii="宋体" w:hAnsi="宋体" w:cs="宋体"/>
                <w:sz w:val="24"/>
                <w:highlight w:val="none"/>
              </w:rPr>
              <w:t>账    号：38610188000123567</w:t>
            </w:r>
          </w:p>
          <w:p>
            <w:pPr>
              <w:numPr>
                <w:ilvl w:val="0"/>
                <w:numId w:val="16"/>
              </w:numPr>
              <w:adjustRightInd w:val="0"/>
              <w:snapToGrid w:val="0"/>
              <w:spacing w:line="440" w:lineRule="exact"/>
              <w:rPr>
                <w:rFonts w:ascii="宋体" w:hAnsi="宋体" w:cs="宋体"/>
                <w:sz w:val="24"/>
                <w:highlight w:val="none"/>
              </w:rPr>
            </w:pPr>
            <w:r>
              <w:rPr>
                <w:rFonts w:hint="eastAsia" w:ascii="宋体" w:hAnsi="宋体" w:cs="宋体"/>
                <w:sz w:val="24"/>
                <w:highlight w:val="none"/>
              </w:rPr>
              <w:t>中标人向采购代理机构交纳招标代理服务费后，凭授权委托书和领取人身份证复印件并加盖公司公章领取《中标通知书》。如采用银行转账的，须同时递交招标代理服务费缴费凭证复印件并加盖公章。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000" w:type="pct"/>
            <w:gridSpan w:val="3"/>
            <w:vAlign w:val="center"/>
          </w:tcPr>
          <w:p>
            <w:pPr>
              <w:adjustRightInd w:val="0"/>
              <w:snapToGrid w:val="0"/>
              <w:spacing w:line="440" w:lineRule="exact"/>
              <w:jc w:val="center"/>
              <w:rPr>
                <w:rFonts w:ascii="宋体" w:hAnsi="宋体" w:cs="宋体"/>
                <w:b/>
                <w:bCs/>
                <w:sz w:val="24"/>
                <w:highlight w:val="none"/>
              </w:rPr>
            </w:pPr>
            <w:r>
              <w:rPr>
                <w:rFonts w:hint="eastAsia" w:ascii="宋体" w:hAnsi="宋体" w:cs="宋体"/>
                <w:b/>
                <w:bCs/>
                <w:sz w:val="24"/>
                <w:highlight w:val="none"/>
              </w:rPr>
              <w:t>补充条款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2" w:type="pct"/>
            <w:gridSpan w:val="2"/>
            <w:vAlign w:val="center"/>
          </w:tcPr>
          <w:p>
            <w:pPr>
              <w:adjustRightInd w:val="0"/>
              <w:snapToGrid w:val="0"/>
              <w:spacing w:line="440" w:lineRule="exact"/>
              <w:jc w:val="center"/>
              <w:rPr>
                <w:rFonts w:ascii="宋体" w:hAnsi="宋体" w:cs="宋体"/>
                <w:sz w:val="24"/>
                <w:highlight w:val="none"/>
              </w:rPr>
            </w:pPr>
            <w:r>
              <w:rPr>
                <w:rFonts w:hint="eastAsia" w:ascii="宋体" w:hAnsi="宋体" w:cs="宋体"/>
                <w:bCs/>
                <w:sz w:val="24"/>
                <w:highlight w:val="none"/>
              </w:rPr>
              <w:t>信息发布媒体</w:t>
            </w:r>
          </w:p>
        </w:tc>
        <w:tc>
          <w:tcPr>
            <w:tcW w:w="4247" w:type="pct"/>
            <w:vAlign w:val="center"/>
          </w:tcPr>
          <w:p>
            <w:pPr>
              <w:tabs>
                <w:tab w:val="left" w:pos="420"/>
              </w:tabs>
              <w:adjustRightInd w:val="0"/>
              <w:snapToGrid w:val="0"/>
              <w:spacing w:line="440" w:lineRule="exact"/>
              <w:jc w:val="left"/>
              <w:rPr>
                <w:rFonts w:ascii="宋体" w:hAnsi="宋体" w:cs="宋体"/>
                <w:sz w:val="24"/>
                <w:szCs w:val="24"/>
                <w:highlight w:val="none"/>
              </w:rPr>
            </w:pPr>
            <w:r>
              <w:rPr>
                <w:rFonts w:hint="eastAsia" w:ascii="宋体" w:hAnsi="宋体" w:cs="宋体"/>
                <w:bCs/>
                <w:sz w:val="24"/>
                <w:szCs w:val="24"/>
                <w:highlight w:val="none"/>
              </w:rPr>
              <w:t>中国政府采购网（</w:t>
            </w:r>
            <w:r>
              <w:rPr>
                <w:sz w:val="24"/>
                <w:szCs w:val="24"/>
                <w:highlight w:val="none"/>
              </w:rPr>
              <w:fldChar w:fldCharType="begin"/>
            </w:r>
            <w:r>
              <w:rPr>
                <w:sz w:val="24"/>
                <w:szCs w:val="24"/>
                <w:highlight w:val="none"/>
              </w:rPr>
              <w:instrText xml:space="preserve"> HYPERLINK "http://www.ccgp.gov.cn" </w:instrText>
            </w:r>
            <w:r>
              <w:rPr>
                <w:sz w:val="24"/>
                <w:szCs w:val="24"/>
                <w:highlight w:val="none"/>
              </w:rPr>
              <w:fldChar w:fldCharType="separate"/>
            </w:r>
            <w:r>
              <w:rPr>
                <w:rFonts w:ascii="宋体" w:hAnsi="宋体"/>
                <w:sz w:val="24"/>
                <w:szCs w:val="24"/>
                <w:highlight w:val="none"/>
              </w:rPr>
              <w:t>www.ccgp.gov.cn</w:t>
            </w:r>
            <w:r>
              <w:rPr>
                <w:rFonts w:ascii="宋体" w:hAnsi="宋体"/>
                <w:sz w:val="24"/>
                <w:szCs w:val="24"/>
                <w:highlight w:val="none"/>
              </w:rPr>
              <w:fldChar w:fldCharType="end"/>
            </w:r>
            <w:r>
              <w:rPr>
                <w:rFonts w:hint="eastAsia" w:ascii="宋体" w:hAnsi="宋体" w:cs="宋体"/>
                <w:sz w:val="24"/>
                <w:szCs w:val="24"/>
                <w:highlight w:val="none"/>
              </w:rPr>
              <w:t>）</w:t>
            </w:r>
          </w:p>
          <w:p>
            <w:pPr>
              <w:tabs>
                <w:tab w:val="left" w:pos="420"/>
              </w:tabs>
              <w:adjustRightInd w:val="0"/>
              <w:snapToGrid w:val="0"/>
              <w:spacing w:line="440" w:lineRule="exact"/>
              <w:jc w:val="left"/>
              <w:rPr>
                <w:rFonts w:hint="eastAsia" w:ascii="宋体" w:hAnsi="宋体" w:cs="宋体"/>
                <w:bCs/>
                <w:sz w:val="24"/>
                <w:szCs w:val="24"/>
                <w:highlight w:val="none"/>
              </w:rPr>
            </w:pPr>
            <w:r>
              <w:rPr>
                <w:rFonts w:hint="eastAsia" w:ascii="宋体" w:hAnsi="宋体" w:cs="宋体"/>
                <w:bCs/>
                <w:sz w:val="24"/>
                <w:szCs w:val="24"/>
                <w:highlight w:val="none"/>
              </w:rPr>
              <w:t>广东有德招标采购有限公司网站（www.youde.net）</w:t>
            </w:r>
          </w:p>
          <w:p>
            <w:pPr>
              <w:tabs>
                <w:tab w:val="left" w:pos="420"/>
              </w:tabs>
              <w:adjustRightInd w:val="0"/>
              <w:snapToGrid w:val="0"/>
              <w:spacing w:line="440" w:lineRule="exact"/>
              <w:jc w:val="left"/>
              <w:rPr>
                <w:rFonts w:hint="default" w:eastAsia="宋体"/>
                <w:sz w:val="24"/>
                <w:szCs w:val="24"/>
                <w:highlight w:val="none"/>
                <w:lang w:val="en-US" w:eastAsia="zh-CN"/>
              </w:rPr>
            </w:pPr>
            <w:r>
              <w:rPr>
                <w:rFonts w:hint="eastAsia" w:ascii="宋体" w:hAnsi="宋体" w:cs="宋体"/>
                <w:bCs/>
                <w:sz w:val="24"/>
                <w:szCs w:val="24"/>
                <w:highlight w:val="none"/>
                <w:lang w:val="en-US" w:eastAsia="zh-CN"/>
              </w:rPr>
              <w:t>中国热带农</w:t>
            </w:r>
            <w:r>
              <w:rPr>
                <w:rFonts w:hint="eastAsia" w:ascii="宋体" w:hAnsi="宋体" w:eastAsia="宋体" w:cs="宋体"/>
                <w:bCs/>
                <w:kern w:val="2"/>
                <w:sz w:val="24"/>
                <w:szCs w:val="24"/>
                <w:highlight w:val="none"/>
                <w:lang w:val="en-US" w:eastAsia="zh-CN" w:bidi="ar-SA"/>
              </w:rPr>
              <w:t>业科学院热带作物品种资源研究所网站（https://www.catastcgri.cn/）</w:t>
            </w:r>
          </w:p>
        </w:tc>
      </w:tr>
    </w:tbl>
    <w:p>
      <w:pPr>
        <w:rPr>
          <w:highlight w:val="none"/>
        </w:rPr>
      </w:pPr>
    </w:p>
    <w:p>
      <w:pPr>
        <w:rPr>
          <w:highlight w:val="none"/>
        </w:rPr>
      </w:pPr>
    </w:p>
    <w:p>
      <w:pPr>
        <w:rPr>
          <w:highlight w:val="none"/>
        </w:rPr>
      </w:pPr>
      <w:r>
        <w:rPr>
          <w:rFonts w:hint="eastAsia"/>
          <w:highlight w:val="none"/>
        </w:rPr>
        <w:t xml:space="preserve"> </w:t>
      </w:r>
    </w:p>
    <w:p>
      <w:pPr>
        <w:rPr>
          <w:highlight w:val="none"/>
        </w:rPr>
      </w:pPr>
    </w:p>
    <w:p>
      <w:pPr>
        <w:rPr>
          <w:highlight w:val="none"/>
        </w:rPr>
      </w:pPr>
    </w:p>
    <w:p>
      <w:pPr>
        <w:rPr>
          <w:highlight w:val="none"/>
        </w:rPr>
      </w:pPr>
      <w:bookmarkStart w:id="66" w:name="_Toc7064"/>
      <w:bookmarkStart w:id="67" w:name="_Toc423021940"/>
      <w:r>
        <w:rPr>
          <w:highlight w:val="none"/>
        </w:rPr>
        <w:br w:type="page"/>
      </w:r>
    </w:p>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highlight w:val="none"/>
        </w:rPr>
      </w:pPr>
      <w:bookmarkStart w:id="68" w:name="_Toc13811"/>
      <w:bookmarkStart w:id="69" w:name="_Toc18849"/>
      <w:r>
        <w:rPr>
          <w:highlight w:val="none"/>
        </w:rPr>
        <w:t>总则</w:t>
      </w:r>
      <w:bookmarkEnd w:id="66"/>
      <w:bookmarkEnd w:id="67"/>
      <w:bookmarkEnd w:id="68"/>
      <w:bookmarkEnd w:id="69"/>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sz w:val="28"/>
          <w:szCs w:val="28"/>
          <w:highlight w:val="none"/>
          <w:lang w:val="zh-CN"/>
        </w:rPr>
      </w:pPr>
      <w:bookmarkStart w:id="70" w:name="_Toc12693"/>
      <w:bookmarkStart w:id="71" w:name="_Toc20307"/>
      <w:bookmarkStart w:id="72" w:name="_Toc13429"/>
      <w:r>
        <w:rPr>
          <w:rFonts w:hint="eastAsia"/>
          <w:sz w:val="28"/>
          <w:szCs w:val="28"/>
          <w:highlight w:val="none"/>
          <w:lang w:val="zh-CN"/>
        </w:rPr>
        <w:t>采购项目与采购当事人</w:t>
      </w:r>
      <w:bookmarkEnd w:id="70"/>
      <w:bookmarkEnd w:id="71"/>
      <w:bookmarkEnd w:id="72"/>
    </w:p>
    <w:p>
      <w:pPr>
        <w:numPr>
          <w:ilvl w:val="1"/>
          <w:numId w:val="19"/>
        </w:numPr>
        <w:tabs>
          <w:tab w:val="left" w:pos="1020"/>
          <w:tab w:val="left" w:pos="1260"/>
          <w:tab w:val="clear" w:pos="907"/>
        </w:tabs>
        <w:spacing w:line="360" w:lineRule="auto"/>
        <w:ind w:left="1007" w:hanging="587"/>
        <w:rPr>
          <w:rFonts w:ascii="宋体" w:hAnsi="宋体" w:cs="宋体"/>
          <w:sz w:val="24"/>
          <w:highlight w:val="none"/>
          <w:lang w:val="zh-CN"/>
        </w:rPr>
      </w:pPr>
      <w:r>
        <w:rPr>
          <w:rFonts w:hint="eastAsia" w:ascii="宋体" w:hAnsi="宋体" w:cs="宋体"/>
          <w:sz w:val="24"/>
          <w:highlight w:val="none"/>
          <w:lang w:val="zh-CN"/>
        </w:rPr>
        <w:t>本招标文件</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中所述的采购人已经获得足以支付本次采购后所签订的合同项下的款项。</w:t>
      </w:r>
    </w:p>
    <w:p>
      <w:pPr>
        <w:numPr>
          <w:ilvl w:val="1"/>
          <w:numId w:val="19"/>
        </w:numPr>
        <w:tabs>
          <w:tab w:val="left" w:pos="1020"/>
          <w:tab w:val="left" w:pos="1260"/>
          <w:tab w:val="clear" w:pos="907"/>
        </w:tabs>
        <w:spacing w:line="360" w:lineRule="auto"/>
        <w:ind w:left="1007" w:hanging="587"/>
        <w:rPr>
          <w:rFonts w:ascii="宋体" w:hAnsi="宋体" w:cs="宋体"/>
          <w:sz w:val="24"/>
          <w:highlight w:val="none"/>
          <w:lang w:val="zh-CN"/>
        </w:rPr>
      </w:pPr>
      <w:r>
        <w:rPr>
          <w:rFonts w:hint="eastAsia" w:ascii="宋体" w:hAnsi="宋体" w:cs="宋体"/>
          <w:sz w:val="24"/>
          <w:highlight w:val="none"/>
          <w:lang w:val="zh-CN"/>
        </w:rPr>
        <w:t>本次采购的采购人和采购代理机构（以下简称采购代理机构）的名称、地址、联系人和电话见</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73" w:name="_Toc21444"/>
      <w:bookmarkStart w:id="74" w:name="_Toc21678"/>
      <w:bookmarkStart w:id="75" w:name="_Toc15729"/>
      <w:r>
        <w:rPr>
          <w:rFonts w:hint="eastAsia"/>
          <w:sz w:val="28"/>
          <w:szCs w:val="28"/>
          <w:highlight w:val="none"/>
          <w:lang w:val="zh-CN"/>
        </w:rPr>
        <w:t>合格的投标人</w:t>
      </w:r>
      <w:bookmarkEnd w:id="73"/>
      <w:bookmarkEnd w:id="74"/>
      <w:bookmarkEnd w:id="75"/>
    </w:p>
    <w:p>
      <w:pPr>
        <w:numPr>
          <w:ilvl w:val="1"/>
          <w:numId w:val="20"/>
        </w:numPr>
        <w:tabs>
          <w:tab w:val="left" w:pos="1040"/>
          <w:tab w:val="left" w:pos="1260"/>
          <w:tab w:val="clear" w:pos="907"/>
        </w:tabs>
        <w:spacing w:line="360" w:lineRule="auto"/>
        <w:ind w:left="1007" w:hanging="587"/>
        <w:rPr>
          <w:rFonts w:ascii="宋体" w:hAnsi="宋体" w:cs="宋体"/>
          <w:sz w:val="24"/>
          <w:highlight w:val="none"/>
          <w:lang w:val="zh-CN"/>
        </w:rPr>
      </w:pPr>
      <w:r>
        <w:rPr>
          <w:rFonts w:hint="eastAsia" w:ascii="宋体" w:hAnsi="宋体" w:cs="宋体"/>
          <w:sz w:val="24"/>
          <w:highlight w:val="none"/>
          <w:lang w:val="zh-CN"/>
        </w:rPr>
        <w:t>见招标文件第一章“投标邀请函”第二款内容。</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76" w:name="_Toc17172"/>
      <w:bookmarkStart w:id="77" w:name="_Toc7082"/>
      <w:bookmarkStart w:id="78" w:name="_Toc16597"/>
      <w:r>
        <w:rPr>
          <w:rFonts w:hint="eastAsia"/>
          <w:sz w:val="28"/>
          <w:szCs w:val="28"/>
          <w:highlight w:val="none"/>
          <w:lang w:val="zh-CN"/>
        </w:rPr>
        <w:t>合格的货物和服务</w:t>
      </w:r>
      <w:bookmarkEnd w:id="76"/>
      <w:bookmarkEnd w:id="77"/>
      <w:bookmarkEnd w:id="78"/>
    </w:p>
    <w:p>
      <w:pPr>
        <w:numPr>
          <w:ilvl w:val="1"/>
          <w:numId w:val="21"/>
        </w:numPr>
        <w:tabs>
          <w:tab w:val="left" w:pos="104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合格的货物是指投标人生产或销售的，符合国家有关标准要求的产品，并满足招标文件规定的规格、参数、质量、价格、有效期、售后服务</w:t>
      </w:r>
      <w:r>
        <w:rPr>
          <w:rFonts w:hint="eastAsia" w:ascii="宋体" w:hAnsi="宋体" w:cs="宋体"/>
          <w:sz w:val="24"/>
          <w:highlight w:val="none"/>
          <w:lang w:val="zh-CN"/>
        </w:rPr>
        <w:t>等要求。</w:t>
      </w:r>
    </w:p>
    <w:p>
      <w:pPr>
        <w:numPr>
          <w:ilvl w:val="1"/>
          <w:numId w:val="21"/>
        </w:numPr>
        <w:tabs>
          <w:tab w:val="left" w:pos="104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投标货物必须是全新的，如安装或配置软件的，须为正版软件。</w:t>
      </w:r>
    </w:p>
    <w:p>
      <w:pPr>
        <w:numPr>
          <w:ilvl w:val="1"/>
          <w:numId w:val="21"/>
        </w:numPr>
        <w:tabs>
          <w:tab w:val="left" w:pos="104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招标文件中没有提及招标货物</w:t>
      </w:r>
      <w:r>
        <w:rPr>
          <w:rFonts w:hint="eastAsia" w:ascii="宋体" w:hAnsi="宋体" w:cs="宋体"/>
          <w:sz w:val="24"/>
          <w:highlight w:val="none"/>
          <w:lang w:val="en-US" w:eastAsia="zh-CN"/>
        </w:rPr>
        <w:t>是否允许进口产品参与投标的</w:t>
      </w:r>
      <w:r>
        <w:rPr>
          <w:rFonts w:hint="eastAsia" w:ascii="宋体" w:hAnsi="宋体" w:cs="宋体"/>
          <w:sz w:val="24"/>
          <w:highlight w:val="none"/>
          <w:lang w:val="zh-CN"/>
        </w:rPr>
        <w:t>，</w:t>
      </w:r>
      <w:r>
        <w:rPr>
          <w:rFonts w:hint="eastAsia" w:ascii="宋体" w:hAnsi="宋体" w:cs="宋体"/>
          <w:sz w:val="24"/>
          <w:highlight w:val="none"/>
        </w:rPr>
        <w:t>参照</w:t>
      </w:r>
      <w:r>
        <w:rPr>
          <w:rFonts w:hint="eastAsia" w:ascii="宋体" w:hAnsi="宋体" w:cs="宋体"/>
          <w:sz w:val="24"/>
          <w:highlight w:val="none"/>
          <w:lang w:val="zh-CN"/>
        </w:rPr>
        <w:t>《中华人民共和国政府采购法》及相关规定均应是本国的货物，并优先采购节能、环保产品。确需采购进口产品的，依据《政府采购进口产品管理办法》执行。</w:t>
      </w:r>
    </w:p>
    <w:p>
      <w:pPr>
        <w:numPr>
          <w:ilvl w:val="1"/>
          <w:numId w:val="21"/>
        </w:numPr>
        <w:tabs>
          <w:tab w:val="left" w:pos="104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本文件所称进口产品是指通过中国海关报关验放进入中国境内且产</w:t>
      </w:r>
      <w:r>
        <w:rPr>
          <w:rFonts w:hint="eastAsia" w:ascii="宋体" w:hAnsi="宋体" w:cs="宋体"/>
          <w:sz w:val="24"/>
          <w:highlight w:val="none"/>
          <w:lang w:val="zh-CN"/>
        </w:rPr>
        <w:t>自关外的产品。进口的产品必须具有合法的进口手续和途径并通过商检部门的检验。</w:t>
      </w:r>
    </w:p>
    <w:p>
      <w:pPr>
        <w:numPr>
          <w:ilvl w:val="1"/>
          <w:numId w:val="21"/>
        </w:numPr>
        <w:tabs>
          <w:tab w:val="left" w:pos="104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投标人应保证采购人在中华人民共和国境内使用本项目的投标货物、资料、技术、服务或其任何一部分</w:t>
      </w:r>
      <w:r>
        <w:rPr>
          <w:rFonts w:hint="eastAsia" w:ascii="宋体" w:hAnsi="宋体" w:cs="宋体"/>
          <w:sz w:val="24"/>
          <w:highlight w:val="none"/>
          <w:lang w:val="en-GB"/>
        </w:rPr>
        <w:t>时，享有不受限制的无偿使用权，</w:t>
      </w:r>
      <w:r>
        <w:rPr>
          <w:rFonts w:hint="eastAsia" w:ascii="宋体" w:hAnsi="宋体" w:cs="宋体"/>
          <w:sz w:val="24"/>
          <w:highlight w:val="none"/>
          <w:lang w:val="zh-CN"/>
        </w:rPr>
        <w:t>不会产生因第三方提出侵犯其专利权、商标权或其它知识产权而引起的法律和经济纠纷。</w:t>
      </w:r>
    </w:p>
    <w:p>
      <w:pPr>
        <w:numPr>
          <w:ilvl w:val="1"/>
          <w:numId w:val="21"/>
        </w:numPr>
        <w:tabs>
          <w:tab w:val="left" w:pos="104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合格的服务是指投标人须承担的运输、安装、技术支持、培训以及招标文件规定的其它伴随服务。</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79" w:name="_Toc11417"/>
      <w:bookmarkStart w:id="80" w:name="_Toc30138"/>
      <w:bookmarkStart w:id="81" w:name="_Toc21681"/>
      <w:r>
        <w:rPr>
          <w:rFonts w:hint="eastAsia"/>
          <w:sz w:val="28"/>
          <w:szCs w:val="28"/>
          <w:highlight w:val="none"/>
          <w:lang w:val="zh-CN"/>
        </w:rPr>
        <w:t>政府采购信用担保</w:t>
      </w:r>
      <w:bookmarkEnd w:id="79"/>
      <w:bookmarkEnd w:id="80"/>
      <w:bookmarkEnd w:id="81"/>
    </w:p>
    <w:p>
      <w:pPr>
        <w:numPr>
          <w:ilvl w:val="1"/>
          <w:numId w:val="22"/>
        </w:numPr>
        <w:tabs>
          <w:tab w:val="left" w:pos="106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投标担保，是指由专业担保机构为投标人履行支付投标保证金的义务向采购人或采购代理机构提供的保证担保。投标人在投标有效期内发生的撤回投标文件，或中标后因自身原因不签署政府采购合同等行为而应实际支付保证金的，由专业担保机构按照担保函的约定履行担保责任。投标人可以自愿选择是否采取投标担保函的形式交纳投标保证金。</w:t>
      </w:r>
    </w:p>
    <w:p>
      <w:pPr>
        <w:numPr>
          <w:ilvl w:val="1"/>
          <w:numId w:val="22"/>
        </w:numPr>
        <w:tabs>
          <w:tab w:val="left" w:pos="106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 xml:space="preserve">履约担保，是指由专业担保机构为投标人支付履约保证金的义务向采购人提供的保证担保。中标人未按政府采购合同履行约定义务而应实际支付保证金的，由专业担保机构按照担保函的约定履行担保责任。投标人可以自行选择是否采取履约担保函的形式交纳履约保证金。 </w:t>
      </w:r>
    </w:p>
    <w:p>
      <w:pPr>
        <w:numPr>
          <w:ilvl w:val="1"/>
          <w:numId w:val="22"/>
        </w:numPr>
        <w:tabs>
          <w:tab w:val="left" w:pos="106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 xml:space="preserve">融资担保，是指由专业担保机构为投标人向银行融资提供的保证担保。投标人可以自愿选择是否采取融资担保的形式为政府采购履约进行融资。 </w:t>
      </w:r>
    </w:p>
    <w:p>
      <w:pPr>
        <w:numPr>
          <w:ilvl w:val="1"/>
          <w:numId w:val="22"/>
        </w:numPr>
        <w:tabs>
          <w:tab w:val="left" w:pos="106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投标人可以以投标担保函的形式交纳投标保证金，并以《政府采购投标担保函》作为投标文件的附件。</w:t>
      </w:r>
    </w:p>
    <w:p>
      <w:pPr>
        <w:numPr>
          <w:ilvl w:val="1"/>
          <w:numId w:val="22"/>
        </w:numPr>
        <w:tabs>
          <w:tab w:val="left" w:pos="1060"/>
          <w:tab w:val="left" w:pos="1260"/>
          <w:tab w:val="clear" w:pos="907"/>
        </w:tabs>
        <w:spacing w:line="360" w:lineRule="auto"/>
        <w:ind w:left="1027" w:hanging="607"/>
        <w:rPr>
          <w:rFonts w:ascii="宋体" w:hAnsi="宋体" w:cs="宋体"/>
          <w:sz w:val="24"/>
          <w:highlight w:val="none"/>
          <w:lang w:val="zh-CN"/>
        </w:rPr>
      </w:pPr>
      <w:r>
        <w:rPr>
          <w:rFonts w:hint="eastAsia" w:ascii="宋体" w:hAnsi="宋体" w:cs="宋体"/>
          <w:sz w:val="24"/>
          <w:highlight w:val="none"/>
          <w:lang w:val="zh-CN"/>
        </w:rPr>
        <w:t xml:space="preserve">投标人可以以履约担保函的形式交纳履约保证金。 </w:t>
      </w:r>
    </w:p>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highlight w:val="none"/>
        </w:rPr>
      </w:pPr>
      <w:bookmarkStart w:id="82" w:name="_Toc423021941"/>
      <w:bookmarkStart w:id="83" w:name="_Toc11289"/>
      <w:bookmarkStart w:id="84" w:name="_Toc1590"/>
      <w:bookmarkStart w:id="85" w:name="_Toc15857"/>
      <w:r>
        <w:rPr>
          <w:highlight w:val="none"/>
        </w:rPr>
        <w:t>招标文件</w:t>
      </w:r>
      <w:bookmarkEnd w:id="82"/>
      <w:bookmarkEnd w:id="83"/>
      <w:bookmarkEnd w:id="84"/>
      <w:bookmarkEnd w:id="85"/>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86" w:name="_Toc30660"/>
      <w:bookmarkStart w:id="87" w:name="_Toc5324"/>
      <w:bookmarkStart w:id="88" w:name="_Toc4639"/>
      <w:r>
        <w:rPr>
          <w:rFonts w:hint="eastAsia"/>
          <w:sz w:val="28"/>
          <w:szCs w:val="28"/>
          <w:highlight w:val="none"/>
          <w:lang w:val="zh-CN"/>
        </w:rPr>
        <w:t>招标文件的编制依据和组成</w:t>
      </w:r>
      <w:bookmarkEnd w:id="86"/>
      <w:bookmarkEnd w:id="87"/>
      <w:bookmarkEnd w:id="88"/>
    </w:p>
    <w:p>
      <w:pPr>
        <w:numPr>
          <w:ilvl w:val="1"/>
          <w:numId w:val="23"/>
        </w:numPr>
        <w:tabs>
          <w:tab w:val="left" w:pos="1040"/>
          <w:tab w:val="left" w:pos="1260"/>
          <w:tab w:val="clear" w:pos="907"/>
        </w:tabs>
        <w:spacing w:line="360" w:lineRule="auto"/>
        <w:ind w:left="1047" w:hanging="627"/>
        <w:rPr>
          <w:rFonts w:ascii="宋体" w:hAnsi="宋体" w:cs="宋体"/>
          <w:sz w:val="24"/>
          <w:highlight w:val="none"/>
          <w:lang w:val="zh-CN"/>
        </w:rPr>
      </w:pPr>
      <w:bookmarkStart w:id="89" w:name="_Toc413372447"/>
      <w:bookmarkStart w:id="90" w:name="_Toc413372889"/>
      <w:bookmarkStart w:id="91" w:name="_Toc413373035"/>
      <w:r>
        <w:rPr>
          <w:rFonts w:hint="eastAsia" w:ascii="宋体" w:hAnsi="宋体" w:cs="宋体"/>
          <w:sz w:val="24"/>
          <w:highlight w:val="none"/>
          <w:lang w:val="zh-CN"/>
        </w:rPr>
        <w:t>本招标文件的编制是</w:t>
      </w:r>
      <w:r>
        <w:rPr>
          <w:rFonts w:hint="eastAsia" w:ascii="宋体" w:hAnsi="宋体" w:cs="宋体"/>
          <w:sz w:val="24"/>
          <w:highlight w:val="none"/>
        </w:rPr>
        <w:t>依据</w:t>
      </w:r>
      <w:r>
        <w:rPr>
          <w:rFonts w:hint="eastAsia" w:ascii="宋体" w:hAnsi="宋体" w:cs="宋体"/>
          <w:sz w:val="24"/>
          <w:highlight w:val="none"/>
          <w:lang w:val="zh-CN"/>
        </w:rPr>
        <w:t>《中华人民共和国政府采购法》、《中华人民共和国政府采购法实施条例》及其配套的法规、规章、规范性文件等。</w:t>
      </w:r>
      <w:bookmarkEnd w:id="89"/>
      <w:bookmarkEnd w:id="90"/>
      <w:bookmarkEnd w:id="91"/>
      <w:r>
        <w:rPr>
          <w:rFonts w:hint="eastAsia" w:ascii="宋体" w:hAnsi="宋体" w:cs="宋体"/>
          <w:sz w:val="24"/>
          <w:highlight w:val="none"/>
          <w:lang w:val="zh-CN"/>
        </w:rPr>
        <w:t xml:space="preserve"> </w:t>
      </w:r>
    </w:p>
    <w:p>
      <w:pPr>
        <w:numPr>
          <w:ilvl w:val="1"/>
          <w:numId w:val="23"/>
        </w:numPr>
        <w:tabs>
          <w:tab w:val="left" w:pos="1040"/>
          <w:tab w:val="left" w:pos="1260"/>
          <w:tab w:val="clear" w:pos="907"/>
        </w:tabs>
        <w:spacing w:line="360" w:lineRule="auto"/>
        <w:ind w:left="1047" w:hanging="627"/>
        <w:rPr>
          <w:rFonts w:ascii="宋体" w:hAnsi="宋体" w:cs="宋体"/>
          <w:sz w:val="24"/>
          <w:highlight w:val="none"/>
          <w:lang w:val="zh-CN"/>
        </w:rPr>
      </w:pPr>
      <w:r>
        <w:rPr>
          <w:rFonts w:hint="eastAsia" w:ascii="宋体" w:hAnsi="宋体" w:cs="宋体"/>
          <w:sz w:val="24"/>
          <w:highlight w:val="none"/>
          <w:lang w:val="zh-CN"/>
        </w:rPr>
        <w:t>招标文件由下列文件以及在招标过程中发出的澄清、修改和补充文件组成，共六章：</w:t>
      </w:r>
    </w:p>
    <w:p>
      <w:pPr>
        <w:adjustRightInd w:val="0"/>
        <w:snapToGrid w:val="0"/>
        <w:spacing w:line="360" w:lineRule="auto"/>
        <w:ind w:firstLine="1058" w:firstLineChars="441"/>
        <w:rPr>
          <w:rFonts w:ascii="宋体" w:hAnsi="宋体" w:cs="宋体"/>
          <w:sz w:val="24"/>
          <w:highlight w:val="none"/>
        </w:rPr>
      </w:pPr>
      <w:r>
        <w:rPr>
          <w:rFonts w:hint="eastAsia" w:ascii="宋体" w:hAnsi="宋体" w:cs="宋体"/>
          <w:sz w:val="24"/>
          <w:highlight w:val="none"/>
        </w:rPr>
        <w:t>第一章 投标邀请函</w:t>
      </w:r>
    </w:p>
    <w:p>
      <w:pPr>
        <w:adjustRightInd w:val="0"/>
        <w:snapToGrid w:val="0"/>
        <w:spacing w:line="360" w:lineRule="auto"/>
        <w:ind w:firstLine="1058" w:firstLineChars="441"/>
        <w:rPr>
          <w:rFonts w:ascii="宋体" w:hAnsi="宋体" w:cs="宋体"/>
          <w:sz w:val="24"/>
          <w:highlight w:val="none"/>
        </w:rPr>
      </w:pPr>
      <w:r>
        <w:rPr>
          <w:rFonts w:hint="eastAsia" w:ascii="宋体" w:hAnsi="宋体" w:cs="宋体"/>
          <w:sz w:val="24"/>
          <w:highlight w:val="none"/>
        </w:rPr>
        <w:t>第二章 投标人须知</w:t>
      </w:r>
    </w:p>
    <w:p>
      <w:pPr>
        <w:adjustRightInd w:val="0"/>
        <w:snapToGrid w:val="0"/>
        <w:spacing w:line="360" w:lineRule="auto"/>
        <w:ind w:firstLine="1058" w:firstLineChars="441"/>
        <w:rPr>
          <w:rFonts w:ascii="宋体" w:hAnsi="宋体" w:cs="宋体"/>
          <w:sz w:val="24"/>
          <w:highlight w:val="none"/>
        </w:rPr>
      </w:pPr>
      <w:r>
        <w:rPr>
          <w:rFonts w:hint="eastAsia" w:ascii="宋体" w:hAnsi="宋体" w:cs="宋体"/>
          <w:sz w:val="24"/>
          <w:highlight w:val="none"/>
        </w:rPr>
        <w:t>第三章 用户需求书</w:t>
      </w:r>
    </w:p>
    <w:p>
      <w:pPr>
        <w:adjustRightInd w:val="0"/>
        <w:snapToGrid w:val="0"/>
        <w:spacing w:line="360" w:lineRule="auto"/>
        <w:ind w:firstLine="1058" w:firstLineChars="441"/>
        <w:rPr>
          <w:rFonts w:ascii="宋体" w:hAnsi="宋体" w:cs="宋体"/>
          <w:sz w:val="24"/>
          <w:highlight w:val="none"/>
        </w:rPr>
      </w:pPr>
      <w:r>
        <w:rPr>
          <w:rFonts w:hint="eastAsia" w:ascii="宋体" w:hAnsi="宋体" w:cs="宋体"/>
          <w:sz w:val="24"/>
          <w:highlight w:val="none"/>
        </w:rPr>
        <w:t>第四章 评分体系与标准</w:t>
      </w:r>
    </w:p>
    <w:p>
      <w:pPr>
        <w:adjustRightInd w:val="0"/>
        <w:snapToGrid w:val="0"/>
        <w:spacing w:line="360" w:lineRule="auto"/>
        <w:ind w:firstLine="1058" w:firstLineChars="441"/>
        <w:rPr>
          <w:rFonts w:ascii="宋体" w:hAnsi="宋体" w:cs="宋体"/>
          <w:sz w:val="24"/>
          <w:highlight w:val="none"/>
        </w:rPr>
      </w:pPr>
      <w:r>
        <w:rPr>
          <w:rFonts w:hint="eastAsia" w:ascii="宋体" w:hAnsi="宋体" w:cs="宋体"/>
          <w:sz w:val="24"/>
          <w:highlight w:val="none"/>
        </w:rPr>
        <w:t>第五章 合同格式</w:t>
      </w:r>
    </w:p>
    <w:p>
      <w:pPr>
        <w:adjustRightInd w:val="0"/>
        <w:snapToGrid w:val="0"/>
        <w:spacing w:line="360" w:lineRule="auto"/>
        <w:ind w:firstLine="1058" w:firstLineChars="441"/>
        <w:rPr>
          <w:rFonts w:ascii="宋体" w:hAnsi="宋体" w:cs="宋体"/>
          <w:sz w:val="24"/>
          <w:highlight w:val="none"/>
          <w:lang w:val="zh-CN"/>
        </w:rPr>
      </w:pPr>
      <w:r>
        <w:rPr>
          <w:rFonts w:hint="eastAsia" w:ascii="宋体" w:hAnsi="宋体" w:cs="宋体"/>
          <w:sz w:val="24"/>
          <w:highlight w:val="none"/>
        </w:rPr>
        <w:t>第六章 投标文件格式</w:t>
      </w:r>
    </w:p>
    <w:p>
      <w:pPr>
        <w:numPr>
          <w:ilvl w:val="1"/>
          <w:numId w:val="23"/>
        </w:numPr>
        <w:tabs>
          <w:tab w:val="left" w:pos="1040"/>
          <w:tab w:val="left" w:pos="1260"/>
          <w:tab w:val="clear" w:pos="907"/>
        </w:tabs>
        <w:spacing w:line="360" w:lineRule="auto"/>
        <w:ind w:left="1047" w:hanging="627"/>
        <w:rPr>
          <w:rFonts w:ascii="宋体" w:hAnsi="宋体" w:cs="宋体"/>
          <w:sz w:val="24"/>
          <w:highlight w:val="none"/>
          <w:lang w:val="zh-CN"/>
        </w:rPr>
      </w:pPr>
      <w:r>
        <w:rPr>
          <w:rFonts w:hint="eastAsia" w:ascii="宋体" w:hAnsi="宋体" w:cs="宋体"/>
          <w:sz w:val="24"/>
          <w:highlight w:val="none"/>
          <w:lang w:val="zh-CN"/>
        </w:rPr>
        <w:t>投标人应认真阅读招标文件中所有的事项、格式、条款和规范等要求。如果投标人没有按照招标文件的要求提交全部资料，或者投标文件没有对招标文件在各方面做出实质性响应，可能导致其投标被拒绝，或被认定为投标无效。</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92" w:name="_Toc10350"/>
      <w:bookmarkStart w:id="93" w:name="_Toc5327"/>
      <w:bookmarkStart w:id="94" w:name="_Toc32085"/>
      <w:r>
        <w:rPr>
          <w:rFonts w:hint="eastAsia"/>
          <w:sz w:val="28"/>
          <w:szCs w:val="28"/>
          <w:highlight w:val="none"/>
          <w:lang w:val="zh-CN"/>
        </w:rPr>
        <w:t>招标文件的澄清和修改</w:t>
      </w:r>
      <w:bookmarkEnd w:id="92"/>
      <w:bookmarkEnd w:id="93"/>
      <w:bookmarkEnd w:id="94"/>
    </w:p>
    <w:p>
      <w:pPr>
        <w:numPr>
          <w:ilvl w:val="1"/>
          <w:numId w:val="24"/>
        </w:numPr>
        <w:tabs>
          <w:tab w:val="left" w:pos="1080"/>
          <w:tab w:val="left" w:pos="126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投标人对招标文件有疑问的，可向采购人或采购代理机构依法提出询问，采购人或采购代理机构在三个工作日内对投标人询问的内容作出答复。</w:t>
      </w:r>
    </w:p>
    <w:p>
      <w:pPr>
        <w:numPr>
          <w:ilvl w:val="1"/>
          <w:numId w:val="24"/>
        </w:numPr>
        <w:tabs>
          <w:tab w:val="left" w:pos="1080"/>
          <w:tab w:val="left" w:pos="126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在投标截止时间前，无论出于何种原因，</w:t>
      </w:r>
      <w:r>
        <w:rPr>
          <w:rFonts w:hint="eastAsia" w:ascii="宋体" w:hAnsi="宋体" w:cs="宋体"/>
          <w:sz w:val="24"/>
          <w:highlight w:val="none"/>
        </w:rPr>
        <w:t>采购人或者采购代理机构可以对已发出的招标文件进行必要的澄清或者修改。澄清或者修改的内容可能影响投标文件编制的，采购人或者采购代理机构应当在投标截止时间至少15日前，以书面形式通知所有获取招标文件的潜在投标人；不足15日的，采购人或者采购代理机构应当顺延提交投标文件的截止时间。潜在投标人在收到上述通知后，应在24小时内以书面形式向采购代理机构确认，若投标人未在24小时内书面回复确认将视为同意修改内容，并有责任履行相应的义务。</w:t>
      </w:r>
    </w:p>
    <w:p>
      <w:pPr>
        <w:numPr>
          <w:ilvl w:val="1"/>
          <w:numId w:val="24"/>
        </w:numPr>
        <w:tabs>
          <w:tab w:val="left" w:pos="1080"/>
          <w:tab w:val="left" w:pos="126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招标文件的修改内容是招标文件的组成部分。</w:t>
      </w:r>
    </w:p>
    <w:p>
      <w:pPr>
        <w:numPr>
          <w:ilvl w:val="1"/>
          <w:numId w:val="24"/>
        </w:numPr>
        <w:tabs>
          <w:tab w:val="left" w:pos="1080"/>
          <w:tab w:val="left" w:pos="126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 xml:space="preserve">投标人在规定的时间内未对招标文件提出澄清或疑问的，采购人或采购代理机构将视为对招标文件无异议。 </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95" w:name="_Toc21560"/>
      <w:bookmarkStart w:id="96" w:name="_Toc4581"/>
      <w:r>
        <w:rPr>
          <w:rFonts w:hint="eastAsia"/>
          <w:sz w:val="28"/>
          <w:szCs w:val="28"/>
          <w:highlight w:val="none"/>
          <w:lang w:val="zh-CN"/>
        </w:rPr>
        <w:t>答疑会或踏勘现场</w:t>
      </w:r>
      <w:bookmarkEnd w:id="95"/>
      <w:bookmarkEnd w:id="96"/>
    </w:p>
    <w:p>
      <w:pPr>
        <w:numPr>
          <w:ilvl w:val="1"/>
          <w:numId w:val="25"/>
        </w:numPr>
        <w:tabs>
          <w:tab w:val="left" w:pos="1140"/>
          <w:tab w:val="left" w:pos="126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除非</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 xml:space="preserve">中另有规定，本项目不集中举行答疑会或统一组织踏勘现场。 </w:t>
      </w:r>
    </w:p>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highlight w:val="none"/>
        </w:rPr>
      </w:pPr>
      <w:bookmarkStart w:id="97" w:name="_Toc22202"/>
      <w:bookmarkStart w:id="98" w:name="_Toc25073"/>
      <w:bookmarkStart w:id="99" w:name="_Toc423021942"/>
      <w:bookmarkStart w:id="100" w:name="_Toc14980"/>
      <w:r>
        <w:rPr>
          <w:highlight w:val="none"/>
        </w:rPr>
        <w:t>投标文件</w:t>
      </w:r>
      <w:r>
        <w:rPr>
          <w:rFonts w:hint="eastAsia"/>
          <w:highlight w:val="none"/>
        </w:rPr>
        <w:t>的</w:t>
      </w:r>
      <w:r>
        <w:rPr>
          <w:highlight w:val="none"/>
        </w:rPr>
        <w:t>编制</w:t>
      </w:r>
      <w:bookmarkEnd w:id="97"/>
      <w:bookmarkEnd w:id="98"/>
      <w:bookmarkEnd w:id="99"/>
      <w:bookmarkEnd w:id="100"/>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01" w:name="_Toc22361"/>
      <w:bookmarkStart w:id="102" w:name="_Toc8141"/>
      <w:bookmarkStart w:id="103" w:name="_Toc16354"/>
      <w:r>
        <w:rPr>
          <w:rFonts w:hint="eastAsia"/>
          <w:sz w:val="28"/>
          <w:szCs w:val="28"/>
          <w:highlight w:val="none"/>
          <w:lang w:val="zh-CN"/>
        </w:rPr>
        <w:t>投标语言和计量单位</w:t>
      </w:r>
      <w:bookmarkEnd w:id="101"/>
      <w:bookmarkEnd w:id="102"/>
      <w:bookmarkEnd w:id="103"/>
    </w:p>
    <w:p>
      <w:pPr>
        <w:numPr>
          <w:ilvl w:val="1"/>
          <w:numId w:val="26"/>
        </w:numPr>
        <w:tabs>
          <w:tab w:val="left" w:pos="1120"/>
          <w:tab w:val="clear" w:pos="907"/>
        </w:tabs>
        <w:spacing w:line="360" w:lineRule="auto"/>
        <w:ind w:left="1127" w:hanging="707"/>
        <w:rPr>
          <w:rFonts w:ascii="宋体" w:hAnsi="宋体" w:cs="宋体"/>
          <w:sz w:val="24"/>
          <w:highlight w:val="none"/>
          <w:lang w:val="zh-CN"/>
        </w:rPr>
      </w:pPr>
      <w:r>
        <w:rPr>
          <w:rFonts w:hint="eastAsia" w:ascii="宋体" w:hAnsi="宋体" w:cs="宋体"/>
          <w:sz w:val="24"/>
          <w:highlight w:val="none"/>
          <w:lang w:val="zh-CN"/>
        </w:rPr>
        <w:t>投标人提交的投标文件以及投标人与采购人或采购代理机构就有关投标的来往函件均应使用简体中文书写。投标人提供的支持文件、技术资料和印刷的文献可以用其它语言，但相应内容应附有第三方的中文翻译本，在解释投标文件时以中文翻译本为准。</w:t>
      </w:r>
    </w:p>
    <w:p>
      <w:pPr>
        <w:numPr>
          <w:ilvl w:val="1"/>
          <w:numId w:val="26"/>
        </w:numPr>
        <w:tabs>
          <w:tab w:val="left" w:pos="1120"/>
          <w:tab w:val="clear" w:pos="907"/>
        </w:tabs>
        <w:spacing w:line="360" w:lineRule="auto"/>
        <w:ind w:left="1127" w:hanging="707"/>
        <w:rPr>
          <w:rFonts w:ascii="宋体" w:hAnsi="宋体" w:cs="宋体"/>
          <w:sz w:val="24"/>
          <w:highlight w:val="none"/>
          <w:lang w:val="zh-CN"/>
        </w:rPr>
      </w:pPr>
      <w:r>
        <w:rPr>
          <w:rFonts w:hint="eastAsia" w:ascii="宋体" w:hAnsi="宋体" w:cs="宋体"/>
          <w:sz w:val="24"/>
          <w:highlight w:val="none"/>
          <w:lang w:val="zh-CN"/>
        </w:rPr>
        <w:t>除非招标文件中有特殊要求，投标文件中的计量单位应采用中华人民共和国法定计量单位。</w:t>
      </w:r>
    </w:p>
    <w:p>
      <w:pPr>
        <w:numPr>
          <w:ilvl w:val="1"/>
          <w:numId w:val="26"/>
        </w:numPr>
        <w:tabs>
          <w:tab w:val="left" w:pos="1120"/>
          <w:tab w:val="clear" w:pos="907"/>
        </w:tabs>
        <w:spacing w:line="360" w:lineRule="auto"/>
        <w:ind w:left="1127" w:hanging="707"/>
        <w:rPr>
          <w:rFonts w:ascii="宋体" w:hAnsi="宋体" w:cs="宋体"/>
          <w:sz w:val="24"/>
          <w:highlight w:val="none"/>
          <w:lang w:val="zh-CN"/>
        </w:rPr>
      </w:pPr>
      <w:r>
        <w:rPr>
          <w:rFonts w:hint="eastAsia" w:ascii="宋体" w:hAnsi="宋体" w:cs="宋体"/>
          <w:sz w:val="24"/>
          <w:highlight w:val="none"/>
          <w:lang w:val="zh-CN"/>
        </w:rPr>
        <w:t>除非另有说明，本招标文件中所称“日”均指日历日，投标文件中需以日历日对招标文件作出响应。评审时，对投标文件中出现的“工作日”按五个工作日折合七个日历日计算，且评标委员会可能会就日期作出对该投标人不利的折算和量化，投标人须自行承担此风险。</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04" w:name="_Toc4205"/>
      <w:bookmarkStart w:id="105" w:name="_Toc11148"/>
      <w:bookmarkStart w:id="106" w:name="_Toc24533"/>
      <w:r>
        <w:rPr>
          <w:rFonts w:hint="eastAsia"/>
          <w:sz w:val="28"/>
          <w:szCs w:val="28"/>
          <w:highlight w:val="none"/>
          <w:lang w:val="zh-CN"/>
        </w:rPr>
        <w:t>投标文件的构成</w:t>
      </w:r>
      <w:bookmarkEnd w:id="104"/>
      <w:bookmarkEnd w:id="105"/>
      <w:bookmarkEnd w:id="106"/>
    </w:p>
    <w:p>
      <w:pPr>
        <w:numPr>
          <w:ilvl w:val="1"/>
          <w:numId w:val="27"/>
        </w:numPr>
        <w:tabs>
          <w:tab w:val="left" w:pos="1040"/>
          <w:tab w:val="clear" w:pos="907"/>
        </w:tabs>
        <w:spacing w:line="360" w:lineRule="auto"/>
        <w:ind w:left="1047" w:hanging="627"/>
        <w:rPr>
          <w:rFonts w:ascii="宋体" w:hAnsi="宋体" w:cs="宋体"/>
          <w:sz w:val="24"/>
          <w:highlight w:val="none"/>
          <w:lang w:val="zh-CN"/>
        </w:rPr>
      </w:pPr>
      <w:r>
        <w:rPr>
          <w:rFonts w:hint="eastAsia" w:ascii="宋体" w:hAnsi="宋体" w:cs="宋体"/>
          <w:sz w:val="24"/>
          <w:highlight w:val="none"/>
          <w:lang w:val="zh-CN"/>
        </w:rPr>
        <w:t>投标人编写的投标文件应包括自查表、资格文件、商务文件、技术文件、报价文件，编排顺序可参见“第六章 投标文件格式”，包括但不限于其中所列表格、文件及证明资料。</w:t>
      </w:r>
    </w:p>
    <w:p>
      <w:pPr>
        <w:numPr>
          <w:ilvl w:val="1"/>
          <w:numId w:val="27"/>
        </w:numPr>
        <w:tabs>
          <w:tab w:val="left" w:pos="1040"/>
          <w:tab w:val="clear" w:pos="907"/>
        </w:tabs>
        <w:spacing w:line="360" w:lineRule="auto"/>
        <w:ind w:left="1047" w:hanging="627"/>
        <w:rPr>
          <w:rFonts w:ascii="宋体" w:hAnsi="宋体" w:cs="宋体"/>
          <w:sz w:val="24"/>
          <w:highlight w:val="none"/>
          <w:lang w:val="zh-CN"/>
        </w:rPr>
      </w:pPr>
      <w:r>
        <w:rPr>
          <w:rFonts w:hint="eastAsia" w:ascii="宋体" w:hAnsi="宋体" w:cs="宋体"/>
          <w:sz w:val="24"/>
          <w:highlight w:val="none"/>
          <w:lang w:val="zh-CN"/>
        </w:rPr>
        <w:t>投标文件的构成应符合法律法规及招标文件的要求。</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07" w:name="_Toc25446"/>
      <w:bookmarkStart w:id="108" w:name="_Toc9580"/>
      <w:bookmarkStart w:id="109" w:name="_Toc31760"/>
      <w:r>
        <w:rPr>
          <w:rFonts w:hint="eastAsia"/>
          <w:sz w:val="28"/>
          <w:szCs w:val="28"/>
          <w:highlight w:val="none"/>
          <w:lang w:val="zh-CN"/>
        </w:rPr>
        <w:t>投标文件编制注意事项</w:t>
      </w:r>
      <w:bookmarkEnd w:id="107"/>
      <w:bookmarkEnd w:id="108"/>
      <w:bookmarkEnd w:id="109"/>
    </w:p>
    <w:p>
      <w:pPr>
        <w:numPr>
          <w:ilvl w:val="1"/>
          <w:numId w:val="28"/>
        </w:numPr>
        <w:tabs>
          <w:tab w:val="left" w:pos="1060"/>
          <w:tab w:val="clear" w:pos="907"/>
        </w:tabs>
        <w:spacing w:line="360" w:lineRule="auto"/>
        <w:ind w:left="1067" w:hanging="647"/>
        <w:rPr>
          <w:rFonts w:ascii="宋体" w:hAnsi="宋体" w:cs="宋体"/>
          <w:sz w:val="24"/>
          <w:highlight w:val="none"/>
          <w:lang w:val="zh-CN"/>
        </w:rPr>
      </w:pPr>
      <w:r>
        <w:rPr>
          <w:rFonts w:hint="eastAsia" w:ascii="宋体" w:hAnsi="宋体" w:cs="宋体"/>
          <w:sz w:val="24"/>
          <w:highlight w:val="none"/>
          <w:lang w:val="zh-CN"/>
        </w:rPr>
        <w:t>投标人应完整、真实、准确地填写招标文件中提供的投标函、开标一览表、投标明细报价表以及招标文件中规定的其它所有内容。</w:t>
      </w:r>
    </w:p>
    <w:p>
      <w:pPr>
        <w:numPr>
          <w:ilvl w:val="1"/>
          <w:numId w:val="28"/>
        </w:numPr>
        <w:tabs>
          <w:tab w:val="left" w:pos="1100"/>
          <w:tab w:val="left" w:pos="1220"/>
          <w:tab w:val="clear" w:pos="907"/>
        </w:tabs>
        <w:spacing w:line="360" w:lineRule="auto"/>
        <w:ind w:left="1067" w:hanging="647"/>
        <w:rPr>
          <w:rFonts w:ascii="宋体" w:hAnsi="宋体" w:cs="宋体"/>
          <w:sz w:val="24"/>
          <w:highlight w:val="none"/>
          <w:lang w:val="zh-CN"/>
        </w:rPr>
      </w:pPr>
      <w:r>
        <w:rPr>
          <w:rFonts w:hint="eastAsia" w:ascii="宋体" w:hAnsi="宋体" w:cs="宋体"/>
          <w:sz w:val="24"/>
          <w:highlight w:val="none"/>
          <w:lang w:val="zh-CN"/>
        </w:rPr>
        <w:t>如招标文件没有分包组，投标人须对招标文件中“用户需求书”中所要求的所有货物进行投标；如招标文件中有多个包组，投标人可对其中一个包组或多个包组进行投标，但不得只对一个包组中的内容拆分投标。</w:t>
      </w:r>
    </w:p>
    <w:p>
      <w:pPr>
        <w:numPr>
          <w:ilvl w:val="1"/>
          <w:numId w:val="28"/>
        </w:numPr>
        <w:tabs>
          <w:tab w:val="left" w:pos="1100"/>
          <w:tab w:val="left" w:pos="1220"/>
          <w:tab w:val="clear" w:pos="907"/>
        </w:tabs>
        <w:spacing w:line="360" w:lineRule="auto"/>
        <w:ind w:left="1067" w:hanging="647"/>
        <w:rPr>
          <w:rFonts w:ascii="宋体" w:hAnsi="宋体" w:cs="宋体"/>
          <w:sz w:val="24"/>
          <w:highlight w:val="none"/>
          <w:lang w:val="zh-CN"/>
        </w:rPr>
      </w:pPr>
      <w:r>
        <w:rPr>
          <w:rFonts w:hint="eastAsia" w:ascii="宋体" w:hAnsi="宋体" w:cs="宋体"/>
          <w:sz w:val="24"/>
          <w:highlight w:val="none"/>
          <w:lang w:val="zh-CN"/>
        </w:rPr>
        <w:t xml:space="preserve">投标人对招标文件中多个包组进行投标的，其投标文件的编制须按每个包组的要求分别装订和封装。对未经装订的投标文件可能发生的文件散落或缺损，由此造成的后果和责任由投标人承担。 </w:t>
      </w:r>
    </w:p>
    <w:p>
      <w:pPr>
        <w:numPr>
          <w:ilvl w:val="1"/>
          <w:numId w:val="28"/>
        </w:numPr>
        <w:tabs>
          <w:tab w:val="left" w:pos="1100"/>
          <w:tab w:val="left" w:pos="1220"/>
          <w:tab w:val="clear" w:pos="907"/>
        </w:tabs>
        <w:spacing w:line="360" w:lineRule="auto"/>
        <w:ind w:left="1067" w:hanging="647"/>
        <w:rPr>
          <w:rFonts w:ascii="宋体" w:hAnsi="宋体" w:cs="宋体"/>
          <w:sz w:val="24"/>
          <w:highlight w:val="none"/>
          <w:lang w:val="zh-CN"/>
        </w:rPr>
      </w:pPr>
      <w:r>
        <w:rPr>
          <w:rFonts w:hint="eastAsia" w:ascii="宋体" w:hAnsi="宋体" w:cs="宋体"/>
          <w:sz w:val="24"/>
          <w:highlight w:val="none"/>
          <w:lang w:val="zh-CN"/>
        </w:rPr>
        <w:t>投标人必须对投标文件所提供的全部资料的真实性承担法律责任，并无条件接受采购人或采购代理机构等对其中任何资料进行核实的要求。</w:t>
      </w:r>
    </w:p>
    <w:p>
      <w:pPr>
        <w:numPr>
          <w:ilvl w:val="1"/>
          <w:numId w:val="28"/>
        </w:numPr>
        <w:tabs>
          <w:tab w:val="left" w:pos="1100"/>
          <w:tab w:val="left" w:pos="1220"/>
          <w:tab w:val="clear" w:pos="907"/>
        </w:tabs>
        <w:spacing w:line="360" w:lineRule="auto"/>
        <w:ind w:left="1067" w:hanging="647"/>
        <w:rPr>
          <w:rFonts w:ascii="宋体" w:hAnsi="宋体" w:cs="宋体"/>
          <w:sz w:val="24"/>
          <w:highlight w:val="none"/>
          <w:lang w:val="zh-CN"/>
        </w:rPr>
      </w:pPr>
      <w:r>
        <w:rPr>
          <w:rFonts w:hint="eastAsia" w:ascii="宋体" w:hAnsi="宋体" w:cs="宋体"/>
          <w:sz w:val="24"/>
          <w:highlight w:val="none"/>
          <w:lang w:val="zh-CN"/>
        </w:rPr>
        <w:t>投标人的投标文件只填写和提供了本招标文件要求的部分内容和附件，或没有提供招标文件中所要求的全部资料及数据，由此造成的后果和责任由投标人承担。</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10" w:name="_Toc31650"/>
      <w:bookmarkStart w:id="111" w:name="_Toc32065"/>
      <w:bookmarkStart w:id="112" w:name="_Toc20894"/>
      <w:r>
        <w:rPr>
          <w:rFonts w:hint="eastAsia"/>
          <w:sz w:val="28"/>
          <w:szCs w:val="28"/>
          <w:highlight w:val="none"/>
          <w:lang w:val="zh-CN"/>
        </w:rPr>
        <w:t>投标文件的式样和签署</w:t>
      </w:r>
      <w:bookmarkEnd w:id="110"/>
      <w:bookmarkEnd w:id="111"/>
      <w:bookmarkEnd w:id="112"/>
    </w:p>
    <w:p>
      <w:pPr>
        <w:numPr>
          <w:ilvl w:val="1"/>
          <w:numId w:val="29"/>
        </w:numPr>
        <w:tabs>
          <w:tab w:val="left" w:pos="1080"/>
          <w:tab w:val="left" w:pos="1220"/>
          <w:tab w:val="clear" w:pos="907"/>
        </w:tabs>
        <w:spacing w:line="360" w:lineRule="auto"/>
        <w:ind w:left="1107" w:hanging="687"/>
        <w:rPr>
          <w:rFonts w:ascii="宋体" w:hAnsi="宋体" w:cs="宋体"/>
          <w:sz w:val="24"/>
          <w:highlight w:val="none"/>
          <w:lang w:val="zh-CN"/>
        </w:rPr>
      </w:pPr>
      <w:r>
        <w:rPr>
          <w:rFonts w:hint="eastAsia" w:ascii="宋体" w:hAnsi="宋体" w:cs="宋体"/>
          <w:sz w:val="24"/>
          <w:highlight w:val="none"/>
          <w:lang w:val="zh-CN"/>
        </w:rPr>
        <w:t>投标人应</w:t>
      </w:r>
      <w:r>
        <w:rPr>
          <w:rFonts w:hint="eastAsia" w:ascii="宋体" w:hAnsi="宋体" w:cs="宋体"/>
          <w:sz w:val="24"/>
          <w:highlight w:val="none"/>
        </w:rPr>
        <w:t>按</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规定的要求</w:t>
      </w:r>
      <w:r>
        <w:rPr>
          <w:rFonts w:hint="eastAsia" w:ascii="宋体" w:hAnsi="宋体" w:cs="宋体"/>
          <w:sz w:val="24"/>
          <w:highlight w:val="none"/>
        </w:rPr>
        <w:t>制作投标文件</w:t>
      </w:r>
      <w:r>
        <w:rPr>
          <w:rFonts w:hint="eastAsia" w:ascii="宋体" w:hAnsi="宋体" w:cs="宋体"/>
          <w:sz w:val="24"/>
          <w:highlight w:val="none"/>
          <w:lang w:val="zh-CN"/>
        </w:rPr>
        <w:t>，投标文件副本可采用正本的复印件。每套投标文件须清楚地标明“正本”或“副本”，若副本与正本不符，以正本为准。纸质投标文件与电子介质投标文件具有同等法律效力，除另有约定外，两者出现不一致时，以纸质投标文件为准。</w:t>
      </w:r>
    </w:p>
    <w:p>
      <w:pPr>
        <w:numPr>
          <w:ilvl w:val="1"/>
          <w:numId w:val="29"/>
        </w:numPr>
        <w:tabs>
          <w:tab w:val="left" w:pos="1080"/>
          <w:tab w:val="left" w:pos="1220"/>
          <w:tab w:val="clear" w:pos="907"/>
        </w:tabs>
        <w:spacing w:line="360" w:lineRule="auto"/>
        <w:ind w:left="1107" w:hanging="687"/>
        <w:rPr>
          <w:rFonts w:ascii="宋体" w:hAnsi="宋体" w:cs="宋体"/>
          <w:sz w:val="24"/>
          <w:highlight w:val="none"/>
          <w:lang w:val="zh-CN"/>
        </w:rPr>
      </w:pPr>
      <w:r>
        <w:rPr>
          <w:rFonts w:hint="eastAsia" w:ascii="宋体" w:hAnsi="宋体" w:cs="宋体"/>
          <w:sz w:val="24"/>
          <w:highlight w:val="none"/>
          <w:lang w:val="zh-CN"/>
        </w:rPr>
        <w:t>投标文件的正本须用A4纸打印或用不褪色墨水书写，招标文件要求签名的由法定代表人或经其正式授权的代表签字，投标文件要求盖章处须加盖投标人公章；投标文件的副本可采用正本的复印件，并与正本具有同等法律效力。</w:t>
      </w:r>
    </w:p>
    <w:p>
      <w:pPr>
        <w:numPr>
          <w:ilvl w:val="1"/>
          <w:numId w:val="29"/>
        </w:numPr>
        <w:tabs>
          <w:tab w:val="left" w:pos="1080"/>
          <w:tab w:val="left" w:pos="1220"/>
          <w:tab w:val="clear" w:pos="907"/>
        </w:tabs>
        <w:spacing w:line="360" w:lineRule="auto"/>
        <w:ind w:left="1107" w:hanging="687"/>
        <w:rPr>
          <w:rFonts w:ascii="宋体" w:hAnsi="宋体" w:cs="宋体"/>
          <w:sz w:val="24"/>
          <w:highlight w:val="none"/>
          <w:lang w:val="zh-CN"/>
        </w:rPr>
      </w:pPr>
      <w:r>
        <w:rPr>
          <w:rFonts w:hint="eastAsia" w:ascii="宋体" w:hAnsi="宋体" w:cs="宋体"/>
          <w:sz w:val="24"/>
          <w:highlight w:val="none"/>
          <w:lang w:val="zh-CN"/>
        </w:rPr>
        <w:t>除对差错处做必要修改外，投标文件一般不得行间插字、涂改或增删，如有上述改动，必须由法定代表人或经其授权的代表在修改处旁边签字或加盖投标人公章。</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13" w:name="_Toc24642"/>
      <w:bookmarkStart w:id="114" w:name="_Toc4222"/>
      <w:bookmarkStart w:id="115" w:name="_Toc28959"/>
      <w:r>
        <w:rPr>
          <w:rFonts w:hint="eastAsia"/>
          <w:sz w:val="28"/>
          <w:szCs w:val="28"/>
          <w:highlight w:val="none"/>
          <w:lang w:val="zh-CN"/>
        </w:rPr>
        <w:t>投标报价</w:t>
      </w:r>
      <w:bookmarkEnd w:id="113"/>
      <w:bookmarkEnd w:id="114"/>
      <w:bookmarkEnd w:id="115"/>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投投标人应按照“第三章　用户需求书”中规定的内容、责任范围进行报价。并按《开标一览表》及《投标明细报价表》（</w:t>
      </w:r>
      <w:r>
        <w:rPr>
          <w:rFonts w:hint="eastAsia" w:ascii="宋体" w:hAnsi="宋体" w:cs="宋体"/>
          <w:sz w:val="24"/>
          <w:highlight w:val="none"/>
        </w:rPr>
        <w:t>如有</w:t>
      </w:r>
      <w:r>
        <w:rPr>
          <w:rFonts w:hint="eastAsia" w:ascii="宋体" w:hAnsi="宋体" w:cs="宋体"/>
          <w:sz w:val="24"/>
          <w:highlight w:val="none"/>
          <w:lang w:val="zh-CN"/>
        </w:rPr>
        <w:t>）的要求报出总价和分项价格（</w:t>
      </w:r>
      <w:r>
        <w:rPr>
          <w:rFonts w:hint="eastAsia" w:ascii="宋体" w:hAnsi="宋体" w:cs="宋体"/>
          <w:sz w:val="24"/>
          <w:highlight w:val="none"/>
        </w:rPr>
        <w:t>如有</w:t>
      </w:r>
      <w:r>
        <w:rPr>
          <w:rFonts w:hint="eastAsia" w:ascii="宋体" w:hAnsi="宋体" w:cs="宋体"/>
          <w:sz w:val="24"/>
          <w:highlight w:val="none"/>
          <w:lang w:val="zh-CN"/>
        </w:rPr>
        <w:t>）。投标总价中不得包含招标文件要求以外的内容，否则，在评标时不予核减。投标总价中也不得缺漏招标文件所要求的内容，否则，将被视为包含在投标报价中。</w:t>
      </w:r>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总报价是在投标人可以独立完成本项目，并满足预期实施效果和符合自身合法利益的前提下，通过准确核算后所报出的全部</w:t>
      </w:r>
      <w:r>
        <w:rPr>
          <w:rFonts w:hint="eastAsia" w:ascii="宋体" w:hAnsi="宋体" w:cs="宋体"/>
          <w:sz w:val="24"/>
          <w:highlight w:val="none"/>
        </w:rPr>
        <w:t>货物及配套服务</w:t>
      </w:r>
      <w:r>
        <w:rPr>
          <w:rFonts w:hint="eastAsia" w:ascii="宋体" w:hAnsi="宋体" w:cs="宋体"/>
          <w:sz w:val="24"/>
          <w:highlight w:val="none"/>
          <w:lang w:val="zh-CN"/>
        </w:rPr>
        <w:t>所需的包干费用，包括履行合同所需</w:t>
      </w:r>
      <w:r>
        <w:rPr>
          <w:rFonts w:hint="eastAsia" w:ascii="宋体" w:hAnsi="宋体" w:cs="宋体"/>
          <w:sz w:val="24"/>
          <w:highlight w:val="none"/>
        </w:rPr>
        <w:t>的所有货物</w:t>
      </w:r>
      <w:r>
        <w:rPr>
          <w:rFonts w:hint="eastAsia" w:ascii="宋体" w:hAnsi="宋体" w:cs="宋体"/>
          <w:sz w:val="24"/>
          <w:highlight w:val="none"/>
          <w:lang w:val="zh-CN"/>
        </w:rPr>
        <w:t>费用、保险费、各种税费、其他一切隐含及不可预见的费用等。</w:t>
      </w:r>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本项目采用总价包干，投标报价即为合同价，中标人不得在中标后提出任何增加费用要求，投标人在投标时应充分考虑相关风险性因素。</w:t>
      </w:r>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对于报价免费的内容须标明“免费”。</w:t>
      </w:r>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投标人根据本须知第1</w:t>
      </w:r>
      <w:r>
        <w:rPr>
          <w:rFonts w:hint="eastAsia" w:ascii="宋体" w:hAnsi="宋体" w:cs="宋体"/>
          <w:sz w:val="24"/>
          <w:highlight w:val="none"/>
        </w:rPr>
        <w:t>2</w:t>
      </w:r>
      <w:r>
        <w:rPr>
          <w:rFonts w:hint="eastAsia" w:ascii="宋体" w:hAnsi="宋体" w:cs="宋体"/>
          <w:sz w:val="24"/>
          <w:highlight w:val="none"/>
          <w:lang w:val="zh-CN"/>
        </w:rPr>
        <w:t>.2条的规定将投标报价分成几部分，只是为了方便采购人对投标文件进行比较，并不限制采购人以上述任何条件订立合同的权力。</w:t>
      </w:r>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投标人所报的投标价在合同执行过程中是固定不变的，不得以任何理由予以变更。任何包含价格调整要求的投标将被认为是非实质性响应投标而予以拒绝。</w:t>
      </w:r>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除</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中另有规定外，本次招标不接受选择性报价，否则将被视为无效投标。</w:t>
      </w:r>
    </w:p>
    <w:p>
      <w:pPr>
        <w:numPr>
          <w:ilvl w:val="1"/>
          <w:numId w:val="30"/>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除</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中另有规定外，本次招标不接受具有附加条件的报价，否则将被视为无效投标。</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16" w:name="_Toc14969"/>
      <w:bookmarkStart w:id="117" w:name="_Toc989"/>
      <w:bookmarkStart w:id="118" w:name="_Toc9295"/>
      <w:r>
        <w:rPr>
          <w:rFonts w:hint="eastAsia"/>
          <w:sz w:val="28"/>
          <w:szCs w:val="28"/>
          <w:highlight w:val="none"/>
          <w:lang w:val="zh-CN"/>
        </w:rPr>
        <w:t>投标有效期</w:t>
      </w:r>
      <w:bookmarkEnd w:id="116"/>
      <w:bookmarkEnd w:id="117"/>
      <w:bookmarkEnd w:id="118"/>
    </w:p>
    <w:p>
      <w:pPr>
        <w:numPr>
          <w:ilvl w:val="1"/>
          <w:numId w:val="31"/>
        </w:numPr>
        <w:tabs>
          <w:tab w:val="left" w:pos="118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eastAsia="zh-TW"/>
        </w:rPr>
        <w:t>投标有效期自招标文件规定的投标文件递交截止时间起算，并在</w:t>
      </w:r>
      <w:r>
        <w:rPr>
          <w:rFonts w:hint="eastAsia" w:ascii="黑体" w:hAnsi="黑体" w:eastAsia="黑体" w:cs="黑体"/>
          <w:b/>
          <w:bCs/>
          <w:sz w:val="24"/>
          <w:highlight w:val="none"/>
          <w:lang w:val="zh-CN" w:eastAsia="zh-TW"/>
        </w:rPr>
        <w:t>投标人须知前附表</w:t>
      </w:r>
      <w:r>
        <w:rPr>
          <w:rFonts w:hint="eastAsia" w:ascii="宋体" w:hAnsi="宋体" w:cs="宋体"/>
          <w:sz w:val="24"/>
          <w:highlight w:val="none"/>
          <w:lang w:val="zh-CN" w:eastAsia="zh-TW"/>
        </w:rPr>
        <w:t>中所述期限内有效。投标有效期比规定时间短的投标将被认定为非实质性响应，视为无效投标。</w:t>
      </w:r>
    </w:p>
    <w:p>
      <w:pPr>
        <w:numPr>
          <w:ilvl w:val="1"/>
          <w:numId w:val="31"/>
        </w:numPr>
        <w:tabs>
          <w:tab w:val="left" w:pos="118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eastAsia="zh-TW"/>
        </w:rPr>
        <w:t>特殊情况下</w:t>
      </w:r>
      <w:r>
        <w:rPr>
          <w:rFonts w:hint="eastAsia" w:ascii="宋体" w:hAnsi="宋体" w:cs="宋体"/>
          <w:sz w:val="24"/>
          <w:highlight w:val="none"/>
          <w:lang w:val="zh-CN"/>
        </w:rPr>
        <w:t>，</w:t>
      </w:r>
      <w:r>
        <w:rPr>
          <w:rFonts w:hint="eastAsia" w:ascii="宋体" w:hAnsi="宋体" w:cs="宋体"/>
          <w:sz w:val="24"/>
          <w:highlight w:val="none"/>
          <w:lang w:val="zh-CN" w:eastAsia="zh-TW"/>
        </w:rPr>
        <w:t>在原投标有效期期满之前</w:t>
      </w:r>
      <w:r>
        <w:rPr>
          <w:rFonts w:hint="eastAsia" w:ascii="宋体" w:hAnsi="宋体" w:cs="宋体"/>
          <w:sz w:val="24"/>
          <w:highlight w:val="none"/>
          <w:lang w:val="zh-CN"/>
        </w:rPr>
        <w:t>，</w:t>
      </w:r>
      <w:r>
        <w:rPr>
          <w:rFonts w:hint="eastAsia" w:ascii="宋体" w:hAnsi="宋体" w:cs="宋体"/>
          <w:sz w:val="24"/>
          <w:highlight w:val="none"/>
          <w:lang w:val="zh-CN" w:eastAsia="zh-TW"/>
        </w:rPr>
        <w:t>采购代理机构可要求投标人延长投标有效期。这种要求与答复均应以书面形式提交。投标人可拒绝采购代理机构的这种要求</w:t>
      </w:r>
      <w:r>
        <w:rPr>
          <w:rFonts w:hint="eastAsia" w:ascii="宋体" w:hAnsi="宋体" w:cs="宋体"/>
          <w:sz w:val="24"/>
          <w:highlight w:val="none"/>
          <w:lang w:val="zh-CN"/>
        </w:rPr>
        <w:t>，</w:t>
      </w:r>
      <w:r>
        <w:rPr>
          <w:rFonts w:hint="eastAsia" w:ascii="宋体" w:hAnsi="宋体" w:cs="宋体"/>
          <w:sz w:val="24"/>
          <w:highlight w:val="none"/>
          <w:lang w:val="zh-CN" w:eastAsia="zh-TW"/>
        </w:rPr>
        <w:t>其投标保证金将</w:t>
      </w:r>
      <w:r>
        <w:rPr>
          <w:rFonts w:hint="eastAsia" w:ascii="宋体" w:hAnsi="宋体" w:cs="宋体"/>
          <w:sz w:val="24"/>
          <w:highlight w:val="none"/>
          <w:lang w:val="zh-CN"/>
        </w:rPr>
        <w:t>予以退还，</w:t>
      </w:r>
      <w:r>
        <w:rPr>
          <w:rFonts w:hint="eastAsia" w:ascii="宋体" w:hAnsi="宋体" w:cs="宋体"/>
          <w:sz w:val="24"/>
          <w:highlight w:val="none"/>
          <w:lang w:val="zh-CN" w:eastAsia="zh-TW"/>
        </w:rPr>
        <w:t>但其投标在原投标有效期期满后将不再有效。同意延长投标有效期的投标人将不会被要求和允许修正其投标</w:t>
      </w:r>
      <w:r>
        <w:rPr>
          <w:rFonts w:hint="eastAsia" w:ascii="宋体" w:hAnsi="宋体" w:cs="宋体"/>
          <w:sz w:val="24"/>
          <w:highlight w:val="none"/>
          <w:lang w:val="zh-CN"/>
        </w:rPr>
        <w:t>，</w:t>
      </w:r>
      <w:r>
        <w:rPr>
          <w:rFonts w:hint="eastAsia" w:ascii="宋体" w:hAnsi="宋体" w:cs="宋体"/>
          <w:sz w:val="24"/>
          <w:highlight w:val="none"/>
          <w:lang w:val="zh-CN" w:eastAsia="zh-TW"/>
        </w:rPr>
        <w:t>而只会被要求相应地延长其投标保证金的有效期。在这种情况下</w:t>
      </w:r>
      <w:r>
        <w:rPr>
          <w:rFonts w:hint="eastAsia" w:ascii="宋体" w:hAnsi="宋体" w:cs="宋体"/>
          <w:sz w:val="24"/>
          <w:highlight w:val="none"/>
          <w:lang w:val="zh-CN"/>
        </w:rPr>
        <w:t>，</w:t>
      </w:r>
      <w:r>
        <w:rPr>
          <w:rFonts w:hint="eastAsia" w:ascii="宋体" w:hAnsi="宋体" w:cs="宋体"/>
          <w:sz w:val="24"/>
          <w:highlight w:val="none"/>
          <w:lang w:val="zh-CN" w:eastAsia="zh-TW"/>
        </w:rPr>
        <w:t>本须知有关投标保证金的退还和</w:t>
      </w:r>
      <w:r>
        <w:rPr>
          <w:rFonts w:hint="eastAsia" w:ascii="宋体" w:hAnsi="宋体" w:cs="宋体"/>
          <w:sz w:val="24"/>
          <w:highlight w:val="none"/>
          <w:lang w:val="zh-CN"/>
        </w:rPr>
        <w:t>不予退还</w:t>
      </w:r>
      <w:r>
        <w:rPr>
          <w:rFonts w:hint="eastAsia" w:ascii="宋体" w:hAnsi="宋体" w:cs="宋体"/>
          <w:sz w:val="24"/>
          <w:highlight w:val="none"/>
          <w:lang w:val="zh-CN" w:eastAsia="zh-TW"/>
        </w:rPr>
        <w:t>的规定将在延长了的有效期内继续有效。</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19" w:name="_Toc28304"/>
      <w:bookmarkStart w:id="120" w:name="_Toc8012"/>
      <w:bookmarkStart w:id="121" w:name="_Toc16166"/>
      <w:r>
        <w:rPr>
          <w:rFonts w:hint="eastAsia"/>
          <w:sz w:val="28"/>
          <w:szCs w:val="28"/>
          <w:highlight w:val="none"/>
          <w:lang w:val="zh-CN"/>
        </w:rPr>
        <w:t>联合体投标</w:t>
      </w:r>
      <w:bookmarkEnd w:id="119"/>
      <w:bookmarkEnd w:id="120"/>
      <w:bookmarkEnd w:id="121"/>
    </w:p>
    <w:p>
      <w:pPr>
        <w:numPr>
          <w:ilvl w:val="1"/>
          <w:numId w:val="32"/>
        </w:numPr>
        <w:tabs>
          <w:tab w:val="left" w:pos="118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除非</w:t>
      </w:r>
      <w:r>
        <w:rPr>
          <w:rFonts w:hint="eastAsia" w:ascii="黑体" w:hAnsi="黑体" w:eastAsia="黑体" w:cs="黑体"/>
          <w:b/>
          <w:bCs/>
          <w:sz w:val="24"/>
          <w:highlight w:val="none"/>
          <w:lang w:val="zh-CN" w:eastAsia="zh-TW"/>
        </w:rPr>
        <w:t>投标邀请函</w:t>
      </w:r>
      <w:r>
        <w:rPr>
          <w:rFonts w:hint="eastAsia" w:ascii="宋体" w:hAnsi="宋体" w:cs="宋体"/>
          <w:sz w:val="24"/>
          <w:highlight w:val="none"/>
          <w:lang w:val="zh-CN" w:eastAsia="zh-TW"/>
        </w:rPr>
        <w:t>中另有规定，本项目不接受联合体投标。</w:t>
      </w:r>
    </w:p>
    <w:p>
      <w:pPr>
        <w:numPr>
          <w:ilvl w:val="1"/>
          <w:numId w:val="32"/>
        </w:numPr>
        <w:tabs>
          <w:tab w:val="left" w:pos="118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若投标邀请函中允许联合体投标的，则必须满足：</w:t>
      </w:r>
    </w:p>
    <w:p>
      <w:pPr>
        <w:numPr>
          <w:ilvl w:val="2"/>
          <w:numId w:val="33"/>
        </w:numPr>
        <w:tabs>
          <w:tab w:val="clear" w:pos="907"/>
        </w:tabs>
        <w:spacing w:line="360" w:lineRule="auto"/>
        <w:ind w:left="1247" w:hanging="827"/>
        <w:rPr>
          <w:rFonts w:ascii="宋体" w:hAnsi="宋体" w:cs="宋体"/>
          <w:sz w:val="24"/>
          <w:highlight w:val="none"/>
          <w:lang w:val="zh-CN"/>
        </w:rPr>
      </w:pPr>
      <w:r>
        <w:rPr>
          <w:rFonts w:hint="eastAsia" w:ascii="宋体" w:hAnsi="宋体" w:cs="宋体"/>
          <w:sz w:val="24"/>
          <w:highlight w:val="none"/>
          <w:lang w:val="zh-CN"/>
        </w:rPr>
        <w:t>以联合体形式参加投标的，联合体各方均必须符合《中华人民共和国政府采购法》第二十二条第（一）至（六）项规定。</w:t>
      </w:r>
    </w:p>
    <w:p>
      <w:pPr>
        <w:numPr>
          <w:ilvl w:val="2"/>
          <w:numId w:val="33"/>
        </w:numPr>
        <w:tabs>
          <w:tab w:val="clear" w:pos="907"/>
        </w:tabs>
        <w:spacing w:line="360" w:lineRule="auto"/>
        <w:ind w:left="1247" w:hanging="827"/>
        <w:rPr>
          <w:rFonts w:ascii="宋体" w:hAnsi="宋体" w:cs="宋体"/>
          <w:sz w:val="24"/>
          <w:highlight w:val="none"/>
          <w:lang w:val="zh-CN"/>
        </w:rPr>
      </w:pPr>
      <w:r>
        <w:rPr>
          <w:rFonts w:hint="eastAsia" w:ascii="宋体" w:hAnsi="宋体" w:cs="宋体"/>
          <w:sz w:val="24"/>
          <w:highlight w:val="none"/>
          <w:lang w:val="zh-CN"/>
        </w:rPr>
        <w:t>联合体投标的，必须提供各方签订的联合投标协议，明确约定各方承担的工作和相应的责任。联合体各方签订联合投标协议书，不得再以自己名义单独在本项目同一合同项下的投标，也不得组成新的联合体参加本项目同一合同项下的投标。</w:t>
      </w:r>
    </w:p>
    <w:p>
      <w:pPr>
        <w:numPr>
          <w:ilvl w:val="2"/>
          <w:numId w:val="33"/>
        </w:numPr>
        <w:tabs>
          <w:tab w:val="clear" w:pos="907"/>
        </w:tabs>
        <w:spacing w:line="360" w:lineRule="auto"/>
        <w:ind w:left="1247" w:hanging="827"/>
        <w:rPr>
          <w:rFonts w:ascii="宋体" w:hAnsi="宋体" w:cs="宋体"/>
          <w:sz w:val="24"/>
          <w:highlight w:val="none"/>
          <w:lang w:val="zh-CN"/>
        </w:rPr>
      </w:pPr>
      <w:r>
        <w:rPr>
          <w:rFonts w:hint="eastAsia" w:ascii="宋体" w:hAnsi="宋体" w:cs="宋体"/>
          <w:sz w:val="24"/>
          <w:highlight w:val="none"/>
          <w:lang w:val="zh-CN"/>
        </w:rPr>
        <w:t>联合体中有同类资质的供应商按照联合体分工承担相同工作的，应当按照资质等级较低的供应商确定资质等级。由同一专业的单位组成的联合体，按照同一项资质等级较低的单位确定资质等级。</w:t>
      </w:r>
    </w:p>
    <w:p>
      <w:pPr>
        <w:numPr>
          <w:ilvl w:val="2"/>
          <w:numId w:val="33"/>
        </w:numPr>
        <w:tabs>
          <w:tab w:val="clear" w:pos="907"/>
        </w:tabs>
        <w:spacing w:line="360" w:lineRule="auto"/>
        <w:ind w:left="1247" w:hanging="827"/>
        <w:rPr>
          <w:rFonts w:ascii="宋体" w:hAnsi="宋体" w:cs="宋体"/>
          <w:sz w:val="24"/>
          <w:highlight w:val="none"/>
          <w:lang w:val="zh-CN"/>
        </w:rPr>
      </w:pPr>
      <w:r>
        <w:rPr>
          <w:rFonts w:hint="eastAsia" w:ascii="宋体" w:hAnsi="宋体" w:cs="宋体"/>
          <w:sz w:val="24"/>
          <w:highlight w:val="none"/>
          <w:lang w:val="zh-CN"/>
        </w:rPr>
        <w:t>联合体投标的，可以由联合体中的一方或者共同提交投标保证金，以一方名义提交投标保证金的，对联合体各方均具有约束力。</w:t>
      </w:r>
    </w:p>
    <w:p>
      <w:pPr>
        <w:numPr>
          <w:ilvl w:val="2"/>
          <w:numId w:val="33"/>
        </w:numPr>
        <w:tabs>
          <w:tab w:val="clear" w:pos="907"/>
        </w:tabs>
        <w:spacing w:line="360" w:lineRule="auto"/>
        <w:ind w:left="1247" w:hanging="827"/>
        <w:rPr>
          <w:rFonts w:ascii="宋体" w:hAnsi="宋体" w:cs="宋体"/>
          <w:sz w:val="24"/>
          <w:highlight w:val="none"/>
          <w:lang w:val="zh-CN"/>
        </w:rPr>
      </w:pPr>
      <w:r>
        <w:rPr>
          <w:rFonts w:hint="eastAsia" w:ascii="宋体" w:hAnsi="宋体" w:cs="宋体"/>
          <w:sz w:val="24"/>
          <w:highlight w:val="none"/>
          <w:lang w:val="zh-CN"/>
        </w:rPr>
        <w:t>联合体中标的，联合体各方应当共同与采购人签订合同。</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22" w:name="_Toc17904"/>
      <w:bookmarkStart w:id="123" w:name="_Toc18435"/>
      <w:bookmarkStart w:id="124" w:name="_Toc13816"/>
      <w:r>
        <w:rPr>
          <w:rFonts w:hint="eastAsia"/>
          <w:sz w:val="28"/>
          <w:szCs w:val="28"/>
          <w:highlight w:val="none"/>
          <w:lang w:val="zh-CN"/>
        </w:rPr>
        <w:t>证明投标人合格和资格的文件</w:t>
      </w:r>
      <w:bookmarkEnd w:id="122"/>
      <w:bookmarkEnd w:id="123"/>
      <w:bookmarkEnd w:id="124"/>
    </w:p>
    <w:p>
      <w:pPr>
        <w:numPr>
          <w:ilvl w:val="1"/>
          <w:numId w:val="34"/>
        </w:numPr>
        <w:tabs>
          <w:tab w:val="left" w:pos="118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投标人应提交证明其有资格参加投标和中标后有能力履行合同的文件，并作为其投标文件的一部分。如果投标人为联合体，应提交联合体各方的资格证明文件、联合投标协议并注明主体方及各方拟承担的工作和责任。否则，将导致其投标无效。</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25" w:name="_Toc19261"/>
      <w:bookmarkStart w:id="126" w:name="_Toc24754"/>
      <w:bookmarkStart w:id="127" w:name="_Toc23821"/>
      <w:r>
        <w:rPr>
          <w:rFonts w:hint="eastAsia"/>
          <w:sz w:val="28"/>
          <w:szCs w:val="28"/>
          <w:highlight w:val="none"/>
          <w:lang w:val="zh-CN"/>
        </w:rPr>
        <w:t>证明货物的合格性和符合招标文件规定的文件</w:t>
      </w:r>
      <w:bookmarkEnd w:id="125"/>
      <w:bookmarkEnd w:id="126"/>
      <w:bookmarkEnd w:id="127"/>
    </w:p>
    <w:p>
      <w:pPr>
        <w:numPr>
          <w:ilvl w:val="1"/>
          <w:numId w:val="35"/>
        </w:numPr>
        <w:tabs>
          <w:tab w:val="left" w:pos="106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投标人应</w:t>
      </w:r>
      <w:r>
        <w:rPr>
          <w:rFonts w:hint="eastAsia" w:ascii="宋体" w:hAnsi="宋体" w:cs="宋体"/>
          <w:sz w:val="24"/>
          <w:highlight w:val="none"/>
        </w:rPr>
        <w:t>按招标文件要求</w:t>
      </w:r>
      <w:r>
        <w:rPr>
          <w:rFonts w:hint="eastAsia" w:ascii="宋体" w:hAnsi="宋体" w:cs="宋体"/>
          <w:sz w:val="24"/>
          <w:highlight w:val="none"/>
          <w:lang w:val="zh-CN" w:eastAsia="zh-TW"/>
        </w:rPr>
        <w:t>提交证明文件，证明其拟投标的货物的合格性符合招标文件规定。该证明文件作为投标文件的一部分。</w:t>
      </w:r>
    </w:p>
    <w:p>
      <w:pPr>
        <w:numPr>
          <w:ilvl w:val="1"/>
          <w:numId w:val="35"/>
        </w:numPr>
        <w:tabs>
          <w:tab w:val="left" w:pos="106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证明货物和服务与招标文件的要求相一致的文件，可以是文字资料、图纸和数据，它包括：</w:t>
      </w:r>
    </w:p>
    <w:p>
      <w:pPr>
        <w:numPr>
          <w:ilvl w:val="2"/>
          <w:numId w:val="36"/>
        </w:numPr>
        <w:spacing w:line="360" w:lineRule="auto"/>
        <w:ind w:hanging="487"/>
        <w:rPr>
          <w:rFonts w:ascii="宋体" w:hAnsi="宋体" w:cs="宋体"/>
          <w:sz w:val="24"/>
          <w:highlight w:val="none"/>
          <w:lang w:val="zh-CN"/>
        </w:rPr>
      </w:pPr>
      <w:r>
        <w:rPr>
          <w:rFonts w:hint="eastAsia" w:ascii="宋体" w:hAnsi="宋体" w:cs="宋体"/>
          <w:sz w:val="24"/>
          <w:highlight w:val="none"/>
          <w:lang w:val="zh-CN" w:eastAsia="zh-TW"/>
        </w:rPr>
        <w:t>货物主要技术指标和性能的详细说明。</w:t>
      </w:r>
    </w:p>
    <w:p>
      <w:pPr>
        <w:numPr>
          <w:ilvl w:val="2"/>
          <w:numId w:val="36"/>
        </w:numPr>
        <w:tabs>
          <w:tab w:val="clear" w:pos="907"/>
        </w:tabs>
        <w:spacing w:line="360" w:lineRule="auto"/>
        <w:ind w:left="1267" w:hanging="847"/>
        <w:rPr>
          <w:rFonts w:ascii="宋体" w:hAnsi="宋体" w:cs="宋体"/>
          <w:sz w:val="24"/>
          <w:highlight w:val="none"/>
          <w:lang w:val="zh-CN"/>
        </w:rPr>
      </w:pPr>
      <w:r>
        <w:rPr>
          <w:rFonts w:hint="eastAsia" w:ascii="宋体" w:hAnsi="宋体" w:cs="宋体"/>
          <w:sz w:val="24"/>
          <w:highlight w:val="none"/>
          <w:lang w:val="zh-CN"/>
        </w:rPr>
        <w:t>货物从采购人验收后开始使用至招标文件规定的保质期内正常、连续地使用所必须的备件和专用工具清单，包括备件和专用工具的货源和现行价格。</w:t>
      </w:r>
    </w:p>
    <w:p>
      <w:pPr>
        <w:numPr>
          <w:ilvl w:val="2"/>
          <w:numId w:val="36"/>
        </w:numPr>
        <w:tabs>
          <w:tab w:val="clear" w:pos="907"/>
        </w:tabs>
        <w:spacing w:line="360" w:lineRule="auto"/>
        <w:ind w:left="1267" w:hanging="847"/>
        <w:rPr>
          <w:rFonts w:ascii="宋体" w:hAnsi="宋体" w:cs="宋体"/>
          <w:sz w:val="24"/>
          <w:highlight w:val="none"/>
          <w:lang w:val="zh-CN"/>
        </w:rPr>
      </w:pPr>
      <w:r>
        <w:rPr>
          <w:rFonts w:hint="eastAsia" w:ascii="宋体" w:hAnsi="宋体" w:cs="宋体"/>
          <w:sz w:val="24"/>
          <w:highlight w:val="none"/>
          <w:lang w:val="zh-CN"/>
        </w:rPr>
        <w:t>对照招标文件技术规格，逐条说明所提供货物和服务已对招标文件的技术规格作出了实质性的响应，并申明与技术规格条文的偏差和例外。特别是对有具体参数要求的指标，投标人须提供所投设备的具体参数值。</w:t>
      </w:r>
    </w:p>
    <w:p>
      <w:pPr>
        <w:numPr>
          <w:ilvl w:val="2"/>
          <w:numId w:val="36"/>
        </w:numPr>
        <w:tabs>
          <w:tab w:val="clear" w:pos="907"/>
        </w:tabs>
        <w:spacing w:line="360" w:lineRule="auto"/>
        <w:ind w:left="1267" w:hanging="847"/>
        <w:rPr>
          <w:rFonts w:ascii="宋体" w:hAnsi="宋体" w:cs="宋体"/>
          <w:sz w:val="24"/>
          <w:highlight w:val="none"/>
          <w:lang w:val="zh-CN"/>
        </w:rPr>
      </w:pPr>
      <w:r>
        <w:rPr>
          <w:rFonts w:hint="eastAsia" w:ascii="宋体" w:hAnsi="宋体" w:cs="宋体"/>
          <w:sz w:val="24"/>
          <w:highlight w:val="none"/>
          <w:lang w:val="zh-CN"/>
        </w:rPr>
        <w:t>投标人在阐述时应注意招标文件的技术规格中指出的工艺、材料和设备的标准以及参照的品牌或型号仅起说明作用，并没有任何限制性。投标人可以在投标中选择替代标准、品牌或型号，但这些替代要实质上满足或超过招标文件的要求。</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28" w:name="_Toc767"/>
      <w:bookmarkStart w:id="129" w:name="_Toc6007"/>
      <w:r>
        <w:rPr>
          <w:rFonts w:hint="eastAsia"/>
          <w:sz w:val="28"/>
          <w:szCs w:val="28"/>
          <w:highlight w:val="none"/>
          <w:lang w:val="zh-CN"/>
        </w:rPr>
        <w:t>投标保证金</w:t>
      </w:r>
      <w:bookmarkEnd w:id="128"/>
      <w:bookmarkEnd w:id="129"/>
    </w:p>
    <w:p>
      <w:pPr>
        <w:numPr>
          <w:ilvl w:val="1"/>
          <w:numId w:val="37"/>
        </w:numPr>
        <w:tabs>
          <w:tab w:val="left" w:pos="110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投标人须按</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eastAsia="zh-TW"/>
        </w:rPr>
        <w:t>中规定的金额和交纳期限向采购代理机构交纳投标保证金，并作为其投标文件的组成部分。</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30" w:name="_Toc10934"/>
      <w:bookmarkStart w:id="131" w:name="_Toc10451"/>
      <w:bookmarkStart w:id="132" w:name="_Toc8809"/>
      <w:r>
        <w:rPr>
          <w:rFonts w:hint="eastAsia"/>
          <w:sz w:val="28"/>
          <w:szCs w:val="28"/>
          <w:highlight w:val="none"/>
          <w:lang w:val="zh-CN"/>
        </w:rPr>
        <w:t>投标保证金的退还条件</w:t>
      </w:r>
      <w:bookmarkEnd w:id="130"/>
      <w:bookmarkEnd w:id="131"/>
      <w:bookmarkEnd w:id="132"/>
    </w:p>
    <w:p>
      <w:pPr>
        <w:numPr>
          <w:ilvl w:val="1"/>
          <w:numId w:val="38"/>
        </w:numPr>
        <w:tabs>
          <w:tab w:val="left" w:pos="118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未中标人的投标保证金，自中标通知书发出之日起五个工作日内退还，</w:t>
      </w:r>
      <w:r>
        <w:rPr>
          <w:rFonts w:hint="eastAsia" w:ascii="宋体" w:hAnsi="宋体" w:cs="宋体"/>
          <w:sz w:val="24"/>
          <w:highlight w:val="none"/>
          <w:lang w:eastAsia="zh-TW"/>
        </w:rPr>
        <w:t>但因投标人自身原因导致无法及时退还的除外</w:t>
      </w:r>
      <w:r>
        <w:rPr>
          <w:rFonts w:hint="eastAsia" w:ascii="宋体" w:hAnsi="宋体" w:cs="宋体"/>
          <w:sz w:val="24"/>
          <w:highlight w:val="none"/>
          <w:lang w:val="zh-CN" w:eastAsia="zh-TW"/>
        </w:rPr>
        <w:t>。</w:t>
      </w:r>
    </w:p>
    <w:p>
      <w:pPr>
        <w:numPr>
          <w:ilvl w:val="1"/>
          <w:numId w:val="38"/>
        </w:numPr>
        <w:tabs>
          <w:tab w:val="left" w:pos="118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中标人的投标保证金，自采购合同签订之日起五个工作日内退还，</w:t>
      </w:r>
      <w:r>
        <w:rPr>
          <w:rFonts w:hint="eastAsia" w:ascii="宋体" w:hAnsi="宋体" w:cs="宋体"/>
          <w:sz w:val="24"/>
          <w:highlight w:val="none"/>
          <w:lang w:eastAsia="zh-TW"/>
        </w:rPr>
        <w:t>但因投标人自身原因导致无法及时退还的除外</w:t>
      </w:r>
      <w:r>
        <w:rPr>
          <w:rFonts w:hint="eastAsia" w:ascii="宋体" w:hAnsi="宋体" w:cs="宋体"/>
          <w:sz w:val="24"/>
          <w:highlight w:val="none"/>
          <w:lang w:val="zh-CN" w:eastAsia="zh-TW"/>
        </w:rPr>
        <w:t>。</w:t>
      </w:r>
      <w:bookmarkStart w:id="133" w:name="_Toc11559"/>
    </w:p>
    <w:p>
      <w:pPr>
        <w:numPr>
          <w:ilvl w:val="1"/>
          <w:numId w:val="38"/>
        </w:numPr>
        <w:tabs>
          <w:tab w:val="left" w:pos="118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投标人在投标截止时间前撤回已提交的投标文件的，采购人或者采购代理机构应当自收到投标人书面撤回通知之日起五个工作日内，退还已收取的投标保证金，但因投标人自身原因导致无法及时退还的除外。</w:t>
      </w:r>
    </w:p>
    <w:p>
      <w:pPr>
        <w:numPr>
          <w:ilvl w:val="1"/>
          <w:numId w:val="38"/>
        </w:numPr>
        <w:tabs>
          <w:tab w:val="left" w:pos="118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下列任一种情况发生时，投标保证金将不予退还</w:t>
      </w:r>
      <w:bookmarkEnd w:id="133"/>
      <w:r>
        <w:rPr>
          <w:rFonts w:hint="eastAsia" w:ascii="宋体" w:hAnsi="宋体" w:cs="宋体"/>
          <w:sz w:val="24"/>
          <w:highlight w:val="none"/>
          <w:lang w:val="zh-CN" w:eastAsia="zh-TW"/>
        </w:rPr>
        <w:t>：</w:t>
      </w:r>
    </w:p>
    <w:p>
      <w:pPr>
        <w:numPr>
          <w:ilvl w:val="2"/>
          <w:numId w:val="39"/>
        </w:numPr>
        <w:spacing w:line="360" w:lineRule="auto"/>
        <w:ind w:hanging="487"/>
        <w:rPr>
          <w:rFonts w:ascii="宋体" w:hAnsi="宋体" w:cs="宋体"/>
          <w:sz w:val="24"/>
          <w:highlight w:val="none"/>
          <w:lang w:val="zh-CN" w:eastAsia="zh-TW"/>
        </w:rPr>
      </w:pPr>
      <w:r>
        <w:rPr>
          <w:rFonts w:hint="eastAsia" w:ascii="宋体" w:hAnsi="宋体" w:cs="宋体"/>
          <w:sz w:val="24"/>
          <w:highlight w:val="none"/>
          <w:lang w:val="zh-CN" w:eastAsia="zh-TW"/>
        </w:rPr>
        <w:t>投标人在招标文件规定的投标有效期内撤销其投标的；</w:t>
      </w:r>
    </w:p>
    <w:p>
      <w:pPr>
        <w:numPr>
          <w:ilvl w:val="2"/>
          <w:numId w:val="39"/>
        </w:numPr>
        <w:tabs>
          <w:tab w:val="clear" w:pos="907"/>
        </w:tabs>
        <w:spacing w:line="360" w:lineRule="auto"/>
        <w:ind w:left="1247" w:hanging="827"/>
        <w:rPr>
          <w:rFonts w:ascii="宋体" w:hAnsi="宋体" w:cs="宋体"/>
          <w:sz w:val="24"/>
          <w:highlight w:val="none"/>
          <w:lang w:val="zh-CN" w:eastAsia="zh-TW"/>
        </w:rPr>
      </w:pPr>
      <w:r>
        <w:rPr>
          <w:rFonts w:hint="eastAsia" w:ascii="宋体" w:hAnsi="宋体" w:cs="宋体"/>
          <w:sz w:val="24"/>
          <w:highlight w:val="none"/>
          <w:lang w:val="zh-CN" w:eastAsia="zh-TW"/>
        </w:rPr>
        <w:t>中标人中标后无正当理由放弃中标或在规定期限内未按本须知规定签订合同的；</w:t>
      </w:r>
    </w:p>
    <w:p>
      <w:pPr>
        <w:numPr>
          <w:ilvl w:val="2"/>
          <w:numId w:val="39"/>
        </w:numPr>
        <w:tabs>
          <w:tab w:val="clear" w:pos="907"/>
        </w:tabs>
        <w:spacing w:line="360" w:lineRule="auto"/>
        <w:ind w:left="1247" w:hanging="827"/>
        <w:rPr>
          <w:rFonts w:ascii="宋体" w:hAnsi="宋体" w:cs="宋体"/>
          <w:sz w:val="24"/>
          <w:highlight w:val="none"/>
          <w:lang w:val="zh-CN" w:eastAsia="zh-TW"/>
        </w:rPr>
      </w:pPr>
      <w:r>
        <w:rPr>
          <w:rFonts w:hint="eastAsia" w:ascii="宋体" w:hAnsi="宋体" w:cs="宋体"/>
          <w:sz w:val="24"/>
          <w:highlight w:val="none"/>
          <w:lang w:val="zh-CN" w:eastAsia="zh-TW"/>
        </w:rPr>
        <w:t>中标人在规定期限内未按本须知规定提供履约保证金的；</w:t>
      </w:r>
    </w:p>
    <w:p>
      <w:pPr>
        <w:numPr>
          <w:ilvl w:val="2"/>
          <w:numId w:val="39"/>
        </w:numPr>
        <w:tabs>
          <w:tab w:val="clear" w:pos="907"/>
        </w:tabs>
        <w:spacing w:line="360" w:lineRule="auto"/>
        <w:ind w:left="1247" w:hanging="827"/>
        <w:rPr>
          <w:rFonts w:ascii="宋体" w:hAnsi="宋体" w:cs="宋体"/>
          <w:sz w:val="24"/>
          <w:highlight w:val="none"/>
          <w:lang w:val="zh-CN" w:eastAsia="zh-TW"/>
        </w:rPr>
      </w:pPr>
      <w:r>
        <w:rPr>
          <w:rFonts w:hint="eastAsia" w:ascii="宋体" w:hAnsi="宋体" w:cs="宋体"/>
          <w:sz w:val="24"/>
          <w:highlight w:val="none"/>
          <w:lang w:val="zh-CN" w:eastAsia="zh-TW"/>
        </w:rPr>
        <w:t>中标人未按本须知规定缴交招标代理服务费的；</w:t>
      </w:r>
    </w:p>
    <w:p>
      <w:pPr>
        <w:numPr>
          <w:ilvl w:val="2"/>
          <w:numId w:val="39"/>
        </w:numPr>
        <w:tabs>
          <w:tab w:val="clear" w:pos="907"/>
        </w:tabs>
        <w:spacing w:line="360" w:lineRule="auto"/>
        <w:ind w:left="1247" w:hanging="827"/>
        <w:rPr>
          <w:rFonts w:ascii="宋体" w:hAnsi="宋体" w:cs="宋体"/>
          <w:sz w:val="24"/>
          <w:highlight w:val="none"/>
          <w:lang w:val="zh-CN" w:eastAsia="zh-TW"/>
        </w:rPr>
      </w:pPr>
      <w:r>
        <w:rPr>
          <w:rFonts w:hint="eastAsia" w:ascii="宋体" w:hAnsi="宋体" w:cs="宋体"/>
          <w:sz w:val="24"/>
          <w:highlight w:val="none"/>
          <w:lang w:val="zh-CN" w:eastAsia="zh-TW"/>
        </w:rPr>
        <w:t>投标人捏造事实、提供虚假材料或者以非法手段取得证明材料进行质疑投诉的。</w:t>
      </w:r>
    </w:p>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highlight w:val="none"/>
        </w:rPr>
      </w:pPr>
      <w:bookmarkStart w:id="134" w:name="_Toc25999"/>
      <w:bookmarkStart w:id="135" w:name="_Toc10947"/>
      <w:bookmarkStart w:id="136" w:name="_Toc423021944"/>
      <w:bookmarkStart w:id="137" w:name="_Toc26289"/>
      <w:r>
        <w:rPr>
          <w:highlight w:val="none"/>
        </w:rPr>
        <w:t>投标文件的递交</w:t>
      </w:r>
      <w:bookmarkEnd w:id="134"/>
      <w:bookmarkEnd w:id="135"/>
      <w:bookmarkEnd w:id="136"/>
      <w:bookmarkEnd w:id="137"/>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38" w:name="_Toc568"/>
      <w:bookmarkStart w:id="139" w:name="_Toc5144"/>
      <w:bookmarkStart w:id="140" w:name="_Toc28530"/>
      <w:r>
        <w:rPr>
          <w:rFonts w:hint="eastAsia"/>
          <w:sz w:val="28"/>
          <w:szCs w:val="28"/>
          <w:highlight w:val="none"/>
          <w:lang w:val="zh-CN"/>
        </w:rPr>
        <w:t>投标文件的密封和标记</w:t>
      </w:r>
      <w:bookmarkEnd w:id="138"/>
      <w:bookmarkEnd w:id="139"/>
      <w:bookmarkEnd w:id="140"/>
    </w:p>
    <w:p>
      <w:pPr>
        <w:numPr>
          <w:ilvl w:val="1"/>
          <w:numId w:val="40"/>
        </w:numPr>
        <w:tabs>
          <w:tab w:val="left" w:pos="1180"/>
          <w:tab w:val="clear" w:pos="907"/>
        </w:tabs>
        <w:spacing w:line="360" w:lineRule="auto"/>
        <w:ind w:left="1147" w:hanging="727"/>
        <w:rPr>
          <w:rFonts w:ascii="宋体" w:hAnsi="宋体" w:cs="宋体"/>
          <w:b/>
          <w:bCs/>
          <w:sz w:val="24"/>
          <w:highlight w:val="none"/>
          <w:u w:val="single"/>
          <w:lang w:val="zh-CN" w:eastAsia="zh-TW"/>
        </w:rPr>
      </w:pPr>
      <w:r>
        <w:rPr>
          <w:rFonts w:hint="eastAsia" w:ascii="宋体" w:hAnsi="宋体" w:cs="宋体"/>
          <w:sz w:val="24"/>
          <w:highlight w:val="none"/>
          <w:lang w:val="zh-CN" w:eastAsia="zh-TW"/>
        </w:rPr>
        <w:t>投标人应将投标文件正本和所有副本分开密封，且在封套上标明“正本”“副本”字样。</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41" w:name="_Toc23316"/>
      <w:bookmarkStart w:id="142" w:name="_Toc27599"/>
      <w:bookmarkStart w:id="143" w:name="_Toc1425"/>
      <w:r>
        <w:rPr>
          <w:rFonts w:hint="eastAsia"/>
          <w:sz w:val="28"/>
          <w:szCs w:val="28"/>
          <w:highlight w:val="none"/>
          <w:lang w:val="zh-CN"/>
        </w:rPr>
        <w:t>投标文件递交要求</w:t>
      </w:r>
      <w:bookmarkEnd w:id="141"/>
      <w:bookmarkEnd w:id="142"/>
      <w:bookmarkEnd w:id="143"/>
    </w:p>
    <w:p>
      <w:pPr>
        <w:numPr>
          <w:ilvl w:val="1"/>
          <w:numId w:val="41"/>
        </w:numPr>
        <w:tabs>
          <w:tab w:val="left" w:pos="118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投标文件及密封外套须清楚标明投标人名称和地址并加盖单位公章。</w:t>
      </w:r>
    </w:p>
    <w:p>
      <w:pPr>
        <w:numPr>
          <w:ilvl w:val="1"/>
          <w:numId w:val="41"/>
        </w:numPr>
        <w:tabs>
          <w:tab w:val="left" w:pos="118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清楚注明投标邀请函中指明的</w:t>
      </w:r>
      <w:r>
        <w:rPr>
          <w:rFonts w:hint="eastAsia" w:ascii="宋体" w:hAnsi="宋体" w:cs="宋体"/>
          <w:b/>
          <w:bCs/>
          <w:sz w:val="24"/>
          <w:highlight w:val="none"/>
          <w:u w:val="single"/>
          <w:lang w:val="zh-CN" w:eastAsia="zh-TW"/>
        </w:rPr>
        <w:t>项目名称、项目编号、包组号和“在(招标文件中规定的开标日期和时间)之前不得启封”</w:t>
      </w:r>
      <w:r>
        <w:rPr>
          <w:rFonts w:hint="eastAsia" w:ascii="宋体" w:hAnsi="宋体" w:cs="宋体"/>
          <w:sz w:val="24"/>
          <w:highlight w:val="none"/>
          <w:lang w:val="zh-CN" w:eastAsia="zh-TW"/>
        </w:rPr>
        <w:t xml:space="preserve">的字样。 </w:t>
      </w:r>
    </w:p>
    <w:p>
      <w:pPr>
        <w:numPr>
          <w:ilvl w:val="1"/>
          <w:numId w:val="41"/>
        </w:numPr>
        <w:tabs>
          <w:tab w:val="left" w:pos="1180"/>
          <w:tab w:val="clear" w:pos="907"/>
        </w:tabs>
        <w:spacing w:line="360" w:lineRule="auto"/>
        <w:ind w:left="1127" w:hanging="707"/>
        <w:rPr>
          <w:rFonts w:ascii="宋体" w:hAnsi="宋体" w:cs="宋体"/>
          <w:b/>
          <w:bCs/>
          <w:sz w:val="24"/>
          <w:highlight w:val="none"/>
          <w:u w:val="single"/>
          <w:lang w:val="zh-CN" w:eastAsia="zh-TW"/>
        </w:rPr>
      </w:pPr>
      <w:r>
        <w:rPr>
          <w:rFonts w:hint="eastAsia" w:ascii="宋体" w:hAnsi="宋体" w:cs="宋体"/>
          <w:sz w:val="24"/>
          <w:highlight w:val="none"/>
          <w:lang w:val="zh-CN" w:eastAsia="zh-TW"/>
        </w:rPr>
        <w:t>如果投标人未按</w:t>
      </w:r>
      <w:r>
        <w:rPr>
          <w:rFonts w:hint="eastAsia" w:ascii="宋体" w:hAnsi="宋体" w:cs="宋体"/>
          <w:sz w:val="24"/>
          <w:highlight w:val="none"/>
        </w:rPr>
        <w:t>本须知19</w:t>
      </w:r>
      <w:r>
        <w:rPr>
          <w:rFonts w:hint="eastAsia" w:ascii="宋体" w:hAnsi="宋体" w:cs="宋体"/>
          <w:sz w:val="24"/>
          <w:highlight w:val="none"/>
          <w:lang w:val="zh-CN" w:eastAsia="zh-TW"/>
        </w:rPr>
        <w:t>款要求加写标记和密封，采购代理机构对误投或提前启封概不负责。</w:t>
      </w:r>
    </w:p>
    <w:p>
      <w:pPr>
        <w:numPr>
          <w:ilvl w:val="1"/>
          <w:numId w:val="41"/>
        </w:numPr>
        <w:tabs>
          <w:tab w:val="left" w:pos="1180"/>
          <w:tab w:val="clear" w:pos="907"/>
        </w:tabs>
        <w:spacing w:line="360" w:lineRule="auto"/>
        <w:ind w:left="1127" w:hanging="707"/>
        <w:rPr>
          <w:rFonts w:ascii="宋体" w:hAnsi="宋体" w:cs="宋体"/>
          <w:sz w:val="24"/>
          <w:highlight w:val="none"/>
          <w:lang w:val="zh-CN" w:eastAsia="zh-TW"/>
        </w:rPr>
      </w:pPr>
      <w:r>
        <w:rPr>
          <w:rFonts w:hint="eastAsia" w:ascii="宋体" w:hAnsi="宋体" w:cs="宋体"/>
          <w:b/>
          <w:bCs/>
          <w:sz w:val="24"/>
          <w:highlight w:val="none"/>
          <w:u w:val="single"/>
          <w:lang w:val="zh-CN" w:eastAsia="zh-TW"/>
        </w:rPr>
        <w:t>投标人同时参加多个包组投标时，必须分包组制作投标文件，并分别密封提交。</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44" w:name="_Toc15097"/>
      <w:bookmarkStart w:id="145" w:name="_Toc16553"/>
      <w:bookmarkStart w:id="146" w:name="_Toc16962"/>
      <w:bookmarkStart w:id="147" w:name="_Toc8556"/>
      <w:bookmarkStart w:id="148" w:name="_Toc89011986"/>
      <w:bookmarkStart w:id="149" w:name="_Toc24195"/>
      <w:bookmarkStart w:id="150" w:name="_Toc22077"/>
      <w:bookmarkStart w:id="151" w:name="_Toc2396"/>
      <w:r>
        <w:rPr>
          <w:rFonts w:hint="eastAsia"/>
          <w:sz w:val="28"/>
          <w:szCs w:val="28"/>
          <w:highlight w:val="none"/>
          <w:lang w:val="zh-CN"/>
        </w:rPr>
        <w:t>投标样品</w:t>
      </w:r>
      <w:bookmarkEnd w:id="144"/>
      <w:bookmarkEnd w:id="145"/>
      <w:bookmarkEnd w:id="146"/>
      <w:bookmarkEnd w:id="147"/>
      <w:bookmarkEnd w:id="148"/>
      <w:r>
        <w:rPr>
          <w:rFonts w:hint="eastAsia"/>
          <w:sz w:val="28"/>
          <w:szCs w:val="28"/>
          <w:highlight w:val="none"/>
          <w:lang w:val="zh-CN"/>
        </w:rPr>
        <w:t>（不适用）</w:t>
      </w:r>
      <w:bookmarkEnd w:id="149"/>
    </w:p>
    <w:p>
      <w:pPr>
        <w:numPr>
          <w:ilvl w:val="1"/>
          <w:numId w:val="42"/>
        </w:numPr>
        <w:tabs>
          <w:tab w:val="left" w:pos="1200"/>
          <w:tab w:val="clear" w:pos="907"/>
        </w:tabs>
        <w:spacing w:line="360" w:lineRule="auto"/>
        <w:ind w:left="1147" w:hanging="727"/>
        <w:rPr>
          <w:rFonts w:ascii="宋体" w:hAnsi="宋体" w:cs="宋体"/>
          <w:sz w:val="24"/>
          <w:highlight w:val="none"/>
          <w:lang w:val="zh-CN" w:eastAsia="zh-TW"/>
        </w:rPr>
      </w:pPr>
      <w:r>
        <w:rPr>
          <w:rFonts w:hint="eastAsia" w:ascii="宋体" w:hAnsi="宋体" w:cs="宋体"/>
          <w:sz w:val="24"/>
          <w:highlight w:val="none"/>
          <w:lang w:val="zh-CN" w:eastAsia="zh-TW"/>
        </w:rPr>
        <w:t>如有要求，投标人须按招标文件和</w:t>
      </w:r>
      <w:r>
        <w:rPr>
          <w:rFonts w:hint="eastAsia" w:ascii="黑体" w:hAnsi="黑体" w:eastAsia="黑体" w:cs="黑体"/>
          <w:b/>
          <w:bCs/>
          <w:sz w:val="26"/>
          <w:szCs w:val="26"/>
          <w:highlight w:val="none"/>
          <w:lang w:val="zh-CN" w:eastAsia="zh-TW"/>
        </w:rPr>
        <w:t>投标人须知前附表</w:t>
      </w:r>
      <w:r>
        <w:rPr>
          <w:rFonts w:hint="eastAsia" w:ascii="宋体" w:hAnsi="宋体" w:cs="宋体"/>
          <w:sz w:val="24"/>
          <w:highlight w:val="none"/>
          <w:lang w:val="zh-CN" w:eastAsia="zh-TW"/>
        </w:rPr>
        <w:t>的要求提供能反映货物材质或关键部分的极少部分的尺寸、价值不大的样品，投标人在投标时应单独提交《投标样品递交清单》。</w:t>
      </w:r>
    </w:p>
    <w:p>
      <w:pPr>
        <w:numPr>
          <w:ilvl w:val="1"/>
          <w:numId w:val="42"/>
        </w:numPr>
        <w:tabs>
          <w:tab w:val="left" w:pos="1200"/>
          <w:tab w:val="clear" w:pos="907"/>
        </w:tabs>
        <w:spacing w:line="360" w:lineRule="auto"/>
        <w:ind w:left="1147" w:hanging="727"/>
        <w:rPr>
          <w:rFonts w:ascii="宋体" w:hAnsi="宋体" w:cs="宋体"/>
          <w:sz w:val="24"/>
          <w:highlight w:val="none"/>
          <w:lang w:val="zh-CN" w:eastAsia="zh-TW"/>
        </w:rPr>
      </w:pPr>
      <w:r>
        <w:rPr>
          <w:rFonts w:hint="eastAsia" w:ascii="宋体" w:hAnsi="宋体" w:cs="宋体"/>
          <w:sz w:val="24"/>
          <w:highlight w:val="none"/>
          <w:lang w:val="zh-CN" w:eastAsia="zh-TW"/>
        </w:rPr>
        <w:t>为方便评标，投标人在提供样品时，应使用透明的外包装或尽量少用外包装，但必须在所提供的样品表面显著位置标注投标人名称、包组号、样品名称、招标文件规定的货物编号。</w:t>
      </w:r>
    </w:p>
    <w:p>
      <w:pPr>
        <w:numPr>
          <w:ilvl w:val="1"/>
          <w:numId w:val="42"/>
        </w:numPr>
        <w:tabs>
          <w:tab w:val="left" w:pos="1200"/>
          <w:tab w:val="clear" w:pos="907"/>
        </w:tabs>
        <w:spacing w:line="360" w:lineRule="auto"/>
        <w:ind w:left="1147" w:hanging="727"/>
        <w:rPr>
          <w:rFonts w:ascii="宋体" w:hAnsi="宋体" w:cs="宋体"/>
          <w:sz w:val="24"/>
          <w:highlight w:val="none"/>
          <w:lang w:val="zh-CN" w:eastAsia="zh-TW"/>
        </w:rPr>
      </w:pPr>
      <w:r>
        <w:rPr>
          <w:rFonts w:hint="eastAsia" w:ascii="宋体" w:hAnsi="宋体" w:cs="宋体"/>
          <w:sz w:val="24"/>
          <w:highlight w:val="none"/>
          <w:lang w:val="zh-CN" w:eastAsia="zh-TW"/>
        </w:rPr>
        <w:t>投标样品作为投标文件的一部分，除非另有说明，中标单位的样品不再退还；未中标单位须在中标公告发布后五个工作日内，前往采购代理机构领取投标样品，逾期不领取的，采购代理机构将不承担样品的保管责任，由此引发的样品丢失、毁损，采购代理机构概不负责。</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52" w:name="_Toc15471"/>
      <w:r>
        <w:rPr>
          <w:rFonts w:hint="eastAsia"/>
          <w:sz w:val="28"/>
          <w:szCs w:val="28"/>
          <w:highlight w:val="none"/>
          <w:lang w:val="zh-CN"/>
        </w:rPr>
        <w:t>投标截止</w:t>
      </w:r>
      <w:bookmarkEnd w:id="150"/>
      <w:bookmarkEnd w:id="151"/>
      <w:bookmarkEnd w:id="152"/>
    </w:p>
    <w:p>
      <w:pPr>
        <w:numPr>
          <w:ilvl w:val="1"/>
          <w:numId w:val="43"/>
        </w:numPr>
        <w:tabs>
          <w:tab w:val="left" w:pos="120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投标人应在不迟于</w:t>
      </w:r>
      <w:r>
        <w:rPr>
          <w:rFonts w:hint="eastAsia" w:ascii="黑体" w:hAnsi="黑体" w:eastAsia="黑体" w:cs="黑体"/>
          <w:b/>
          <w:bCs/>
          <w:sz w:val="24"/>
          <w:highlight w:val="none"/>
          <w:lang w:val="zh-CN" w:eastAsia="zh-TW"/>
        </w:rPr>
        <w:t>投标邀请函</w:t>
      </w:r>
      <w:r>
        <w:rPr>
          <w:rFonts w:hint="eastAsia" w:ascii="宋体" w:hAnsi="宋体" w:cs="宋体"/>
          <w:sz w:val="24"/>
          <w:highlight w:val="none"/>
          <w:lang w:val="zh-CN" w:eastAsia="zh-TW"/>
        </w:rPr>
        <w:t>中规定的截止日期和时间将投标文件递交至采购代理机构，递交地点应是</w:t>
      </w:r>
      <w:r>
        <w:rPr>
          <w:rFonts w:hint="eastAsia" w:ascii="黑体" w:hAnsi="黑体" w:eastAsia="黑体" w:cs="黑体"/>
          <w:b/>
          <w:bCs/>
          <w:sz w:val="24"/>
          <w:highlight w:val="none"/>
          <w:lang w:val="zh-CN" w:eastAsia="zh-TW"/>
        </w:rPr>
        <w:t>投标邀请函</w:t>
      </w:r>
      <w:r>
        <w:rPr>
          <w:rFonts w:hint="eastAsia" w:ascii="宋体" w:hAnsi="宋体" w:cs="宋体"/>
          <w:sz w:val="24"/>
          <w:highlight w:val="none"/>
          <w:lang w:val="zh-CN" w:eastAsia="zh-TW"/>
        </w:rPr>
        <w:t>中指明的地址。</w:t>
      </w:r>
    </w:p>
    <w:p>
      <w:pPr>
        <w:numPr>
          <w:ilvl w:val="1"/>
          <w:numId w:val="43"/>
        </w:numPr>
        <w:tabs>
          <w:tab w:val="left" w:pos="120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采购人或采购代理机构因修改招标文件，可酌情延长投标截止时间，但应发布公告并书面通知所有领购招标文件的潜在投标人。在此情况下，采购人或采购代理机构和投标人受投标截止时间制约的所有权利和义务均延长至新的投标截止时间。</w:t>
      </w:r>
    </w:p>
    <w:p>
      <w:pPr>
        <w:numPr>
          <w:ilvl w:val="1"/>
          <w:numId w:val="43"/>
        </w:numPr>
        <w:tabs>
          <w:tab w:val="left" w:pos="1200"/>
          <w:tab w:val="clear" w:pos="907"/>
        </w:tabs>
        <w:spacing w:line="360" w:lineRule="auto"/>
        <w:ind w:left="1127" w:hanging="707"/>
        <w:rPr>
          <w:rFonts w:ascii="宋体" w:hAnsi="宋体" w:cs="宋体"/>
          <w:sz w:val="24"/>
          <w:highlight w:val="none"/>
          <w:lang w:val="zh-CN" w:eastAsia="zh-TW"/>
        </w:rPr>
      </w:pPr>
      <w:r>
        <w:rPr>
          <w:rFonts w:hint="eastAsia" w:ascii="宋体" w:hAnsi="宋体" w:cs="宋体"/>
          <w:sz w:val="24"/>
          <w:highlight w:val="none"/>
          <w:lang w:val="zh-CN" w:eastAsia="zh-TW"/>
        </w:rPr>
        <w:t>采购代理机构将拒绝接收在招标文件规定的投标截止时间之后</w:t>
      </w:r>
      <w:r>
        <w:rPr>
          <w:rFonts w:hint="eastAsia" w:ascii="宋体" w:hAnsi="宋体" w:cs="宋体"/>
          <w:sz w:val="24"/>
          <w:highlight w:val="none"/>
          <w:lang w:val="zh-CN"/>
        </w:rPr>
        <w:t>递交</w:t>
      </w:r>
      <w:r>
        <w:rPr>
          <w:rFonts w:hint="eastAsia" w:ascii="宋体" w:hAnsi="宋体" w:cs="宋体"/>
          <w:sz w:val="24"/>
          <w:highlight w:val="none"/>
          <w:lang w:val="zh-CN" w:eastAsia="zh-TW"/>
        </w:rPr>
        <w:t>的任何投标文件。</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53" w:name="_Toc1816"/>
      <w:bookmarkStart w:id="154" w:name="_Toc9499"/>
      <w:bookmarkStart w:id="155" w:name="_Toc30802"/>
      <w:r>
        <w:rPr>
          <w:rFonts w:hint="eastAsia"/>
          <w:sz w:val="28"/>
          <w:szCs w:val="28"/>
          <w:highlight w:val="none"/>
          <w:lang w:val="zh-CN"/>
        </w:rPr>
        <w:t>投标文件的修改和撤回</w:t>
      </w:r>
      <w:bookmarkEnd w:id="153"/>
      <w:bookmarkEnd w:id="154"/>
      <w:bookmarkEnd w:id="155"/>
    </w:p>
    <w:p>
      <w:pPr>
        <w:numPr>
          <w:ilvl w:val="1"/>
          <w:numId w:val="44"/>
        </w:numPr>
        <w:tabs>
          <w:tab w:val="left" w:pos="106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投标人在投标截止时间前，可以对其递交的投标文件进行补充、修改或撤回，但应书面通知采购代理机构。补充、修改的内容应当按招标文件的要求签署、盖章，并作为投标文件的组成部分。</w:t>
      </w:r>
    </w:p>
    <w:p>
      <w:pPr>
        <w:numPr>
          <w:ilvl w:val="1"/>
          <w:numId w:val="44"/>
        </w:numPr>
        <w:tabs>
          <w:tab w:val="left" w:pos="106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在投标截止时间之后，投标人不得对其投标文件做任何修改。</w:t>
      </w:r>
    </w:p>
    <w:p>
      <w:pPr>
        <w:numPr>
          <w:ilvl w:val="1"/>
          <w:numId w:val="44"/>
        </w:numPr>
        <w:tabs>
          <w:tab w:val="left" w:pos="106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从投标截止期至招标文件规定的投标有效期期满的这段时间内，投标人不得撤回其投标，否则其投标保证金将按照本须知的规定不予退还。</w:t>
      </w:r>
    </w:p>
    <w:p>
      <w:pPr>
        <w:numPr>
          <w:ilvl w:val="1"/>
          <w:numId w:val="44"/>
        </w:numPr>
        <w:tabs>
          <w:tab w:val="left" w:pos="1060"/>
          <w:tab w:val="clear" w:pos="907"/>
        </w:tabs>
        <w:spacing w:line="360" w:lineRule="auto"/>
        <w:ind w:left="1107" w:hanging="687"/>
        <w:rPr>
          <w:rFonts w:ascii="宋体" w:hAnsi="宋体" w:cs="宋体"/>
          <w:sz w:val="24"/>
          <w:highlight w:val="none"/>
          <w:lang w:val="zh-CN" w:eastAsia="zh-TW"/>
        </w:rPr>
      </w:pPr>
      <w:r>
        <w:rPr>
          <w:rFonts w:hint="eastAsia" w:ascii="宋体" w:hAnsi="宋体" w:cs="宋体"/>
          <w:sz w:val="24"/>
          <w:highlight w:val="none"/>
          <w:lang w:val="zh-CN" w:eastAsia="zh-TW"/>
        </w:rPr>
        <w:t>除非招标文件另有规定或说明，投标文件一律不予退还。</w:t>
      </w:r>
    </w:p>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highlight w:val="none"/>
        </w:rPr>
      </w:pPr>
      <w:bookmarkStart w:id="156" w:name="_Toc21950"/>
      <w:bookmarkStart w:id="157" w:name="_Toc423021945"/>
      <w:bookmarkStart w:id="158" w:name="_Toc21478"/>
      <w:bookmarkStart w:id="159" w:name="_Toc2504"/>
      <w:r>
        <w:rPr>
          <w:highlight w:val="none"/>
        </w:rPr>
        <w:t>开标</w:t>
      </w:r>
      <w:r>
        <w:rPr>
          <w:rFonts w:hint="eastAsia"/>
          <w:highlight w:val="none"/>
        </w:rPr>
        <w:t>与</w:t>
      </w:r>
      <w:r>
        <w:rPr>
          <w:highlight w:val="none"/>
        </w:rPr>
        <w:t>评标</w:t>
      </w:r>
      <w:bookmarkEnd w:id="156"/>
      <w:bookmarkEnd w:id="157"/>
      <w:bookmarkEnd w:id="158"/>
      <w:bookmarkEnd w:id="159"/>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60" w:name="_Toc10165"/>
      <w:bookmarkStart w:id="161" w:name="_Toc19097"/>
      <w:bookmarkStart w:id="162" w:name="_Toc8931"/>
      <w:r>
        <w:rPr>
          <w:rFonts w:hint="eastAsia"/>
          <w:sz w:val="28"/>
          <w:szCs w:val="28"/>
          <w:highlight w:val="none"/>
          <w:lang w:val="zh-CN"/>
        </w:rPr>
        <w:t>开标</w:t>
      </w:r>
      <w:bookmarkEnd w:id="160"/>
      <w:bookmarkEnd w:id="161"/>
      <w:bookmarkEnd w:id="162"/>
    </w:p>
    <w:p>
      <w:pPr>
        <w:numPr>
          <w:ilvl w:val="1"/>
          <w:numId w:val="45"/>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eastAsia="zh-TW"/>
        </w:rPr>
        <w:t>采购代理机构按</w:t>
      </w:r>
      <w:r>
        <w:rPr>
          <w:rFonts w:hint="eastAsia" w:ascii="黑体" w:hAnsi="黑体" w:eastAsia="黑体" w:cs="黑体"/>
          <w:b/>
          <w:bCs/>
          <w:sz w:val="24"/>
          <w:highlight w:val="none"/>
          <w:lang w:val="zh-CN" w:eastAsia="zh-TW"/>
        </w:rPr>
        <w:t>投标邀请函</w:t>
      </w:r>
      <w:r>
        <w:rPr>
          <w:rFonts w:hint="eastAsia" w:ascii="宋体" w:hAnsi="宋体" w:cs="宋体"/>
          <w:sz w:val="24"/>
          <w:highlight w:val="none"/>
          <w:lang w:val="zh-CN" w:eastAsia="zh-TW"/>
        </w:rPr>
        <w:t>中规定的日期、时间和地点组织公开开标。</w:t>
      </w:r>
    </w:p>
    <w:p>
      <w:pPr>
        <w:numPr>
          <w:ilvl w:val="1"/>
          <w:numId w:val="45"/>
        </w:numPr>
        <w:tabs>
          <w:tab w:val="left" w:pos="1100"/>
          <w:tab w:val="left" w:pos="1220"/>
          <w:tab w:val="clear" w:pos="907"/>
        </w:tabs>
        <w:spacing w:line="360" w:lineRule="auto"/>
        <w:ind w:left="1087" w:hanging="667"/>
        <w:rPr>
          <w:rFonts w:ascii="宋体" w:hAnsi="宋体" w:cs="宋体"/>
          <w:sz w:val="24"/>
          <w:highlight w:val="none"/>
          <w:lang w:val="zh-CN" w:eastAsia="zh-TW"/>
        </w:rPr>
      </w:pPr>
      <w:r>
        <w:rPr>
          <w:rFonts w:hint="eastAsia" w:ascii="宋体" w:hAnsi="宋体" w:cs="宋体"/>
          <w:sz w:val="24"/>
          <w:highlight w:val="none"/>
          <w:lang w:val="zh-CN" w:eastAsia="zh-TW"/>
        </w:rPr>
        <w:t>开标会由采购代理机构主持，邀请投标人参加。</w:t>
      </w:r>
    </w:p>
    <w:p>
      <w:pPr>
        <w:numPr>
          <w:ilvl w:val="1"/>
          <w:numId w:val="45"/>
        </w:numPr>
        <w:tabs>
          <w:tab w:val="left" w:pos="1100"/>
          <w:tab w:val="left" w:pos="1220"/>
          <w:tab w:val="clear" w:pos="907"/>
        </w:tabs>
        <w:spacing w:line="360" w:lineRule="auto"/>
        <w:ind w:left="1087" w:hanging="667"/>
        <w:rPr>
          <w:rFonts w:ascii="宋体" w:hAnsi="宋体" w:cs="宋体"/>
          <w:sz w:val="24"/>
          <w:highlight w:val="none"/>
          <w:lang w:val="zh-CN" w:eastAsia="zh-TW"/>
        </w:rPr>
      </w:pPr>
      <w:r>
        <w:rPr>
          <w:rFonts w:hint="eastAsia" w:ascii="宋体" w:hAnsi="宋体" w:cs="宋体"/>
          <w:sz w:val="24"/>
          <w:highlight w:val="none"/>
          <w:lang w:val="zh-CN" w:eastAsia="zh-TW"/>
        </w:rPr>
        <w:t>开标时，由投标人或者其推选的代表检查投标文件的密封情况；经确认无误后，由采购人或者采购代理机构工作人员当众拆封，宣布投标人名称、投标价格和招标文件规定的需要宣布的其他内容。</w:t>
      </w:r>
    </w:p>
    <w:p>
      <w:pPr>
        <w:numPr>
          <w:ilvl w:val="1"/>
          <w:numId w:val="45"/>
        </w:numPr>
        <w:tabs>
          <w:tab w:val="left" w:pos="1100"/>
          <w:tab w:val="left" w:pos="1220"/>
          <w:tab w:val="clear" w:pos="907"/>
        </w:tabs>
        <w:spacing w:line="360" w:lineRule="auto"/>
        <w:ind w:left="1087" w:hanging="667"/>
        <w:rPr>
          <w:rFonts w:ascii="宋体" w:hAnsi="宋体" w:cs="宋体"/>
          <w:sz w:val="24"/>
          <w:highlight w:val="none"/>
          <w:lang w:val="zh-CN" w:eastAsia="zh-TW"/>
        </w:rPr>
      </w:pPr>
      <w:r>
        <w:rPr>
          <w:rFonts w:hint="eastAsia" w:ascii="宋体" w:hAnsi="宋体" w:cs="宋体"/>
          <w:sz w:val="24"/>
          <w:highlight w:val="none"/>
          <w:lang w:val="zh-CN" w:eastAsia="zh-TW"/>
        </w:rPr>
        <w:t>开标过程应当由采购代理机构负责记录，由参加开标的各投标人代表和相关工作人员签字确认后随招标文件一并存档。</w:t>
      </w:r>
    </w:p>
    <w:p>
      <w:pPr>
        <w:numPr>
          <w:ilvl w:val="1"/>
          <w:numId w:val="45"/>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eastAsia="zh-TW"/>
        </w:rPr>
        <w:t>投标人代表</w:t>
      </w:r>
      <w:r>
        <w:rPr>
          <w:rFonts w:hint="eastAsia" w:ascii="宋体" w:hAnsi="宋体" w:cs="宋体"/>
          <w:sz w:val="24"/>
          <w:highlight w:val="none"/>
          <w:lang w:val="zh-CN"/>
        </w:rPr>
        <w:t>对开标过程和开标记录有疑义，以及认为采购人、采购代理机构相关工作人员有需要回避的情形的，应当场提出询问或者回避申请。采购人、采购代理机构对投标人代表提出的询问或者回避申请应当及时处理。</w:t>
      </w:r>
      <w:r>
        <w:rPr>
          <w:rFonts w:hint="eastAsia" w:ascii="宋体" w:hAnsi="宋体" w:cs="宋体"/>
          <w:b/>
          <w:bCs/>
          <w:sz w:val="24"/>
          <w:highlight w:val="none"/>
          <w:u w:val="single"/>
          <w:lang w:val="zh-CN"/>
        </w:rPr>
        <w:t>投标人未参加开标的，视同认可开标结果。</w:t>
      </w:r>
    </w:p>
    <w:p>
      <w:pPr>
        <w:numPr>
          <w:ilvl w:val="1"/>
          <w:numId w:val="45"/>
        </w:numPr>
        <w:tabs>
          <w:tab w:val="left" w:pos="1100"/>
          <w:tab w:val="left" w:pos="1220"/>
          <w:tab w:val="clear" w:pos="907"/>
        </w:tabs>
        <w:spacing w:line="360" w:lineRule="auto"/>
        <w:ind w:left="1087" w:hanging="667"/>
        <w:rPr>
          <w:rFonts w:ascii="宋体" w:hAnsi="宋体" w:cs="宋体"/>
          <w:bCs/>
          <w:sz w:val="24"/>
          <w:highlight w:val="none"/>
          <w:lang w:val="zh-CN"/>
        </w:rPr>
      </w:pPr>
      <w:r>
        <w:rPr>
          <w:rFonts w:hint="eastAsia" w:ascii="宋体" w:hAnsi="宋体" w:cs="宋体"/>
          <w:bCs/>
          <w:sz w:val="24"/>
          <w:highlight w:val="none"/>
          <w:lang w:val="zh-CN"/>
        </w:rPr>
        <w:t>在招标文件要求提交投标文件截止时间前收到的所有投标文件不足三家时，不予以拆封、宣读，将作流标处理。投标人递交的投标文件原封退还。</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63" w:name="_Toc8818"/>
      <w:bookmarkStart w:id="164" w:name="_Toc20224"/>
      <w:bookmarkStart w:id="165" w:name="_Toc31826"/>
      <w:r>
        <w:rPr>
          <w:rFonts w:hint="eastAsia"/>
          <w:sz w:val="28"/>
          <w:szCs w:val="28"/>
          <w:highlight w:val="none"/>
          <w:lang w:val="zh-CN"/>
        </w:rPr>
        <w:t>评标</w:t>
      </w:r>
      <w:bookmarkEnd w:id="163"/>
      <w:bookmarkEnd w:id="164"/>
      <w:bookmarkEnd w:id="165"/>
    </w:p>
    <w:p>
      <w:pPr>
        <w:numPr>
          <w:ilvl w:val="1"/>
          <w:numId w:val="46"/>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本项目评标</w:t>
      </w:r>
      <w:r>
        <w:rPr>
          <w:rFonts w:hint="eastAsia" w:ascii="宋体" w:hAnsi="宋体" w:cs="宋体"/>
          <w:sz w:val="24"/>
          <w:highlight w:val="none"/>
        </w:rPr>
        <w:t>由依法</w:t>
      </w:r>
      <w:r>
        <w:rPr>
          <w:rFonts w:hint="eastAsia" w:ascii="宋体" w:hAnsi="宋体" w:cs="宋体"/>
          <w:sz w:val="24"/>
          <w:highlight w:val="none"/>
          <w:lang w:val="zh-CN"/>
        </w:rPr>
        <w:t>组建的评标委员会负责。评标委员会成员的组成按照</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的规定确定。</w:t>
      </w:r>
    </w:p>
    <w:p>
      <w:pPr>
        <w:numPr>
          <w:ilvl w:val="1"/>
          <w:numId w:val="46"/>
        </w:numPr>
        <w:tabs>
          <w:tab w:val="left" w:pos="1100"/>
          <w:tab w:val="left" w:pos="1220"/>
          <w:tab w:val="clear" w:pos="907"/>
        </w:tabs>
        <w:spacing w:line="360" w:lineRule="auto"/>
        <w:ind w:left="1087" w:hanging="667"/>
        <w:rPr>
          <w:rFonts w:ascii="宋体" w:hAnsi="宋体" w:cs="宋体"/>
          <w:sz w:val="24"/>
          <w:highlight w:val="none"/>
          <w:lang w:val="zh-CN"/>
        </w:rPr>
      </w:pPr>
      <w:r>
        <w:rPr>
          <w:rFonts w:hint="eastAsia" w:ascii="宋体" w:hAnsi="宋体" w:cs="宋体"/>
          <w:sz w:val="24"/>
          <w:highlight w:val="none"/>
          <w:lang w:val="zh-CN"/>
        </w:rPr>
        <w:t>评标委员会将按</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中确定的评标方法和本招标文件“第四章</w:t>
      </w:r>
      <w:r>
        <w:rPr>
          <w:rFonts w:hint="eastAsia" w:ascii="宋体" w:hAnsi="宋体" w:cs="宋体"/>
          <w:sz w:val="24"/>
          <w:highlight w:val="none"/>
        </w:rPr>
        <w:t xml:space="preserve"> </w:t>
      </w:r>
      <w:r>
        <w:rPr>
          <w:rFonts w:hint="eastAsia" w:ascii="宋体" w:hAnsi="宋体" w:cs="宋体"/>
          <w:sz w:val="24"/>
          <w:highlight w:val="none"/>
          <w:lang w:val="zh-CN"/>
        </w:rPr>
        <w:t>评分体系与标准”规定内容进行评审。</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66" w:name="_Toc24123"/>
      <w:bookmarkStart w:id="167" w:name="_Toc26915"/>
      <w:bookmarkStart w:id="168" w:name="_Toc26391"/>
      <w:r>
        <w:rPr>
          <w:rFonts w:hint="eastAsia"/>
          <w:sz w:val="28"/>
          <w:szCs w:val="28"/>
          <w:highlight w:val="none"/>
          <w:lang w:val="zh-CN"/>
        </w:rPr>
        <w:t>定标原则和授标</w:t>
      </w:r>
      <w:bookmarkEnd w:id="166"/>
      <w:bookmarkEnd w:id="167"/>
      <w:bookmarkEnd w:id="168"/>
    </w:p>
    <w:p>
      <w:pPr>
        <w:numPr>
          <w:ilvl w:val="1"/>
          <w:numId w:val="47"/>
        </w:numPr>
        <w:tabs>
          <w:tab w:val="left" w:pos="1060"/>
          <w:tab w:val="clear" w:pos="907"/>
        </w:tabs>
        <w:spacing w:line="360" w:lineRule="auto"/>
        <w:ind w:left="1072" w:hanging="652"/>
        <w:rPr>
          <w:rFonts w:ascii="宋体" w:hAnsi="宋体" w:cs="宋体"/>
          <w:sz w:val="24"/>
          <w:highlight w:val="none"/>
          <w:lang w:val="zh-CN"/>
        </w:rPr>
      </w:pPr>
      <w:r>
        <w:rPr>
          <w:rFonts w:hint="eastAsia" w:ascii="宋体" w:hAnsi="宋体" w:cs="宋体"/>
          <w:sz w:val="24"/>
          <w:highlight w:val="none"/>
          <w:lang w:val="zh-CN"/>
        </w:rPr>
        <w:t>评标委员会按照招标文件确定的评标方法、步骤、标准，对投标文件进行评审，提出书面评标报告。</w:t>
      </w:r>
    </w:p>
    <w:p>
      <w:pPr>
        <w:numPr>
          <w:ilvl w:val="1"/>
          <w:numId w:val="47"/>
        </w:numPr>
        <w:tabs>
          <w:tab w:val="left" w:pos="1060"/>
          <w:tab w:val="clear" w:pos="907"/>
        </w:tabs>
        <w:spacing w:line="360" w:lineRule="auto"/>
        <w:ind w:left="1072" w:hanging="652"/>
        <w:rPr>
          <w:rFonts w:ascii="宋体" w:hAnsi="宋体" w:cs="宋体"/>
          <w:sz w:val="24"/>
          <w:highlight w:val="none"/>
          <w:lang w:val="zh-CN"/>
        </w:rPr>
      </w:pPr>
      <w:r>
        <w:rPr>
          <w:rFonts w:hint="eastAsia" w:ascii="宋体" w:hAnsi="宋体" w:cs="宋体"/>
          <w:sz w:val="24"/>
          <w:highlight w:val="none"/>
          <w:lang w:val="zh-CN"/>
        </w:rPr>
        <w:t>采用综合评分法的，评标结果按评审后得分由高到低顺序排列。得分相同的，按投标报价由低到高顺序排列。得分且投标报价相同的，按技术指标优劣顺序排列。综合评分相同，且评标价和技术评分均相同的，名次由评标委员会抽签决定。投标文件满足招标文件全部实质性要求，且按照评审因素的量化指标</w:t>
      </w:r>
      <w:r>
        <w:rPr>
          <w:rFonts w:hint="eastAsia" w:ascii="宋体" w:hAnsi="宋体" w:cs="宋体"/>
          <w:sz w:val="24"/>
          <w:highlight w:val="none"/>
        </w:rPr>
        <w:t>推荐</w:t>
      </w:r>
      <w:r>
        <w:rPr>
          <w:rFonts w:hint="eastAsia" w:ascii="宋体" w:hAnsi="宋体" w:cs="宋体"/>
          <w:sz w:val="24"/>
          <w:highlight w:val="none"/>
          <w:lang w:val="zh-CN"/>
        </w:rPr>
        <w:t>评审得分最高的投标人为排名第一的中标候选人，次高的投标人为排名第二的中标候选人。</w:t>
      </w:r>
    </w:p>
    <w:p>
      <w:pPr>
        <w:numPr>
          <w:ilvl w:val="1"/>
          <w:numId w:val="47"/>
        </w:numPr>
        <w:tabs>
          <w:tab w:val="left" w:pos="1060"/>
          <w:tab w:val="clear" w:pos="907"/>
        </w:tabs>
        <w:spacing w:line="360" w:lineRule="auto"/>
        <w:ind w:left="1072" w:hanging="652"/>
        <w:rPr>
          <w:rFonts w:ascii="宋体" w:hAnsi="宋体" w:cs="宋体"/>
          <w:sz w:val="24"/>
          <w:highlight w:val="none"/>
          <w:lang w:val="zh-CN"/>
        </w:rPr>
      </w:pPr>
      <w:r>
        <w:rPr>
          <w:rFonts w:hint="eastAsia" w:ascii="宋体" w:hAnsi="宋体" w:cs="宋体"/>
          <w:sz w:val="24"/>
          <w:highlight w:val="none"/>
          <w:lang w:val="zh-CN"/>
        </w:rPr>
        <w:t>提供相同品牌产品且通过资格审查、符合性审查的不同投标人参加同一合同项下投标的，按一家投标人计算，评审后得分最高的同品牌投标人获得中标人推荐资格；评审得分相同的，投标报价低的投标人获得中标人推荐资格；评审得分且投标报价相同的，技术得分高的投标人获得中标人推荐资格。以上情况均无法排出顺序的，由评标委员会抽签决定。</w:t>
      </w:r>
    </w:p>
    <w:p>
      <w:pPr>
        <w:numPr>
          <w:ilvl w:val="1"/>
          <w:numId w:val="47"/>
        </w:numPr>
        <w:tabs>
          <w:tab w:val="left" w:pos="1060"/>
          <w:tab w:val="clear" w:pos="907"/>
        </w:tabs>
        <w:spacing w:line="360" w:lineRule="auto"/>
        <w:ind w:left="1072" w:hanging="652"/>
        <w:rPr>
          <w:rFonts w:ascii="宋体" w:hAnsi="宋体" w:cs="宋体"/>
          <w:sz w:val="24"/>
          <w:highlight w:val="none"/>
          <w:lang w:val="zh-CN"/>
        </w:rPr>
      </w:pPr>
      <w:r>
        <w:rPr>
          <w:rFonts w:hint="eastAsia" w:ascii="宋体" w:hAnsi="宋体" w:cs="宋体"/>
          <w:sz w:val="24"/>
          <w:highlight w:val="none"/>
          <w:lang w:val="zh-CN"/>
        </w:rPr>
        <w:t>非单一产品采购项目，多家投标人提供的核心产品品牌相同的，按上述规定处理。</w:t>
      </w:r>
    </w:p>
    <w:p>
      <w:pPr>
        <w:numPr>
          <w:ilvl w:val="1"/>
          <w:numId w:val="47"/>
        </w:numPr>
        <w:tabs>
          <w:tab w:val="left" w:pos="1060"/>
          <w:tab w:val="clear" w:pos="907"/>
        </w:tabs>
        <w:spacing w:line="360" w:lineRule="auto"/>
        <w:ind w:left="1072" w:hanging="652"/>
        <w:rPr>
          <w:rFonts w:ascii="宋体" w:hAnsi="宋体" w:cs="宋体"/>
          <w:sz w:val="24"/>
          <w:highlight w:val="none"/>
          <w:lang w:val="zh-CN"/>
        </w:rPr>
      </w:pPr>
      <w:r>
        <w:rPr>
          <w:rFonts w:hint="eastAsia" w:ascii="宋体" w:hAnsi="宋体" w:cs="宋体"/>
          <w:sz w:val="24"/>
          <w:highlight w:val="none"/>
          <w:lang w:val="zh-CN"/>
        </w:rPr>
        <w:t>评标委员会提交评标报告和推荐中标意见报采购人确认，采购人在收到评标报告后的法定时间内，按照评标报告中推荐的中标候选人顺序确定中标人。确认后采购代理机构将在刊登本项目招标公告的指定媒体上发布中标公告。不在中标名单之列者即为未中标人，采购代理机构不再以其他方式另行通知。</w:t>
      </w:r>
    </w:p>
    <w:p>
      <w:pPr>
        <w:numPr>
          <w:ilvl w:val="1"/>
          <w:numId w:val="47"/>
        </w:numPr>
        <w:tabs>
          <w:tab w:val="left" w:pos="1060"/>
          <w:tab w:val="clear" w:pos="907"/>
        </w:tabs>
        <w:spacing w:line="360" w:lineRule="auto"/>
        <w:ind w:left="1072" w:hanging="652"/>
        <w:rPr>
          <w:rFonts w:ascii="宋体" w:hAnsi="宋体" w:cs="宋体"/>
          <w:sz w:val="24"/>
          <w:highlight w:val="none"/>
          <w:lang w:val="zh-CN"/>
        </w:rPr>
      </w:pPr>
      <w:r>
        <w:rPr>
          <w:rFonts w:hint="eastAsia" w:ascii="宋体" w:hAnsi="宋体" w:cs="宋体"/>
          <w:sz w:val="24"/>
          <w:highlight w:val="none"/>
          <w:lang w:val="zh-CN"/>
        </w:rPr>
        <w:t>因不可抗力或自身原因不能履行采购合同、不按要求与采购人签订采购合同、中标人放弃中标、中标资格被依法确认无效的，采购人可以与排位在中标人之后第一位的中标候选人签订采购合同，也可重新组织采购活动。</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69" w:name="_Toc7028"/>
      <w:bookmarkStart w:id="170" w:name="_Toc345"/>
      <w:bookmarkStart w:id="171" w:name="_Toc25636"/>
      <w:r>
        <w:rPr>
          <w:rFonts w:hint="eastAsia"/>
          <w:sz w:val="28"/>
          <w:szCs w:val="28"/>
          <w:highlight w:val="none"/>
          <w:lang w:val="zh-CN"/>
        </w:rPr>
        <w:t>中标通知书</w:t>
      </w:r>
      <w:bookmarkEnd w:id="169"/>
      <w:bookmarkEnd w:id="170"/>
      <w:bookmarkEnd w:id="171"/>
    </w:p>
    <w:p>
      <w:pPr>
        <w:numPr>
          <w:ilvl w:val="1"/>
          <w:numId w:val="48"/>
        </w:numPr>
        <w:tabs>
          <w:tab w:val="left" w:pos="1060"/>
          <w:tab w:val="clear" w:pos="907"/>
        </w:tabs>
        <w:spacing w:line="360" w:lineRule="auto"/>
        <w:ind w:left="1072" w:hanging="652"/>
        <w:rPr>
          <w:rFonts w:ascii="宋体" w:hAnsi="宋体" w:cs="宋体"/>
          <w:sz w:val="24"/>
          <w:highlight w:val="none"/>
          <w:lang w:val="zh-CN"/>
        </w:rPr>
      </w:pPr>
      <w:r>
        <w:rPr>
          <w:rFonts w:hint="eastAsia" w:ascii="宋体" w:hAnsi="宋体" w:cs="宋体"/>
          <w:sz w:val="24"/>
          <w:highlight w:val="none"/>
          <w:lang w:val="zh-CN"/>
        </w:rPr>
        <w:t>中标人确定后，采购代理机构将在指定媒体上发布中标公告，同时向中标人发出《中标通知书》。《中标通知书》对中标人和采购人具有同等法律效力。</w:t>
      </w:r>
    </w:p>
    <w:p>
      <w:pPr>
        <w:numPr>
          <w:ilvl w:val="1"/>
          <w:numId w:val="48"/>
        </w:numPr>
        <w:tabs>
          <w:tab w:val="left" w:pos="1060"/>
          <w:tab w:val="clear" w:pos="907"/>
        </w:tabs>
        <w:spacing w:line="360" w:lineRule="auto"/>
        <w:ind w:left="1072" w:hanging="652"/>
        <w:rPr>
          <w:rFonts w:ascii="宋体" w:hAnsi="宋体"/>
          <w:sz w:val="24"/>
          <w:highlight w:val="none"/>
          <w:lang w:val="zh-CN"/>
        </w:rPr>
      </w:pPr>
      <w:r>
        <w:rPr>
          <w:rFonts w:hint="eastAsia" w:ascii="宋体" w:hAnsi="宋体" w:cs="宋体"/>
          <w:sz w:val="24"/>
          <w:highlight w:val="none"/>
          <w:lang w:val="zh-CN"/>
        </w:rPr>
        <w:t>《中标</w:t>
      </w:r>
      <w:r>
        <w:rPr>
          <w:rFonts w:hint="eastAsia" w:ascii="宋体" w:hAnsi="宋体"/>
          <w:sz w:val="24"/>
          <w:highlight w:val="none"/>
          <w:lang w:val="zh-CN"/>
        </w:rPr>
        <w:t>通知书》将作为授予合同资格的合法依据，是合同的一个组成部分。</w:t>
      </w:r>
    </w:p>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highlight w:val="none"/>
        </w:rPr>
      </w:pPr>
      <w:bookmarkStart w:id="172" w:name="_Toc26704"/>
      <w:bookmarkStart w:id="173" w:name="_Toc9648"/>
      <w:r>
        <w:rPr>
          <w:rFonts w:hint="eastAsia"/>
          <w:highlight w:val="none"/>
        </w:rPr>
        <w:t>询问、质疑及投诉</w:t>
      </w:r>
      <w:bookmarkEnd w:id="172"/>
      <w:bookmarkEnd w:id="173"/>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74" w:name="_Toc23436"/>
      <w:bookmarkStart w:id="175" w:name="_Toc20296"/>
      <w:bookmarkStart w:id="176" w:name="_Toc5361"/>
      <w:r>
        <w:rPr>
          <w:rFonts w:hint="eastAsia"/>
          <w:sz w:val="28"/>
          <w:szCs w:val="28"/>
          <w:highlight w:val="none"/>
          <w:lang w:val="zh-CN"/>
        </w:rPr>
        <w:t>询问</w:t>
      </w:r>
      <w:bookmarkEnd w:id="174"/>
      <w:bookmarkEnd w:id="175"/>
      <w:bookmarkEnd w:id="176"/>
    </w:p>
    <w:p>
      <w:pPr>
        <w:numPr>
          <w:ilvl w:val="1"/>
          <w:numId w:val="49"/>
        </w:numPr>
        <w:tabs>
          <w:tab w:val="left" w:pos="1160"/>
          <w:tab w:val="clear" w:pos="907"/>
        </w:tabs>
        <w:spacing w:line="360" w:lineRule="auto"/>
        <w:ind w:left="1107" w:hanging="687"/>
        <w:rPr>
          <w:rFonts w:ascii="宋体" w:hAnsi="宋体" w:cs="宋体"/>
          <w:sz w:val="24"/>
          <w:highlight w:val="none"/>
        </w:rPr>
      </w:pPr>
      <w:r>
        <w:rPr>
          <w:rFonts w:hint="eastAsia" w:ascii="宋体" w:hAnsi="宋体" w:cs="宋体"/>
          <w:sz w:val="24"/>
          <w:highlight w:val="none"/>
        </w:rPr>
        <w:t>投标人对招标活动事项（招标文件、招标过程和中标结果）有疑问的，可以向采购代理机构或采购人提出询问，采购代理机构或采购人在3个工作日内作出答复，但答复的内容不涉及商业秘密。询问可以口头方式提出，也可以书面方式提出，书面方式包括但不限于传真、信函、电子邮件。</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77" w:name="_Toc29084"/>
      <w:bookmarkStart w:id="178" w:name="_Toc26928"/>
      <w:bookmarkStart w:id="179" w:name="_Toc22930"/>
      <w:bookmarkStart w:id="180" w:name="_Toc32470"/>
      <w:r>
        <w:rPr>
          <w:rFonts w:hint="eastAsia"/>
          <w:sz w:val="28"/>
          <w:szCs w:val="28"/>
          <w:highlight w:val="none"/>
          <w:lang w:val="zh-CN"/>
        </w:rPr>
        <w:t>质疑</w:t>
      </w:r>
      <w:bookmarkEnd w:id="177"/>
      <w:bookmarkEnd w:id="178"/>
      <w:bookmarkEnd w:id="179"/>
      <w:bookmarkEnd w:id="180"/>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投标人在法定质疑期内必须一次性提出针对同一采购程序环节的质疑。若投标人在法定质疑期内多次提出针对同一采购程序的质疑，采购代理机构有权不予受理。</w:t>
      </w:r>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潜在投标人认为招标文件的内容损害其权益的，可以在收到招标文件之日或者招标文件公告期限届满之日起7个工作日内以书面形式向采购人或采购代理机构提出质疑，逾期质疑无效。</w:t>
      </w:r>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投标人认为采购过程使自己的权益受到损害的，可以在采购程序环节结束之日起7个工作日内以书面形式向采购人或采购代理机构提出质疑，逾期质疑无效。</w:t>
      </w:r>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投标人认为中标结果使自己的权益受到损害的，可以在中标结果公告期限届满之日起7个工作日内以书面形式向采购人或采购代理机构提出质疑，逾期质疑无效。</w:t>
      </w:r>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投标人提</w:t>
      </w:r>
      <w:r>
        <w:rPr>
          <w:rFonts w:hint="eastAsia" w:ascii="宋体" w:hAnsi="宋体"/>
          <w:sz w:val="24"/>
          <w:highlight w:val="none"/>
        </w:rPr>
        <w:t>出质</w:t>
      </w:r>
      <w:r>
        <w:rPr>
          <w:rFonts w:hint="eastAsia" w:ascii="宋体" w:hAnsi="宋体" w:cs="宋体"/>
          <w:sz w:val="24"/>
          <w:highlight w:val="none"/>
        </w:rPr>
        <w:t>疑应当提交质疑函和必要的证明材料。质疑函应当包括以下内容：</w:t>
      </w:r>
    </w:p>
    <w:p>
      <w:pPr>
        <w:pStyle w:val="24"/>
        <w:numPr>
          <w:ilvl w:val="0"/>
          <w:numId w:val="51"/>
        </w:numPr>
        <w:spacing w:before="0" w:beforeAutospacing="0" w:after="0" w:afterAutospacing="0" w:line="360" w:lineRule="auto"/>
        <w:ind w:right="226" w:firstLine="1060"/>
        <w:jc w:val="both"/>
        <w:textAlignment w:val="baseline"/>
        <w:rPr>
          <w:kern w:val="2"/>
          <w:highlight w:val="none"/>
        </w:rPr>
      </w:pPr>
      <w:r>
        <w:rPr>
          <w:kern w:val="2"/>
          <w:highlight w:val="none"/>
        </w:rPr>
        <w:t>供应商的姓名或者名称、地址、邮编、联系人及联系电话；</w:t>
      </w:r>
    </w:p>
    <w:p>
      <w:pPr>
        <w:pStyle w:val="24"/>
        <w:numPr>
          <w:ilvl w:val="0"/>
          <w:numId w:val="51"/>
        </w:numPr>
        <w:spacing w:before="0" w:beforeAutospacing="0" w:after="0" w:afterAutospacing="0" w:line="360" w:lineRule="auto"/>
        <w:ind w:right="226" w:firstLine="1060"/>
        <w:jc w:val="both"/>
        <w:textAlignment w:val="baseline"/>
        <w:rPr>
          <w:kern w:val="2"/>
          <w:highlight w:val="none"/>
        </w:rPr>
      </w:pPr>
      <w:r>
        <w:rPr>
          <w:kern w:val="2"/>
          <w:highlight w:val="none"/>
        </w:rPr>
        <w:t>质疑项目的名称、编号；</w:t>
      </w:r>
    </w:p>
    <w:p>
      <w:pPr>
        <w:pStyle w:val="24"/>
        <w:numPr>
          <w:ilvl w:val="0"/>
          <w:numId w:val="51"/>
        </w:numPr>
        <w:spacing w:before="0" w:beforeAutospacing="0" w:after="0" w:afterAutospacing="0" w:line="360" w:lineRule="auto"/>
        <w:ind w:right="226" w:firstLine="1060"/>
        <w:jc w:val="both"/>
        <w:textAlignment w:val="baseline"/>
        <w:rPr>
          <w:kern w:val="2"/>
          <w:highlight w:val="none"/>
        </w:rPr>
      </w:pPr>
      <w:r>
        <w:rPr>
          <w:kern w:val="2"/>
          <w:highlight w:val="none"/>
        </w:rPr>
        <w:t>具体、明确的质疑事项和与质疑事项相关的请求；</w:t>
      </w:r>
    </w:p>
    <w:p>
      <w:pPr>
        <w:pStyle w:val="24"/>
        <w:numPr>
          <w:ilvl w:val="0"/>
          <w:numId w:val="51"/>
        </w:numPr>
        <w:spacing w:before="0" w:beforeAutospacing="0" w:after="0" w:afterAutospacing="0" w:line="360" w:lineRule="auto"/>
        <w:ind w:right="226" w:firstLine="1060"/>
        <w:jc w:val="both"/>
        <w:textAlignment w:val="baseline"/>
        <w:rPr>
          <w:kern w:val="2"/>
          <w:highlight w:val="none"/>
        </w:rPr>
      </w:pPr>
      <w:r>
        <w:rPr>
          <w:kern w:val="2"/>
          <w:highlight w:val="none"/>
        </w:rPr>
        <w:t>事实依据；</w:t>
      </w:r>
    </w:p>
    <w:p>
      <w:pPr>
        <w:pStyle w:val="24"/>
        <w:numPr>
          <w:ilvl w:val="0"/>
          <w:numId w:val="51"/>
        </w:numPr>
        <w:spacing w:before="0" w:beforeAutospacing="0" w:after="0" w:afterAutospacing="0" w:line="360" w:lineRule="auto"/>
        <w:ind w:right="226" w:firstLine="1060"/>
        <w:jc w:val="both"/>
        <w:textAlignment w:val="baseline"/>
        <w:rPr>
          <w:kern w:val="2"/>
          <w:highlight w:val="none"/>
        </w:rPr>
      </w:pPr>
      <w:r>
        <w:rPr>
          <w:kern w:val="2"/>
          <w:highlight w:val="none"/>
        </w:rPr>
        <w:t>必要的法律依据；</w:t>
      </w:r>
    </w:p>
    <w:p>
      <w:pPr>
        <w:pStyle w:val="24"/>
        <w:numPr>
          <w:ilvl w:val="0"/>
          <w:numId w:val="51"/>
        </w:numPr>
        <w:spacing w:before="0" w:beforeAutospacing="0" w:after="0" w:afterAutospacing="0" w:line="360" w:lineRule="auto"/>
        <w:ind w:right="226" w:firstLine="1060"/>
        <w:jc w:val="both"/>
        <w:textAlignment w:val="baseline"/>
        <w:rPr>
          <w:kern w:val="2"/>
          <w:highlight w:val="none"/>
        </w:rPr>
      </w:pPr>
      <w:r>
        <w:rPr>
          <w:kern w:val="2"/>
          <w:highlight w:val="none"/>
        </w:rPr>
        <w:t>提出质疑的日期。</w:t>
      </w:r>
    </w:p>
    <w:p>
      <w:pPr>
        <w:tabs>
          <w:tab w:val="left" w:pos="1200"/>
        </w:tabs>
        <w:spacing w:line="360" w:lineRule="auto"/>
        <w:ind w:left="440" w:firstLine="480" w:firstLineChars="200"/>
        <w:rPr>
          <w:rFonts w:ascii="宋体" w:hAnsi="宋体" w:cs="宋体"/>
          <w:sz w:val="24"/>
          <w:highlight w:val="none"/>
        </w:rPr>
      </w:pPr>
      <w:r>
        <w:rPr>
          <w:rFonts w:hint="eastAsia" w:ascii="宋体" w:hAnsi="宋体" w:cs="宋体"/>
          <w:sz w:val="24"/>
          <w:highlight w:val="none"/>
        </w:rPr>
        <w:t xml:space="preserve">质疑供应商为自然人的，应当由本人签字；质疑供应商为法人或者其他组织的，应当由法定代表人、主要负责人，或者其授权代表签字或者盖章，并加盖公章。质疑内容不得含有虚伪、恶意成份。依照“谁主张、谁举证”的原则，提出质疑者必须同时提交相关确凿的证据材料和注明证据的确切来源，证据来源必须合法。采购代理机构有权将质疑函转发给质疑事项相关当事人，请其作出解释说明，并对质疑内容的真实性承担责任。对捏造事实、滥用维权扰乱采购秩序的恶意质疑者，将上报相关部门依法处理。  </w:t>
      </w:r>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质疑内容必须以书面形式向采购人或采购代理机构提出，投标人以电话、传真或邮件形式提交的质疑属于无效质疑。</w:t>
      </w:r>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采购人或采购代理机构应在收到投标人书面质疑后7个工作日内，对质疑内容作出答复。</w:t>
      </w:r>
    </w:p>
    <w:p>
      <w:pPr>
        <w:numPr>
          <w:ilvl w:val="1"/>
          <w:numId w:val="50"/>
        </w:numPr>
        <w:tabs>
          <w:tab w:val="left" w:pos="1060"/>
          <w:tab w:val="clear" w:pos="907"/>
        </w:tabs>
        <w:spacing w:line="360" w:lineRule="auto"/>
        <w:ind w:left="1094" w:hanging="652"/>
        <w:rPr>
          <w:rFonts w:ascii="宋体" w:hAnsi="宋体" w:cs="宋体"/>
          <w:sz w:val="24"/>
          <w:highlight w:val="none"/>
        </w:rPr>
      </w:pPr>
      <w:r>
        <w:rPr>
          <w:rFonts w:hint="eastAsia" w:ascii="宋体" w:hAnsi="宋体" w:cs="宋体"/>
          <w:sz w:val="24"/>
          <w:highlight w:val="none"/>
        </w:rPr>
        <w:t>质疑联系方式：</w:t>
      </w:r>
    </w:p>
    <w:p>
      <w:pPr>
        <w:spacing w:line="360" w:lineRule="auto"/>
        <w:ind w:left="1253" w:leftChars="542" w:hanging="115" w:hangingChars="48"/>
        <w:rPr>
          <w:rFonts w:ascii="宋体" w:hAnsi="宋体" w:cs="宋体"/>
          <w:sz w:val="24"/>
          <w:highlight w:val="none"/>
        </w:rPr>
      </w:pPr>
      <w:r>
        <w:rPr>
          <w:rFonts w:hint="eastAsia" w:ascii="宋体" w:hAnsi="宋体" w:cs="宋体"/>
          <w:sz w:val="24"/>
          <w:highlight w:val="none"/>
        </w:rPr>
        <w:t xml:space="preserve">采购代理机构：广东有德招标采购有限公司   </w:t>
      </w:r>
    </w:p>
    <w:p>
      <w:pPr>
        <w:spacing w:line="360" w:lineRule="auto"/>
        <w:ind w:left="1253" w:leftChars="542" w:hanging="115" w:hangingChars="48"/>
        <w:rPr>
          <w:rFonts w:ascii="宋体" w:hAnsi="宋体" w:cs="宋体"/>
          <w:sz w:val="24"/>
          <w:highlight w:val="none"/>
        </w:rPr>
      </w:pPr>
      <w:r>
        <w:rPr>
          <w:rFonts w:hint="eastAsia" w:ascii="宋体" w:hAnsi="宋体" w:cs="宋体"/>
          <w:sz w:val="24"/>
          <w:highlight w:val="none"/>
        </w:rPr>
        <w:t xml:space="preserve">地址：广州市天河北路626号保利中宇广场A座25楼  </w:t>
      </w:r>
    </w:p>
    <w:p>
      <w:pPr>
        <w:spacing w:line="360" w:lineRule="auto"/>
        <w:ind w:left="1253" w:leftChars="542" w:hanging="115" w:hangingChars="48"/>
        <w:rPr>
          <w:rFonts w:ascii="宋体" w:hAnsi="宋体" w:cs="宋体"/>
          <w:sz w:val="24"/>
          <w:highlight w:val="none"/>
        </w:rPr>
      </w:pPr>
      <w:r>
        <w:rPr>
          <w:rFonts w:hint="eastAsia" w:ascii="宋体" w:hAnsi="宋体" w:cs="宋体"/>
          <w:sz w:val="24"/>
          <w:highlight w:val="none"/>
        </w:rPr>
        <w:t>联系人：凌小姐</w:t>
      </w:r>
    </w:p>
    <w:p>
      <w:pPr>
        <w:spacing w:line="360" w:lineRule="auto"/>
        <w:ind w:left="1253" w:leftChars="542" w:hanging="115" w:hangingChars="48"/>
        <w:rPr>
          <w:rFonts w:ascii="宋体" w:hAnsi="宋体" w:cs="宋体"/>
          <w:sz w:val="24"/>
          <w:highlight w:val="none"/>
        </w:rPr>
      </w:pPr>
      <w:r>
        <w:rPr>
          <w:rFonts w:hint="eastAsia" w:ascii="宋体" w:hAnsi="宋体" w:cs="宋体"/>
          <w:sz w:val="24"/>
          <w:highlight w:val="none"/>
        </w:rPr>
        <w:t>联系电话：020-</w:t>
      </w:r>
      <w:r>
        <w:rPr>
          <w:rFonts w:ascii="宋体" w:hAnsi="宋体" w:cs="宋体"/>
          <w:sz w:val="24"/>
          <w:highlight w:val="none"/>
        </w:rPr>
        <w:t>8</w:t>
      </w:r>
      <w:r>
        <w:rPr>
          <w:rFonts w:hint="eastAsia" w:ascii="宋体" w:hAnsi="宋体" w:cs="宋体"/>
          <w:sz w:val="24"/>
          <w:highlight w:val="none"/>
        </w:rPr>
        <w:t>3625516</w:t>
      </w:r>
    </w:p>
    <w:p>
      <w:pPr>
        <w:spacing w:line="360" w:lineRule="auto"/>
        <w:ind w:left="1253" w:leftChars="542" w:hanging="115" w:hangingChars="48"/>
        <w:rPr>
          <w:rFonts w:ascii="宋体" w:hAnsi="宋体" w:cs="宋体"/>
          <w:sz w:val="24"/>
          <w:highlight w:val="none"/>
        </w:rPr>
      </w:pPr>
      <w:r>
        <w:rPr>
          <w:rFonts w:hint="eastAsia" w:ascii="宋体" w:hAnsi="宋体" w:cs="宋体"/>
          <w:sz w:val="24"/>
          <w:highlight w:val="none"/>
        </w:rPr>
        <w:t>邮编：510635</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81" w:name="_Toc23195"/>
      <w:bookmarkStart w:id="182" w:name="_Toc27632"/>
      <w:bookmarkStart w:id="183" w:name="_Toc2649"/>
      <w:bookmarkStart w:id="184" w:name="_Toc20615"/>
      <w:r>
        <w:rPr>
          <w:rFonts w:hint="eastAsia"/>
          <w:sz w:val="28"/>
          <w:szCs w:val="28"/>
          <w:highlight w:val="none"/>
          <w:lang w:val="zh-CN"/>
        </w:rPr>
        <w:t>投诉</w:t>
      </w:r>
      <w:bookmarkEnd w:id="181"/>
      <w:bookmarkEnd w:id="182"/>
      <w:bookmarkEnd w:id="183"/>
      <w:bookmarkEnd w:id="184"/>
    </w:p>
    <w:p>
      <w:pPr>
        <w:numPr>
          <w:ilvl w:val="1"/>
          <w:numId w:val="52"/>
        </w:numPr>
        <w:tabs>
          <w:tab w:val="left" w:pos="1220"/>
          <w:tab w:val="clear" w:pos="907"/>
        </w:tabs>
        <w:spacing w:line="360" w:lineRule="auto"/>
        <w:ind w:left="1147" w:hanging="727"/>
        <w:rPr>
          <w:rFonts w:ascii="宋体" w:hAnsi="宋体" w:cs="宋体"/>
          <w:sz w:val="24"/>
          <w:highlight w:val="none"/>
        </w:rPr>
      </w:pPr>
      <w:r>
        <w:rPr>
          <w:rFonts w:hint="eastAsia" w:ascii="宋体" w:hAnsi="宋体" w:cs="宋体"/>
          <w:sz w:val="24"/>
          <w:highlight w:val="none"/>
        </w:rPr>
        <w:t>质疑供应商对采购人、采购代理机构的质疑答复不满意，或者采购人、采购代理机构未在规定期限内作出答复的，可以在答复期满后15个工作日内向相关监督部门提起投诉。</w:t>
      </w:r>
    </w:p>
    <w:p>
      <w:pPr>
        <w:numPr>
          <w:ilvl w:val="1"/>
          <w:numId w:val="52"/>
        </w:numPr>
        <w:tabs>
          <w:tab w:val="left" w:pos="1220"/>
          <w:tab w:val="clear" w:pos="907"/>
        </w:tabs>
        <w:spacing w:line="360" w:lineRule="auto"/>
        <w:ind w:left="1147" w:hanging="727"/>
        <w:rPr>
          <w:rFonts w:ascii="宋体" w:hAnsi="宋体" w:cs="宋体"/>
          <w:sz w:val="24"/>
          <w:highlight w:val="none"/>
        </w:rPr>
      </w:pPr>
      <w:r>
        <w:rPr>
          <w:rFonts w:hint="eastAsia" w:ascii="宋体" w:hAnsi="宋体" w:cs="宋体"/>
          <w:sz w:val="24"/>
          <w:highlight w:val="none"/>
        </w:rPr>
        <w:t>投诉人投诉时,应当提交投诉书和必要的证明材料，并按照被投诉采购人、采购代理机构（以下简称被投诉人）和与投诉事项有关的供应商数量提供投诉书的副本。投</w:t>
      </w:r>
      <w:r>
        <w:rPr>
          <w:rFonts w:ascii="宋体" w:hAnsi="宋体" w:cs="宋体"/>
          <w:sz w:val="24"/>
          <w:highlight w:val="none"/>
        </w:rPr>
        <w:t>诉书应当包括下列内容：</w:t>
      </w:r>
    </w:p>
    <w:p>
      <w:pPr>
        <w:pStyle w:val="24"/>
        <w:numPr>
          <w:ilvl w:val="0"/>
          <w:numId w:val="53"/>
        </w:numPr>
        <w:spacing w:before="0" w:beforeAutospacing="0" w:after="0" w:afterAutospacing="0" w:line="360" w:lineRule="auto"/>
        <w:ind w:left="1619" w:leftChars="495" w:right="226" w:hanging="580"/>
        <w:jc w:val="both"/>
        <w:textAlignment w:val="baseline"/>
        <w:rPr>
          <w:highlight w:val="none"/>
        </w:rPr>
      </w:pPr>
      <w:r>
        <w:rPr>
          <w:rFonts w:hint="eastAsia"/>
          <w:highlight w:val="none"/>
          <w:shd w:val="clear" w:color="auto" w:fill="FFFFFF"/>
        </w:rPr>
        <w:t>投诉人和被投诉人的姓名或者名称、通讯地址、邮编、联系人及联系电话；</w:t>
      </w:r>
    </w:p>
    <w:p>
      <w:pPr>
        <w:pStyle w:val="24"/>
        <w:numPr>
          <w:ilvl w:val="0"/>
          <w:numId w:val="53"/>
        </w:numPr>
        <w:spacing w:before="0" w:beforeAutospacing="0" w:after="0" w:afterAutospacing="0" w:line="360" w:lineRule="auto"/>
        <w:ind w:right="226" w:firstLine="1040"/>
        <w:jc w:val="both"/>
        <w:textAlignment w:val="baseline"/>
        <w:rPr>
          <w:highlight w:val="none"/>
        </w:rPr>
      </w:pPr>
      <w:r>
        <w:rPr>
          <w:rFonts w:hint="eastAsia"/>
          <w:highlight w:val="none"/>
          <w:shd w:val="clear" w:color="auto" w:fill="FFFFFF"/>
        </w:rPr>
        <w:t>质疑和质疑答复情况说明及相关证明材料；</w:t>
      </w:r>
    </w:p>
    <w:p>
      <w:pPr>
        <w:pStyle w:val="24"/>
        <w:numPr>
          <w:ilvl w:val="0"/>
          <w:numId w:val="53"/>
        </w:numPr>
        <w:spacing w:before="0" w:beforeAutospacing="0" w:after="0" w:afterAutospacing="0" w:line="360" w:lineRule="auto"/>
        <w:ind w:right="226" w:firstLine="1040"/>
        <w:jc w:val="both"/>
        <w:textAlignment w:val="baseline"/>
        <w:rPr>
          <w:highlight w:val="none"/>
        </w:rPr>
      </w:pPr>
      <w:r>
        <w:rPr>
          <w:rFonts w:hint="eastAsia"/>
          <w:highlight w:val="none"/>
          <w:shd w:val="clear" w:color="auto" w:fill="FFFFFF"/>
        </w:rPr>
        <w:t>具体、明确的投诉事项和与投诉事项相关的投诉请求；</w:t>
      </w:r>
    </w:p>
    <w:p>
      <w:pPr>
        <w:pStyle w:val="24"/>
        <w:numPr>
          <w:ilvl w:val="0"/>
          <w:numId w:val="53"/>
        </w:numPr>
        <w:spacing w:before="0" w:beforeAutospacing="0" w:after="0" w:afterAutospacing="0" w:line="360" w:lineRule="auto"/>
        <w:ind w:right="226" w:firstLine="1040"/>
        <w:jc w:val="both"/>
        <w:textAlignment w:val="baseline"/>
        <w:rPr>
          <w:highlight w:val="none"/>
        </w:rPr>
      </w:pPr>
      <w:r>
        <w:rPr>
          <w:rFonts w:hint="eastAsia"/>
          <w:highlight w:val="none"/>
          <w:shd w:val="clear" w:color="auto" w:fill="FFFFFF"/>
        </w:rPr>
        <w:t>事实依据；</w:t>
      </w:r>
    </w:p>
    <w:p>
      <w:pPr>
        <w:pStyle w:val="24"/>
        <w:numPr>
          <w:ilvl w:val="0"/>
          <w:numId w:val="53"/>
        </w:numPr>
        <w:spacing w:before="0" w:beforeAutospacing="0" w:after="0" w:afterAutospacing="0" w:line="360" w:lineRule="auto"/>
        <w:ind w:right="226" w:firstLine="1040"/>
        <w:jc w:val="both"/>
        <w:textAlignment w:val="baseline"/>
        <w:rPr>
          <w:highlight w:val="none"/>
        </w:rPr>
      </w:pPr>
      <w:r>
        <w:rPr>
          <w:rFonts w:hint="eastAsia"/>
          <w:highlight w:val="none"/>
          <w:shd w:val="clear" w:color="auto" w:fill="FFFFFF"/>
        </w:rPr>
        <w:t>法律依据；</w:t>
      </w:r>
    </w:p>
    <w:p>
      <w:pPr>
        <w:pStyle w:val="24"/>
        <w:numPr>
          <w:ilvl w:val="0"/>
          <w:numId w:val="53"/>
        </w:numPr>
        <w:spacing w:before="0" w:beforeAutospacing="0" w:after="0" w:afterAutospacing="0" w:line="360" w:lineRule="auto"/>
        <w:ind w:right="226" w:firstLine="1040"/>
        <w:jc w:val="both"/>
        <w:textAlignment w:val="baseline"/>
        <w:rPr>
          <w:highlight w:val="none"/>
        </w:rPr>
      </w:pPr>
      <w:r>
        <w:rPr>
          <w:rFonts w:hint="eastAsia"/>
          <w:highlight w:val="none"/>
          <w:shd w:val="clear" w:color="auto" w:fill="FFFFFF"/>
        </w:rPr>
        <w:t>提起投诉的日期。</w:t>
      </w:r>
    </w:p>
    <w:p>
      <w:pPr>
        <w:pStyle w:val="24"/>
        <w:spacing w:before="0" w:beforeAutospacing="0" w:after="0" w:afterAutospacing="0" w:line="360" w:lineRule="auto"/>
        <w:ind w:left="150" w:right="226"/>
        <w:jc w:val="both"/>
        <w:textAlignment w:val="baseline"/>
        <w:rPr>
          <w:highlight w:val="none"/>
        </w:rPr>
      </w:pPr>
      <w:r>
        <w:rPr>
          <w:rFonts w:hint="eastAsia"/>
          <w:highlight w:val="none"/>
          <w:shd w:val="clear" w:color="auto" w:fill="FFFFFF"/>
        </w:rPr>
        <w:t>　　投诉人为自然人的，应当由本人签字；投诉人为法人或者其他组织的，应当由法定代表人、主要负责人，或者其授权代表签字或者盖章，并加盖公章。</w:t>
      </w:r>
    </w:p>
    <w:p>
      <w:pPr>
        <w:numPr>
          <w:ilvl w:val="1"/>
          <w:numId w:val="52"/>
        </w:numPr>
        <w:tabs>
          <w:tab w:val="left" w:pos="1220"/>
          <w:tab w:val="clear" w:pos="907"/>
        </w:tabs>
        <w:spacing w:line="360" w:lineRule="auto"/>
        <w:ind w:left="1147" w:hanging="727"/>
        <w:rPr>
          <w:rFonts w:ascii="宋体" w:hAnsi="宋体" w:cs="宋体"/>
          <w:sz w:val="24"/>
          <w:highlight w:val="none"/>
        </w:rPr>
      </w:pPr>
      <w:r>
        <w:rPr>
          <w:rFonts w:hint="eastAsia" w:ascii="宋体" w:hAnsi="宋体" w:cs="宋体"/>
          <w:sz w:val="24"/>
          <w:highlight w:val="none"/>
        </w:rPr>
        <w:t>投诉人在全国范围12个月内三次以上投诉查无实据的，由相关监督部门列入不良行为记录名单。</w:t>
      </w:r>
    </w:p>
    <w:p>
      <w:pPr>
        <w:numPr>
          <w:ilvl w:val="1"/>
          <w:numId w:val="52"/>
        </w:numPr>
        <w:tabs>
          <w:tab w:val="left" w:pos="1220"/>
          <w:tab w:val="clear" w:pos="907"/>
        </w:tabs>
        <w:spacing w:line="360" w:lineRule="auto"/>
        <w:ind w:left="1147" w:hanging="727"/>
        <w:rPr>
          <w:rFonts w:ascii="宋体" w:hAnsi="宋体" w:cs="宋体"/>
          <w:sz w:val="24"/>
          <w:highlight w:val="none"/>
        </w:rPr>
      </w:pPr>
      <w:r>
        <w:rPr>
          <w:rFonts w:hint="eastAsia" w:ascii="宋体" w:hAnsi="宋体" w:cs="宋体"/>
          <w:sz w:val="24"/>
          <w:highlight w:val="none"/>
        </w:rPr>
        <w:t>投诉人有下列行为之一的，属于虚假、恶意投诉，由相关监督部门列入不良行为记录名单，禁止其1至3年内参加政府采购活动：</w:t>
      </w:r>
    </w:p>
    <w:p>
      <w:pPr>
        <w:pStyle w:val="24"/>
        <w:numPr>
          <w:ilvl w:val="0"/>
          <w:numId w:val="54"/>
        </w:numPr>
        <w:spacing w:before="0" w:beforeAutospacing="0" w:after="0" w:afterAutospacing="0" w:line="360" w:lineRule="auto"/>
        <w:ind w:right="226" w:firstLine="1040"/>
        <w:jc w:val="both"/>
        <w:textAlignment w:val="baseline"/>
        <w:rPr>
          <w:highlight w:val="none"/>
          <w:shd w:val="clear" w:color="auto" w:fill="FFFFFF"/>
        </w:rPr>
      </w:pPr>
      <w:r>
        <w:rPr>
          <w:rFonts w:hint="eastAsia"/>
          <w:highlight w:val="none"/>
          <w:shd w:val="clear" w:color="auto" w:fill="FFFFFF"/>
        </w:rPr>
        <w:t>捏造事实；</w:t>
      </w:r>
    </w:p>
    <w:p>
      <w:pPr>
        <w:pStyle w:val="24"/>
        <w:numPr>
          <w:ilvl w:val="0"/>
          <w:numId w:val="54"/>
        </w:numPr>
        <w:spacing w:before="0" w:beforeAutospacing="0" w:after="0" w:afterAutospacing="0" w:line="360" w:lineRule="auto"/>
        <w:ind w:right="226" w:firstLine="1040"/>
        <w:jc w:val="both"/>
        <w:textAlignment w:val="baseline"/>
        <w:rPr>
          <w:highlight w:val="none"/>
          <w:shd w:val="clear" w:color="auto" w:fill="FFFFFF"/>
        </w:rPr>
      </w:pPr>
      <w:r>
        <w:rPr>
          <w:rFonts w:hint="eastAsia"/>
          <w:highlight w:val="none"/>
          <w:shd w:val="clear" w:color="auto" w:fill="FFFFFF"/>
        </w:rPr>
        <w:t>提供虚假材料；</w:t>
      </w:r>
    </w:p>
    <w:p>
      <w:pPr>
        <w:pStyle w:val="24"/>
        <w:numPr>
          <w:ilvl w:val="0"/>
          <w:numId w:val="54"/>
        </w:numPr>
        <w:spacing w:before="0" w:beforeAutospacing="0" w:after="0" w:afterAutospacing="0" w:line="360" w:lineRule="auto"/>
        <w:ind w:left="1637" w:leftChars="494" w:right="226" w:hanging="600"/>
        <w:jc w:val="both"/>
        <w:textAlignment w:val="baseline"/>
        <w:rPr>
          <w:highlight w:val="none"/>
          <w:shd w:val="clear" w:color="auto" w:fill="FFFFFF"/>
        </w:rPr>
      </w:pPr>
      <w:r>
        <w:rPr>
          <w:rFonts w:hint="eastAsia"/>
          <w:highlight w:val="none"/>
          <w:shd w:val="clear" w:color="auto" w:fill="FFFFFF"/>
        </w:rPr>
        <w:t>以非法手段取得证明材料。证据来源的合法性存在明显疑问，投诉人无法证明其取得方式合法的，视为以非法手段取得证明材料。</w:t>
      </w:r>
    </w:p>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rFonts w:hint="eastAsia"/>
          <w:highlight w:val="none"/>
        </w:rPr>
      </w:pPr>
      <w:bookmarkStart w:id="185" w:name="_Toc31147"/>
      <w:bookmarkStart w:id="186" w:name="_Toc8563"/>
      <w:bookmarkStart w:id="187" w:name="_Toc6940"/>
      <w:bookmarkStart w:id="188" w:name="_Toc423021947"/>
      <w:r>
        <w:rPr>
          <w:rFonts w:hint="eastAsia"/>
          <w:highlight w:val="none"/>
        </w:rPr>
        <w:t>授予合同</w:t>
      </w:r>
      <w:bookmarkEnd w:id="185"/>
      <w:bookmarkEnd w:id="186"/>
      <w:bookmarkEnd w:id="187"/>
      <w:bookmarkEnd w:id="188"/>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89" w:name="_Toc28753"/>
      <w:bookmarkStart w:id="190" w:name="_Toc12165"/>
      <w:bookmarkStart w:id="191" w:name="_Toc30723"/>
      <w:r>
        <w:rPr>
          <w:rFonts w:hint="eastAsia"/>
          <w:sz w:val="28"/>
          <w:szCs w:val="28"/>
          <w:highlight w:val="none"/>
          <w:lang w:val="zh-CN"/>
        </w:rPr>
        <w:t>合同的订立</w:t>
      </w:r>
      <w:bookmarkEnd w:id="189"/>
      <w:bookmarkEnd w:id="190"/>
      <w:bookmarkEnd w:id="191"/>
    </w:p>
    <w:p>
      <w:pPr>
        <w:numPr>
          <w:ilvl w:val="1"/>
          <w:numId w:val="55"/>
        </w:numPr>
        <w:tabs>
          <w:tab w:val="left" w:pos="1060"/>
          <w:tab w:val="clear" w:pos="907"/>
        </w:tabs>
        <w:spacing w:line="360" w:lineRule="auto"/>
        <w:ind w:left="1127" w:hanging="707"/>
        <w:rPr>
          <w:rFonts w:ascii="宋体" w:hAnsi="宋体" w:cs="宋体"/>
          <w:sz w:val="24"/>
          <w:highlight w:val="none"/>
          <w:lang w:val="zh-CN"/>
        </w:rPr>
      </w:pPr>
      <w:r>
        <w:rPr>
          <w:rFonts w:hint="eastAsia" w:ascii="宋体" w:hAnsi="宋体" w:cs="宋体"/>
          <w:sz w:val="24"/>
          <w:highlight w:val="none"/>
          <w:lang w:val="zh-CN"/>
        </w:rPr>
        <w:t>采购人与中标人自中标通知书发出之日起三十日内，按招标文件要求和中标人投标文件承诺签订采购合同，但不得超出招标文件和中标人投标文件的范围、也不得再行订立背离合同实质性内容的其他协议。</w:t>
      </w:r>
    </w:p>
    <w:p>
      <w:pPr>
        <w:numPr>
          <w:ilvl w:val="1"/>
          <w:numId w:val="55"/>
        </w:numPr>
        <w:tabs>
          <w:tab w:val="left" w:pos="1060"/>
          <w:tab w:val="clear" w:pos="907"/>
        </w:tabs>
        <w:spacing w:line="360" w:lineRule="auto"/>
        <w:ind w:left="1127" w:hanging="707"/>
        <w:rPr>
          <w:rFonts w:ascii="宋体" w:hAnsi="宋体" w:cs="宋体"/>
          <w:sz w:val="24"/>
          <w:highlight w:val="none"/>
          <w:lang w:val="zh-CN"/>
        </w:rPr>
      </w:pPr>
      <w:r>
        <w:rPr>
          <w:rFonts w:hint="eastAsia" w:ascii="宋体" w:hAnsi="宋体" w:cs="宋体"/>
          <w:sz w:val="24"/>
          <w:highlight w:val="none"/>
          <w:lang w:val="zh-CN"/>
        </w:rPr>
        <w:t>招标文件、中标人的投标文件及其澄清文件等，均为签订合同的依据。</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92" w:name="_Toc12285"/>
      <w:bookmarkStart w:id="193" w:name="_Toc4109"/>
      <w:bookmarkStart w:id="194" w:name="_Toc23585"/>
      <w:r>
        <w:rPr>
          <w:rFonts w:hint="eastAsia"/>
          <w:sz w:val="28"/>
          <w:szCs w:val="28"/>
          <w:highlight w:val="none"/>
          <w:lang w:val="zh-CN"/>
        </w:rPr>
        <w:t>合同的履行</w:t>
      </w:r>
      <w:bookmarkEnd w:id="192"/>
      <w:bookmarkEnd w:id="193"/>
      <w:bookmarkEnd w:id="194"/>
    </w:p>
    <w:p>
      <w:pPr>
        <w:numPr>
          <w:ilvl w:val="1"/>
          <w:numId w:val="56"/>
        </w:numPr>
        <w:tabs>
          <w:tab w:val="left" w:pos="1160"/>
          <w:tab w:val="clear" w:pos="907"/>
        </w:tabs>
        <w:spacing w:line="360" w:lineRule="auto"/>
        <w:ind w:left="1127" w:hanging="707"/>
        <w:rPr>
          <w:rFonts w:ascii="宋体" w:hAnsi="宋体" w:cs="宋体"/>
          <w:sz w:val="24"/>
          <w:highlight w:val="none"/>
          <w:lang w:val="zh-CN"/>
        </w:rPr>
      </w:pPr>
      <w:r>
        <w:rPr>
          <w:rFonts w:hint="eastAsia" w:ascii="宋体" w:hAnsi="宋体" w:cs="宋体"/>
          <w:sz w:val="24"/>
          <w:highlight w:val="none"/>
          <w:lang w:val="zh-CN"/>
        </w:rPr>
        <w:t>采购合同订立后，合同各方不得擅自变更、中止或者终止合同。采购合同需要变更的，采购人应将有关合同变更内容，以书面形式报相关监督部门备案；因特殊情况需要中止或终止合同的，采购人应将中止或终止合同的理由以及采取的相应措施，以书面形式报相关部门备案。</w:t>
      </w:r>
    </w:p>
    <w:p>
      <w:pPr>
        <w:numPr>
          <w:ilvl w:val="1"/>
          <w:numId w:val="56"/>
        </w:numPr>
        <w:tabs>
          <w:tab w:val="left" w:pos="1160"/>
          <w:tab w:val="clear" w:pos="907"/>
        </w:tabs>
        <w:spacing w:line="360" w:lineRule="auto"/>
        <w:ind w:left="1127" w:hanging="707"/>
        <w:rPr>
          <w:rFonts w:ascii="宋体" w:hAnsi="宋体" w:cs="宋体"/>
          <w:sz w:val="24"/>
          <w:highlight w:val="none"/>
          <w:lang w:val="zh-CN"/>
        </w:rPr>
      </w:pPr>
      <w:r>
        <w:rPr>
          <w:rFonts w:hint="eastAsia" w:ascii="宋体" w:hAnsi="宋体" w:cs="宋体"/>
          <w:sz w:val="24"/>
          <w:highlight w:val="none"/>
          <w:lang w:val="zh-CN"/>
        </w:rPr>
        <w:t>采购合同履行中，采购人需追加与合同标的相同的货物、工程或者服务的，在不改变合同其他条款的前提下，可以与中标人签订补充合同，但所签补充合同的采购金额不得超过原合同采购金额的百分之十。签订补充合同的必须按规定备案。</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95" w:name="_Toc12849"/>
      <w:bookmarkStart w:id="196" w:name="_Toc7942"/>
      <w:bookmarkStart w:id="197" w:name="_Toc26688"/>
      <w:r>
        <w:rPr>
          <w:rFonts w:hint="eastAsia"/>
          <w:sz w:val="28"/>
          <w:szCs w:val="28"/>
          <w:highlight w:val="none"/>
          <w:lang w:val="zh-CN"/>
        </w:rPr>
        <w:t>履约保证金</w:t>
      </w:r>
      <w:bookmarkEnd w:id="195"/>
      <w:bookmarkEnd w:id="196"/>
      <w:bookmarkEnd w:id="197"/>
    </w:p>
    <w:p>
      <w:pPr>
        <w:numPr>
          <w:ilvl w:val="1"/>
          <w:numId w:val="57"/>
        </w:numPr>
        <w:tabs>
          <w:tab w:val="left" w:pos="1060"/>
          <w:tab w:val="clear" w:pos="907"/>
        </w:tabs>
        <w:spacing w:line="360" w:lineRule="auto"/>
        <w:ind w:left="1127" w:hanging="747"/>
        <w:rPr>
          <w:rFonts w:ascii="宋体" w:hAnsi="宋体" w:cs="宋体"/>
          <w:sz w:val="24"/>
          <w:highlight w:val="none"/>
          <w:lang w:val="zh-CN"/>
        </w:rPr>
      </w:pPr>
      <w:r>
        <w:rPr>
          <w:rFonts w:hint="eastAsia" w:ascii="宋体" w:hAnsi="宋体" w:cs="宋体"/>
          <w:sz w:val="24"/>
          <w:highlight w:val="none"/>
          <w:lang w:val="zh-CN"/>
        </w:rPr>
        <w:t>招标文件要求中标人提交履约保证金的，中标人应按照</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规定的金额，以支票、汇票、本票或者金融机构、担保机构出具的保函等非现金形式向采购人提交。</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198" w:name="_Toc21654"/>
      <w:bookmarkStart w:id="199" w:name="_Toc10914"/>
      <w:bookmarkStart w:id="200" w:name="_Toc12836"/>
      <w:r>
        <w:rPr>
          <w:rFonts w:hint="eastAsia"/>
          <w:sz w:val="28"/>
          <w:szCs w:val="28"/>
          <w:highlight w:val="none"/>
          <w:lang w:val="zh-CN"/>
        </w:rPr>
        <w:t>招标代理服务费</w:t>
      </w:r>
      <w:bookmarkEnd w:id="198"/>
      <w:bookmarkEnd w:id="199"/>
      <w:bookmarkEnd w:id="200"/>
    </w:p>
    <w:p>
      <w:pPr>
        <w:numPr>
          <w:ilvl w:val="1"/>
          <w:numId w:val="58"/>
        </w:numPr>
        <w:tabs>
          <w:tab w:val="left" w:pos="1140"/>
          <w:tab w:val="clear" w:pos="907"/>
        </w:tabs>
        <w:spacing w:line="360" w:lineRule="auto"/>
        <w:ind w:left="1147" w:hanging="787"/>
        <w:rPr>
          <w:rFonts w:ascii="宋体" w:hAnsi="宋体" w:cs="宋体"/>
          <w:sz w:val="24"/>
          <w:highlight w:val="none"/>
          <w:lang w:val="zh-CN"/>
        </w:rPr>
      </w:pPr>
      <w:r>
        <w:rPr>
          <w:rFonts w:hint="eastAsia" w:ascii="宋体" w:hAnsi="宋体" w:cs="宋体"/>
          <w:sz w:val="24"/>
          <w:highlight w:val="none"/>
          <w:lang w:val="zh-CN"/>
        </w:rPr>
        <w:t>中标人应按照</w:t>
      </w:r>
      <w:r>
        <w:rPr>
          <w:rFonts w:hint="eastAsia" w:ascii="黑体" w:hAnsi="黑体" w:eastAsia="黑体" w:cs="黑体"/>
          <w:b/>
          <w:bCs/>
          <w:sz w:val="24"/>
          <w:highlight w:val="none"/>
          <w:lang w:val="zh-CN"/>
        </w:rPr>
        <w:t>投标人须知前附表</w:t>
      </w:r>
      <w:r>
        <w:rPr>
          <w:rFonts w:hint="eastAsia" w:ascii="宋体" w:hAnsi="宋体" w:cs="宋体"/>
          <w:sz w:val="24"/>
          <w:highlight w:val="none"/>
          <w:lang w:val="zh-CN"/>
        </w:rPr>
        <w:t>中的规定交纳招标代理服务费。否则，其投标保证金将不予退还。</w:t>
      </w:r>
    </w:p>
    <w:p>
      <w:pPr>
        <w:numPr>
          <w:ilvl w:val="1"/>
          <w:numId w:val="58"/>
        </w:numPr>
        <w:tabs>
          <w:tab w:val="left" w:pos="1140"/>
          <w:tab w:val="clear" w:pos="907"/>
        </w:tabs>
        <w:spacing w:line="360" w:lineRule="auto"/>
        <w:ind w:left="1147" w:hanging="787"/>
        <w:rPr>
          <w:rFonts w:ascii="宋体" w:hAnsi="宋体"/>
          <w:sz w:val="24"/>
          <w:highlight w:val="none"/>
          <w:lang w:val="zh-CN"/>
        </w:rPr>
      </w:pPr>
      <w:r>
        <w:rPr>
          <w:rFonts w:hint="eastAsia" w:ascii="宋体" w:hAnsi="宋体"/>
          <w:sz w:val="24"/>
          <w:highlight w:val="none"/>
          <w:lang w:val="zh-CN"/>
        </w:rPr>
        <w:t>招标代理服务收费按差额定率累进法计算，具体费率如下：</w:t>
      </w:r>
    </w:p>
    <w:p>
      <w:pPr>
        <w:tabs>
          <w:tab w:val="left" w:pos="709"/>
        </w:tabs>
        <w:spacing w:before="72" w:after="72" w:line="360" w:lineRule="auto"/>
        <w:ind w:left="629"/>
        <w:jc w:val="center"/>
        <w:rPr>
          <w:rFonts w:ascii="宋体" w:hAnsi="宋体"/>
          <w:sz w:val="24"/>
          <w:highlight w:val="none"/>
          <w:lang w:val="zh-CN"/>
        </w:rPr>
      </w:pPr>
      <w:r>
        <w:rPr>
          <w:rFonts w:hint="eastAsia" w:ascii="宋体" w:hAnsi="宋体"/>
          <w:b/>
          <w:bCs/>
          <w:kern w:val="0"/>
          <w:sz w:val="24"/>
          <w:highlight w:val="none"/>
        </w:rPr>
        <w:t>招标代理服务费收费标准</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056"/>
        <w:gridCol w:w="1247"/>
        <w:gridCol w:w="1576"/>
        <w:gridCol w:w="153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4056" w:type="dxa"/>
            <w:vMerge w:val="restart"/>
            <w:shd w:val="clear" w:color="auto" w:fill="EAEAEA"/>
            <w:vAlign w:val="center"/>
          </w:tcPr>
          <w:p>
            <w:pPr>
              <w:widowControl/>
              <w:jc w:val="left"/>
              <w:rPr>
                <w:rFonts w:ascii="宋体" w:hAnsi="宋体"/>
                <w:b/>
                <w:bCs/>
                <w:kern w:val="0"/>
                <w:sz w:val="24"/>
                <w:highlight w:val="none"/>
              </w:rPr>
            </w:pPr>
            <w:r>
              <w:rPr>
                <w:sz w:val="24"/>
                <w:highlight w:val="none"/>
              </w:rPr>
              <mc:AlternateContent>
                <mc:Choice Requires="wps">
                  <w:drawing>
                    <wp:anchor distT="0" distB="0" distL="114300" distR="114300" simplePos="0" relativeHeight="251663360" behindDoc="0" locked="0" layoutInCell="1" allowOverlap="1">
                      <wp:simplePos x="0" y="0"/>
                      <wp:positionH relativeFrom="column">
                        <wp:posOffset>871220</wp:posOffset>
                      </wp:positionH>
                      <wp:positionV relativeFrom="paragraph">
                        <wp:posOffset>18415</wp:posOffset>
                      </wp:positionV>
                      <wp:extent cx="1609090" cy="899795"/>
                      <wp:effectExtent l="2540" t="4445" r="7620" b="10160"/>
                      <wp:wrapNone/>
                      <wp:docPr id="1" name="直接连接符 1"/>
                      <wp:cNvGraphicFramePr/>
                      <a:graphic xmlns:a="http://schemas.openxmlformats.org/drawingml/2006/main">
                        <a:graphicData uri="http://schemas.microsoft.com/office/word/2010/wordprocessingShape">
                          <wps:wsp>
                            <wps:cNvCnPr/>
                            <wps:spPr>
                              <a:xfrm>
                                <a:off x="0" y="0"/>
                                <a:ext cx="1609090" cy="89979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68.6pt;margin-top:1.45pt;height:70.85pt;width:126.7pt;z-index:251663360;mso-width-relative:page;mso-height-relative:page;" filled="f" stroked="t" coordsize="21600,21600" o:gfxdata="UEsDBAoAAAAAAIdO4kAAAAAAAAAAAAAAAAAEAAAAZHJzL1BLAwQUAAAACACHTuJAzf57otcAAAAJ&#10;AQAADwAAAGRycy9kb3ducmV2LnhtbE2Py07DMBBF90j8gzVIbCpqN6kCDXG6ALJjQwGxnSZDEhGP&#10;09h9wNczrMry6lzdOVOsT25QB5pC79nCYm5AEde+6bm18PZa3dyBChG5wcEzWfimAOvy8qLAvPFH&#10;fqHDJrZKRjjkaKGLccy1DnVHDsPcj8TCPv3kMEqcWt1MeJRxN+jEmEw77FkudDjSQ0f112bvLITq&#10;nXbVz6yemY+09ZTsHp+f0Nrrq4W5BxXpFM9l+NMXdSjFaev33AQ1SE5vE6laSFaghKcrk4HaClgu&#10;M9Blof9/UP4CUEsDBBQAAAAIAIdO4kDgzGMB7gEAAN0DAAAOAAAAZHJzL2Uyb0RvYy54bWytU0uO&#10;EzEQ3SNxB8t70kmkDJNWOrOYMGwQRAIOULHdaUv+yeVJJ5fgAkjsYMWSPbdhOAZld8h82GRBIrnL&#10;9Xmu91xeXO2tYTsVUXvX8MlozJlywkvttg3/+OHmxSVnmMBJMN6phh8U8qvl82eLPtRq6jtvpIqM&#10;QBzWfWh4l1KoqwpFpyzgyAflKNj6aCHRNm4rGaEndGuq6Xh8UfU+yhC9UIjkXQ1BfkSM5wD6ttVC&#10;rby4tcqlATUqA4koYacD8mXptm2VSO/aFlVipuHENJWVDiF7k9dquYB6GyF0WhxbgHNaeMLJgnZ0&#10;6AlqBQnYbdT/QFktokffppHwthqIFEWIxWT8RJv3HQRVuJDUGE6i4/+DFW9368i0pEngzIGlC7/7&#10;/OPXp6+/f36h9e77NzbJIvUBa8q9dut43GFYx8x430abv8SF7Yuwh5Owap+YIOfkYjynP2eCYpfz&#10;+cv5LINW99UhYnqtvGXZaLjRLhOHGnZvMA2pf1Oy2zjWN3w+m84IE2gKW7p9Mm0gJui2pRa90fJG&#10;G5MrMG431yayHeRJKL9jC4/S8iErwG7IK6GcBnWnQL5ykqVDII0cPQ2eW7BKcmYUvaRslcwE2pyT&#10;SeyNIxGytIOY2dp4eSgaFz/depHpOKF5rB7uS/X9q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3+e6LXAAAACQEAAA8AAAAAAAAAAQAgAAAAIgAAAGRycy9kb3ducmV2LnhtbFBLAQIUABQAAAAI&#10;AIdO4kDgzGMB7gEAAN0DAAAOAAAAAAAAAAEAIAAAACYBAABkcnMvZTJvRG9jLnhtbFBLBQYAAAAA&#10;BgAGAFkBAACGBQAAAAA=&#10;">
                      <v:fill on="f" focussize="0,0"/>
                      <v:stroke color="#000000" joinstyle="round"/>
                      <v:imagedata o:title=""/>
                      <o:lock v:ext="edit" aspectratio="f"/>
                    </v:line>
                  </w:pict>
                </mc:Fallback>
              </mc:AlternateContent>
            </w:r>
            <w:r>
              <w:rPr>
                <w:rFonts w:hint="eastAsia" w:ascii="宋体" w:hAnsi="宋体"/>
                <w:b/>
                <w:bCs/>
                <w:kern w:val="0"/>
                <w:sz w:val="24"/>
                <w:highlight w:val="none"/>
              </w:rPr>
              <w:t xml:space="preserve">                       服务类型</w:t>
            </w:r>
          </w:p>
          <w:p>
            <w:pPr>
              <w:widowControl/>
              <w:jc w:val="left"/>
              <w:rPr>
                <w:rFonts w:ascii="宋体" w:hAnsi="宋体"/>
                <w:b/>
                <w:bCs/>
                <w:kern w:val="0"/>
                <w:sz w:val="24"/>
                <w:highlight w:val="none"/>
              </w:rPr>
            </w:pPr>
            <w:r>
              <w:rPr>
                <w:rFonts w:hint="eastAsia" w:ascii="宋体" w:hAnsi="宋体"/>
                <w:b/>
                <w:bCs/>
                <w:kern w:val="0"/>
                <w:sz w:val="24"/>
                <w:highlight w:val="none"/>
              </w:rPr>
              <w:t xml:space="preserve">        费率</w:t>
            </w:r>
          </w:p>
          <w:p>
            <w:pPr>
              <w:widowControl/>
              <w:jc w:val="left"/>
              <w:rPr>
                <w:rFonts w:ascii="宋体" w:hAnsi="宋体"/>
                <w:b/>
                <w:bCs/>
                <w:kern w:val="0"/>
                <w:sz w:val="24"/>
                <w:highlight w:val="none"/>
              </w:rPr>
            </w:pPr>
            <w:r>
              <w:rPr>
                <w:sz w:val="24"/>
                <w:highlight w:val="none"/>
              </w:rPr>
              <mc:AlternateContent>
                <mc:Choice Requires="wps">
                  <w:drawing>
                    <wp:anchor distT="0" distB="0" distL="114300" distR="114300" simplePos="0" relativeHeight="251664384" behindDoc="0" locked="0" layoutInCell="1" allowOverlap="1">
                      <wp:simplePos x="0" y="0"/>
                      <wp:positionH relativeFrom="column">
                        <wp:posOffset>-70485</wp:posOffset>
                      </wp:positionH>
                      <wp:positionV relativeFrom="paragraph">
                        <wp:posOffset>26670</wp:posOffset>
                      </wp:positionV>
                      <wp:extent cx="2571750" cy="487045"/>
                      <wp:effectExtent l="635" t="4445" r="18415" b="22860"/>
                      <wp:wrapNone/>
                      <wp:docPr id="2" name="直接连接符 2"/>
                      <wp:cNvGraphicFramePr/>
                      <a:graphic xmlns:a="http://schemas.openxmlformats.org/drawingml/2006/main">
                        <a:graphicData uri="http://schemas.microsoft.com/office/word/2010/wordprocessingShape">
                          <wps:wsp>
                            <wps:cNvCnPr/>
                            <wps:spPr>
                              <a:xfrm>
                                <a:off x="0" y="0"/>
                                <a:ext cx="2571750" cy="48704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55pt;margin-top:2.1pt;height:38.35pt;width:202.5pt;z-index:251664384;mso-width-relative:page;mso-height-relative:page;" filled="f" stroked="t" coordsize="21600,21600" o:gfxdata="UEsDBAoAAAAAAIdO4kAAAAAAAAAAAAAAAAAEAAAAZHJzL1BLAwQUAAAACACHTuJAf+Ce39cAAAAI&#10;AQAADwAAAGRycy9kb3ducmV2LnhtbE2PzU7DMBCE70i8g7VIXKrWdoJQE+L0AOTGhQLiuo2XJCJe&#10;p7H7A0+POcFxNKOZb6rN2Y3iSHMYPBvQKwWCuPV24M7A60uzXIMIEdni6JkMfFGATX15UWFp/Ymf&#10;6biNnUglHEo00Mc4lVKGtieHYeUn4uR9+NlhTHLupJ3xlMrdKDOlbqXDgdNCjxPd99R+bg/OQGje&#10;aN98L9qFes87T9n+4ekRjbm+0uoORKRz/AvDL35Chzox7fyBbRCjgaXWOkUN3GQgkp8XeQFiZ2Ct&#10;CpB1Jf8fqH8AUEsDBBQAAAAIAIdO4kDI1GYm8AEAAN0DAAAOAAAAZHJzL2Uyb0RvYy54bWytU82O&#10;0zAQviPxDpbvNG20pUvUdA9blguCSsADTB2nseQ/ebxN+xK8ABI3OHHkztvs8hiMndCF5dIDOTjj&#10;+fk83+fx8upgNNvLgMrZms8mU86kFa5RdlfzD+9vnl1yhhFsA9pZWfOjRH61evpk2ftKlq5zupGB&#10;EYjFqvc172L0VVGg6KQBnDgvLQVbFwxE2oZd0QToCd3oopxOnxe9C40PTkhE8q6HIB8RwzmArm2V&#10;kGsnbo20cUANUkMkStgpj3yVu21bKeLbtkUZma45MY15pUPI3qa1WC2h2gXwnRJjC3BOC484GVCW&#10;Dj1BrSECuw3qHyijRHDo2jgRzhQDkawIsZhNH2nzrgMvMxeSGv1JdPx/sOLNfhOYampecmbB0IXf&#10;f/p+9/HLzx+fab3/9pWVSaTeY0W513YTxh36TUiMD20w6U9c2CELezwJKw+RCXKW88VsMSfNBcUu&#10;LhfTi3kCLR6qfcD4SjrDklFzrWwiDhXsX2McUn+nJLe2rK/5i3k5J0ygKWzp9sk0npig3eVadFo1&#10;N0rrVIFht73Wge0hTUL+xhb+SkuHrAG7IS+HUhpUnYTmpW1YPHrSyNLT4KkFIxvOtKSXlKycGUHp&#10;czKJvbYkQpJ2EDNZW9ccs8bZT7eeZRonNI3Vn/tc/fAqV7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Ce39cAAAAIAQAADwAAAAAAAAABACAAAAAiAAAAZHJzL2Rvd25yZXYueG1sUEsBAhQAFAAA&#10;AAgAh07iQMjUZibwAQAA3QMAAA4AAAAAAAAAAQAgAAAAJgEAAGRycy9lMm9Eb2MueG1sUEsFBgAA&#10;AAAGAAYAWQEAAIgFAAAAAA==&#10;">
                      <v:fill on="f" focussize="0,0"/>
                      <v:stroke color="#000000" joinstyle="round"/>
                      <v:imagedata o:title=""/>
                      <o:lock v:ext="edit" aspectratio="f"/>
                    </v:line>
                  </w:pict>
                </mc:Fallback>
              </mc:AlternateContent>
            </w:r>
          </w:p>
          <w:p>
            <w:pPr>
              <w:widowControl/>
              <w:jc w:val="left"/>
              <w:rPr>
                <w:rFonts w:ascii="宋体" w:hAnsi="宋体"/>
                <w:b/>
                <w:bCs/>
                <w:kern w:val="0"/>
                <w:sz w:val="24"/>
                <w:highlight w:val="none"/>
              </w:rPr>
            </w:pPr>
            <w:r>
              <w:rPr>
                <w:rFonts w:hint="eastAsia" w:ascii="宋体" w:hAnsi="宋体"/>
                <w:b/>
                <w:bCs/>
                <w:kern w:val="0"/>
                <w:sz w:val="24"/>
                <w:highlight w:val="none"/>
              </w:rPr>
              <w:t>金额</w:t>
            </w:r>
          </w:p>
        </w:tc>
        <w:tc>
          <w:tcPr>
            <w:tcW w:w="1247" w:type="dxa"/>
            <w:vMerge w:val="restart"/>
            <w:shd w:val="clear" w:color="auto" w:fill="EAEAEA"/>
            <w:vAlign w:val="center"/>
          </w:tcPr>
          <w:p>
            <w:pPr>
              <w:widowControl/>
              <w:jc w:val="center"/>
              <w:rPr>
                <w:rFonts w:ascii="宋体" w:hAnsi="宋体"/>
                <w:b/>
                <w:bCs/>
                <w:kern w:val="0"/>
                <w:sz w:val="24"/>
                <w:highlight w:val="none"/>
              </w:rPr>
            </w:pPr>
            <w:r>
              <w:rPr>
                <w:rFonts w:hint="eastAsia" w:ascii="宋体" w:hAnsi="宋体"/>
                <w:b/>
                <w:bCs/>
                <w:kern w:val="0"/>
                <w:sz w:val="24"/>
                <w:highlight w:val="none"/>
              </w:rPr>
              <w:t>货物招标</w:t>
            </w:r>
          </w:p>
        </w:tc>
        <w:tc>
          <w:tcPr>
            <w:tcW w:w="1576" w:type="dxa"/>
            <w:vMerge w:val="restart"/>
            <w:shd w:val="clear" w:color="auto" w:fill="EAEAEA"/>
            <w:vAlign w:val="center"/>
          </w:tcPr>
          <w:p>
            <w:pPr>
              <w:widowControl/>
              <w:jc w:val="center"/>
              <w:rPr>
                <w:rFonts w:ascii="宋体" w:hAnsi="宋体"/>
                <w:b/>
                <w:bCs/>
                <w:kern w:val="0"/>
                <w:sz w:val="24"/>
                <w:highlight w:val="none"/>
              </w:rPr>
            </w:pPr>
            <w:r>
              <w:rPr>
                <w:rFonts w:hint="eastAsia" w:ascii="宋体" w:hAnsi="宋体"/>
                <w:b/>
                <w:bCs/>
                <w:kern w:val="0"/>
                <w:sz w:val="24"/>
                <w:highlight w:val="none"/>
              </w:rPr>
              <w:t>服务招标</w:t>
            </w:r>
          </w:p>
        </w:tc>
        <w:tc>
          <w:tcPr>
            <w:tcW w:w="1536" w:type="dxa"/>
            <w:vMerge w:val="restart"/>
            <w:shd w:val="clear" w:color="auto" w:fill="EAEAEA"/>
            <w:vAlign w:val="center"/>
          </w:tcPr>
          <w:p>
            <w:pPr>
              <w:widowControl/>
              <w:jc w:val="center"/>
              <w:rPr>
                <w:rFonts w:ascii="宋体" w:hAnsi="宋体"/>
                <w:b/>
                <w:bCs/>
                <w:kern w:val="0"/>
                <w:sz w:val="24"/>
                <w:highlight w:val="none"/>
              </w:rPr>
            </w:pPr>
            <w:r>
              <w:rPr>
                <w:rFonts w:hint="eastAsia" w:ascii="宋体" w:hAnsi="宋体"/>
                <w:b/>
                <w:bCs/>
                <w:kern w:val="0"/>
                <w:sz w:val="24"/>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4056" w:type="dxa"/>
            <w:vMerge w:val="continue"/>
            <w:shd w:val="clear" w:color="auto" w:fill="EAEAEA"/>
            <w:vAlign w:val="center"/>
          </w:tcPr>
          <w:p>
            <w:pPr>
              <w:widowControl/>
              <w:jc w:val="left"/>
              <w:rPr>
                <w:rFonts w:ascii="宋体" w:hAnsi="宋体"/>
                <w:kern w:val="0"/>
                <w:sz w:val="24"/>
                <w:highlight w:val="none"/>
              </w:rPr>
            </w:pPr>
          </w:p>
        </w:tc>
        <w:tc>
          <w:tcPr>
            <w:tcW w:w="1247" w:type="dxa"/>
            <w:vMerge w:val="continue"/>
            <w:shd w:val="clear" w:color="auto" w:fill="EAEAEA"/>
            <w:vAlign w:val="center"/>
          </w:tcPr>
          <w:p>
            <w:pPr>
              <w:widowControl/>
              <w:jc w:val="left"/>
              <w:rPr>
                <w:rFonts w:ascii="宋体" w:hAnsi="宋体"/>
                <w:kern w:val="0"/>
                <w:sz w:val="24"/>
                <w:highlight w:val="none"/>
              </w:rPr>
            </w:pPr>
          </w:p>
        </w:tc>
        <w:tc>
          <w:tcPr>
            <w:tcW w:w="1576" w:type="dxa"/>
            <w:vMerge w:val="continue"/>
            <w:shd w:val="clear" w:color="auto" w:fill="EAEAEA"/>
            <w:vAlign w:val="center"/>
          </w:tcPr>
          <w:p>
            <w:pPr>
              <w:widowControl/>
              <w:jc w:val="left"/>
              <w:rPr>
                <w:rFonts w:ascii="宋体" w:hAnsi="宋体"/>
                <w:kern w:val="0"/>
                <w:sz w:val="24"/>
                <w:highlight w:val="none"/>
              </w:rPr>
            </w:pPr>
          </w:p>
        </w:tc>
        <w:tc>
          <w:tcPr>
            <w:tcW w:w="1536" w:type="dxa"/>
            <w:vMerge w:val="continue"/>
            <w:shd w:val="clear" w:color="auto" w:fill="EAEAEA"/>
            <w:vAlign w:val="center"/>
          </w:tcPr>
          <w:p>
            <w:pPr>
              <w:widowControl/>
              <w:jc w:val="left"/>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tblHeader/>
          <w:jc w:val="center"/>
        </w:trPr>
        <w:tc>
          <w:tcPr>
            <w:tcW w:w="4056" w:type="dxa"/>
            <w:vMerge w:val="continue"/>
            <w:shd w:val="clear" w:color="auto" w:fill="EAEAEA"/>
            <w:vAlign w:val="center"/>
          </w:tcPr>
          <w:p>
            <w:pPr>
              <w:widowControl/>
              <w:jc w:val="left"/>
              <w:rPr>
                <w:rFonts w:ascii="宋体" w:hAnsi="宋体"/>
                <w:kern w:val="0"/>
                <w:sz w:val="24"/>
                <w:highlight w:val="none"/>
              </w:rPr>
            </w:pPr>
          </w:p>
        </w:tc>
        <w:tc>
          <w:tcPr>
            <w:tcW w:w="1247" w:type="dxa"/>
            <w:vMerge w:val="continue"/>
            <w:shd w:val="clear" w:color="auto" w:fill="EAEAEA"/>
            <w:vAlign w:val="center"/>
          </w:tcPr>
          <w:p>
            <w:pPr>
              <w:widowControl/>
              <w:jc w:val="left"/>
              <w:rPr>
                <w:rFonts w:ascii="宋体" w:hAnsi="宋体"/>
                <w:kern w:val="0"/>
                <w:sz w:val="24"/>
                <w:highlight w:val="none"/>
              </w:rPr>
            </w:pPr>
          </w:p>
        </w:tc>
        <w:tc>
          <w:tcPr>
            <w:tcW w:w="1576" w:type="dxa"/>
            <w:vMerge w:val="continue"/>
            <w:shd w:val="clear" w:color="auto" w:fill="EAEAEA"/>
            <w:vAlign w:val="center"/>
          </w:tcPr>
          <w:p>
            <w:pPr>
              <w:widowControl/>
              <w:jc w:val="left"/>
              <w:rPr>
                <w:rFonts w:ascii="宋体" w:hAnsi="宋体"/>
                <w:kern w:val="0"/>
                <w:sz w:val="24"/>
                <w:highlight w:val="none"/>
              </w:rPr>
            </w:pPr>
          </w:p>
        </w:tc>
        <w:tc>
          <w:tcPr>
            <w:tcW w:w="1536" w:type="dxa"/>
            <w:vMerge w:val="continue"/>
            <w:shd w:val="clear" w:color="auto" w:fill="EAEAEA"/>
            <w:vAlign w:val="center"/>
          </w:tcPr>
          <w:p>
            <w:pPr>
              <w:widowControl/>
              <w:jc w:val="left"/>
              <w:rPr>
                <w:rFonts w:ascii="宋体" w:hAnsi="宋体"/>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vAlign w:val="center"/>
          </w:tcPr>
          <w:p>
            <w:pPr>
              <w:widowControl/>
              <w:jc w:val="center"/>
              <w:rPr>
                <w:rFonts w:ascii="宋体" w:hAnsi="宋体"/>
                <w:kern w:val="0"/>
                <w:sz w:val="24"/>
                <w:highlight w:val="none"/>
              </w:rPr>
            </w:pPr>
            <w:r>
              <w:rPr>
                <w:rFonts w:hint="eastAsia" w:ascii="宋体" w:hAnsi="宋体"/>
                <w:kern w:val="0"/>
                <w:sz w:val="24"/>
                <w:highlight w:val="none"/>
              </w:rPr>
              <w:t>100万元以下</w:t>
            </w:r>
          </w:p>
        </w:tc>
        <w:tc>
          <w:tcPr>
            <w:tcW w:w="1247" w:type="dxa"/>
            <w:vAlign w:val="center"/>
          </w:tcPr>
          <w:p>
            <w:pPr>
              <w:widowControl/>
              <w:jc w:val="center"/>
              <w:rPr>
                <w:rFonts w:ascii="宋体" w:hAnsi="宋体"/>
                <w:kern w:val="0"/>
                <w:sz w:val="24"/>
                <w:highlight w:val="none"/>
              </w:rPr>
            </w:pPr>
            <w:r>
              <w:rPr>
                <w:rFonts w:hint="eastAsia" w:ascii="宋体" w:hAnsi="宋体"/>
                <w:kern w:val="0"/>
                <w:sz w:val="24"/>
                <w:highlight w:val="none"/>
              </w:rPr>
              <w:t>1.5%</w:t>
            </w:r>
          </w:p>
        </w:tc>
        <w:tc>
          <w:tcPr>
            <w:tcW w:w="1576" w:type="dxa"/>
            <w:vAlign w:val="center"/>
          </w:tcPr>
          <w:p>
            <w:pPr>
              <w:widowControl/>
              <w:jc w:val="center"/>
              <w:rPr>
                <w:rFonts w:ascii="宋体" w:hAnsi="宋体"/>
                <w:kern w:val="0"/>
                <w:sz w:val="24"/>
                <w:highlight w:val="none"/>
              </w:rPr>
            </w:pPr>
            <w:r>
              <w:rPr>
                <w:rFonts w:hint="eastAsia" w:ascii="宋体" w:hAnsi="宋体"/>
                <w:kern w:val="0"/>
                <w:sz w:val="24"/>
                <w:highlight w:val="none"/>
              </w:rPr>
              <w:t>1.5%</w:t>
            </w:r>
          </w:p>
        </w:tc>
        <w:tc>
          <w:tcPr>
            <w:tcW w:w="1536" w:type="dxa"/>
            <w:vAlign w:val="center"/>
          </w:tcPr>
          <w:p>
            <w:pPr>
              <w:widowControl/>
              <w:jc w:val="center"/>
              <w:rPr>
                <w:rFonts w:ascii="宋体" w:hAnsi="宋体"/>
                <w:kern w:val="0"/>
                <w:sz w:val="24"/>
                <w:highlight w:val="none"/>
              </w:rPr>
            </w:pPr>
            <w:r>
              <w:rPr>
                <w:rFonts w:hint="eastAsia" w:ascii="宋体" w:hAnsi="宋体"/>
                <w:kern w:val="0"/>
                <w:sz w:val="24"/>
                <w:highlight w:val="none"/>
              </w:rPr>
              <w:t>1%</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vAlign w:val="center"/>
          </w:tcPr>
          <w:p>
            <w:pPr>
              <w:widowControl/>
              <w:jc w:val="center"/>
              <w:rPr>
                <w:rFonts w:ascii="宋体" w:hAnsi="宋体"/>
                <w:kern w:val="0"/>
                <w:sz w:val="24"/>
                <w:highlight w:val="none"/>
              </w:rPr>
            </w:pPr>
            <w:r>
              <w:rPr>
                <w:rFonts w:hint="eastAsia" w:ascii="宋体" w:hAnsi="宋体"/>
                <w:kern w:val="0"/>
                <w:sz w:val="24"/>
                <w:highlight w:val="none"/>
              </w:rPr>
              <w:t>100-500万元</w:t>
            </w:r>
          </w:p>
        </w:tc>
        <w:tc>
          <w:tcPr>
            <w:tcW w:w="1247" w:type="dxa"/>
            <w:vAlign w:val="center"/>
          </w:tcPr>
          <w:p>
            <w:pPr>
              <w:widowControl/>
              <w:jc w:val="center"/>
              <w:rPr>
                <w:rFonts w:ascii="宋体" w:hAnsi="宋体"/>
                <w:kern w:val="0"/>
                <w:sz w:val="24"/>
                <w:highlight w:val="none"/>
              </w:rPr>
            </w:pPr>
            <w:r>
              <w:rPr>
                <w:rFonts w:hint="eastAsia" w:ascii="宋体" w:hAnsi="宋体"/>
                <w:kern w:val="0"/>
                <w:sz w:val="24"/>
                <w:highlight w:val="none"/>
              </w:rPr>
              <w:t>1.1%</w:t>
            </w:r>
          </w:p>
        </w:tc>
        <w:tc>
          <w:tcPr>
            <w:tcW w:w="1576" w:type="dxa"/>
            <w:vAlign w:val="center"/>
          </w:tcPr>
          <w:p>
            <w:pPr>
              <w:widowControl/>
              <w:jc w:val="center"/>
              <w:rPr>
                <w:rFonts w:ascii="宋体" w:hAnsi="宋体"/>
                <w:kern w:val="0"/>
                <w:sz w:val="24"/>
                <w:highlight w:val="none"/>
              </w:rPr>
            </w:pPr>
            <w:r>
              <w:rPr>
                <w:rFonts w:hint="eastAsia" w:ascii="宋体" w:hAnsi="宋体"/>
                <w:kern w:val="0"/>
                <w:sz w:val="24"/>
                <w:highlight w:val="none"/>
              </w:rPr>
              <w:t>0.8%</w:t>
            </w:r>
          </w:p>
        </w:tc>
        <w:tc>
          <w:tcPr>
            <w:tcW w:w="1536" w:type="dxa"/>
            <w:vAlign w:val="center"/>
          </w:tcPr>
          <w:p>
            <w:pPr>
              <w:widowControl/>
              <w:jc w:val="center"/>
              <w:rPr>
                <w:rFonts w:ascii="宋体" w:hAnsi="宋体"/>
                <w:kern w:val="0"/>
                <w:sz w:val="24"/>
                <w:highlight w:val="none"/>
              </w:rPr>
            </w:pPr>
            <w:r>
              <w:rPr>
                <w:rFonts w:hint="eastAsia" w:ascii="宋体" w:hAnsi="宋体"/>
                <w:kern w:val="0"/>
                <w:sz w:val="24"/>
                <w:highlight w:val="none"/>
              </w:rPr>
              <w:t>0.7%</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62" w:hRule="atLeast"/>
          <w:jc w:val="center"/>
        </w:trPr>
        <w:tc>
          <w:tcPr>
            <w:tcW w:w="4056" w:type="dxa"/>
            <w:vAlign w:val="center"/>
          </w:tcPr>
          <w:p>
            <w:pPr>
              <w:widowControl/>
              <w:jc w:val="center"/>
              <w:rPr>
                <w:rFonts w:ascii="宋体" w:hAnsi="宋体"/>
                <w:kern w:val="0"/>
                <w:sz w:val="24"/>
                <w:highlight w:val="none"/>
              </w:rPr>
            </w:pPr>
            <w:r>
              <w:rPr>
                <w:rFonts w:hint="eastAsia" w:ascii="宋体" w:hAnsi="宋体"/>
                <w:kern w:val="0"/>
                <w:sz w:val="24"/>
                <w:highlight w:val="none"/>
              </w:rPr>
              <w:t>500-1000万元</w:t>
            </w:r>
          </w:p>
        </w:tc>
        <w:tc>
          <w:tcPr>
            <w:tcW w:w="1247" w:type="dxa"/>
            <w:vAlign w:val="center"/>
          </w:tcPr>
          <w:p>
            <w:pPr>
              <w:widowControl/>
              <w:jc w:val="center"/>
              <w:rPr>
                <w:rFonts w:ascii="宋体" w:hAnsi="宋体"/>
                <w:kern w:val="0"/>
                <w:sz w:val="24"/>
                <w:highlight w:val="none"/>
              </w:rPr>
            </w:pPr>
            <w:r>
              <w:rPr>
                <w:rFonts w:hint="eastAsia" w:ascii="宋体" w:hAnsi="宋体"/>
                <w:kern w:val="0"/>
                <w:sz w:val="24"/>
                <w:highlight w:val="none"/>
              </w:rPr>
              <w:t>0.8%</w:t>
            </w:r>
          </w:p>
        </w:tc>
        <w:tc>
          <w:tcPr>
            <w:tcW w:w="1576" w:type="dxa"/>
            <w:vAlign w:val="center"/>
          </w:tcPr>
          <w:p>
            <w:pPr>
              <w:widowControl/>
              <w:jc w:val="center"/>
              <w:rPr>
                <w:rFonts w:ascii="宋体" w:hAnsi="宋体"/>
                <w:kern w:val="0"/>
                <w:sz w:val="24"/>
                <w:highlight w:val="none"/>
              </w:rPr>
            </w:pPr>
            <w:r>
              <w:rPr>
                <w:rFonts w:hint="eastAsia" w:ascii="宋体" w:hAnsi="宋体"/>
                <w:kern w:val="0"/>
                <w:sz w:val="24"/>
                <w:highlight w:val="none"/>
              </w:rPr>
              <w:t>0.45%</w:t>
            </w:r>
          </w:p>
        </w:tc>
        <w:tc>
          <w:tcPr>
            <w:tcW w:w="1536" w:type="dxa"/>
            <w:vAlign w:val="center"/>
          </w:tcPr>
          <w:p>
            <w:pPr>
              <w:widowControl/>
              <w:jc w:val="center"/>
              <w:rPr>
                <w:rFonts w:ascii="宋体" w:hAnsi="宋体"/>
                <w:kern w:val="0"/>
                <w:sz w:val="24"/>
                <w:highlight w:val="none"/>
              </w:rPr>
            </w:pPr>
            <w:r>
              <w:rPr>
                <w:rFonts w:hint="eastAsia" w:ascii="宋体" w:hAnsi="宋体"/>
                <w:kern w:val="0"/>
                <w:sz w:val="24"/>
                <w:highlight w:val="none"/>
              </w:rPr>
              <w:t>0.55%</w:t>
            </w:r>
          </w:p>
        </w:tc>
      </w:tr>
    </w:tbl>
    <w:p>
      <w:pPr>
        <w:pStyle w:val="3"/>
        <w:keepNext/>
        <w:keepLines/>
        <w:pageBreakBefore w:val="0"/>
        <w:widowControl w:val="0"/>
        <w:numPr>
          <w:ilvl w:val="0"/>
          <w:numId w:val="17"/>
        </w:numPr>
        <w:kinsoku/>
        <w:wordWrap/>
        <w:overflowPunct/>
        <w:topLinePunct w:val="0"/>
        <w:autoSpaceDE/>
        <w:autoSpaceDN/>
        <w:bidi w:val="0"/>
        <w:adjustRightInd/>
        <w:snapToGrid/>
        <w:spacing w:before="0" w:after="0" w:line="360" w:lineRule="auto"/>
        <w:ind w:firstLine="420"/>
        <w:jc w:val="center"/>
        <w:textAlignment w:val="auto"/>
        <w:rPr>
          <w:rFonts w:hint="eastAsia"/>
          <w:highlight w:val="none"/>
        </w:rPr>
      </w:pPr>
      <w:bookmarkStart w:id="201" w:name="_Toc3027"/>
      <w:bookmarkStart w:id="202" w:name="_Toc28637"/>
      <w:bookmarkStart w:id="203" w:name="_Toc423021948"/>
      <w:bookmarkStart w:id="204" w:name="_Toc13040"/>
      <w:r>
        <w:rPr>
          <w:rFonts w:hint="eastAsia"/>
          <w:highlight w:val="none"/>
        </w:rPr>
        <w:t>政府采购政策</w:t>
      </w:r>
      <w:bookmarkEnd w:id="201"/>
      <w:bookmarkEnd w:id="202"/>
      <w:bookmarkEnd w:id="203"/>
      <w:bookmarkEnd w:id="204"/>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205" w:name="_Toc1557"/>
      <w:bookmarkStart w:id="206" w:name="_Toc21329"/>
      <w:bookmarkStart w:id="207" w:name="_Toc29088"/>
      <w:r>
        <w:rPr>
          <w:rFonts w:hint="eastAsia"/>
          <w:sz w:val="28"/>
          <w:szCs w:val="28"/>
          <w:highlight w:val="none"/>
          <w:lang w:val="zh-CN"/>
        </w:rPr>
        <w:t>采购节能产品、环境标志产品相关政策</w:t>
      </w:r>
      <w:bookmarkEnd w:id="205"/>
      <w:bookmarkEnd w:id="206"/>
      <w:bookmarkEnd w:id="207"/>
    </w:p>
    <w:p>
      <w:pPr>
        <w:numPr>
          <w:ilvl w:val="1"/>
          <w:numId w:val="59"/>
        </w:numPr>
        <w:tabs>
          <w:tab w:val="left" w:pos="1140"/>
          <w:tab w:val="clear" w:pos="907"/>
        </w:tabs>
        <w:wordWrap w:val="0"/>
        <w:spacing w:line="360" w:lineRule="auto"/>
        <w:ind w:left="1147" w:hanging="807"/>
        <w:jc w:val="left"/>
        <w:rPr>
          <w:rFonts w:ascii="宋体" w:hAnsi="宋体" w:cs="宋体"/>
          <w:sz w:val="24"/>
          <w:highlight w:val="none"/>
          <w:lang w:val="zh-CN"/>
        </w:rPr>
      </w:pPr>
      <w:r>
        <w:rPr>
          <w:rFonts w:hint="eastAsia" w:ascii="宋体" w:hAnsi="宋体" w:cs="宋体"/>
          <w:sz w:val="24"/>
          <w:highlight w:val="none"/>
          <w:lang w:val="zh-CN"/>
        </w:rPr>
        <w:t>为发挥政府采购的政策导向作用，根据《财政部 发展改革委 生态环境部 市场监管总局关于调整优化节能产品 环境标志产品 政府采购执行机制的通知》（财库〔2019〕9号）的规定，若投标产品属于“关于印发节能产品政府采购品目清单的通知财库（〔2019〕19号）”中强制采购的节能产品，实行强制采购；若投标产品属于“节能产品政府采购品目清单”中优先采购的节能产品，在技术、服务等指标满足采购需求的前提下，实行优先采购。投标人须提供有效期内的中国节能产品认证证书复印件加盖投标人公章。</w:t>
      </w:r>
    </w:p>
    <w:p>
      <w:pPr>
        <w:numPr>
          <w:ilvl w:val="1"/>
          <w:numId w:val="59"/>
        </w:numPr>
        <w:tabs>
          <w:tab w:val="left" w:pos="1140"/>
          <w:tab w:val="clear" w:pos="907"/>
        </w:tabs>
        <w:wordWrap w:val="0"/>
        <w:spacing w:line="360" w:lineRule="auto"/>
        <w:ind w:left="1147" w:hanging="807"/>
        <w:jc w:val="left"/>
        <w:rPr>
          <w:rFonts w:ascii="宋体" w:hAnsi="宋体" w:cs="宋体"/>
          <w:sz w:val="24"/>
          <w:highlight w:val="none"/>
          <w:lang w:val="zh-CN"/>
        </w:rPr>
      </w:pPr>
      <w:r>
        <w:rPr>
          <w:rFonts w:hint="eastAsia" w:ascii="宋体" w:hAnsi="宋体" w:cs="宋体"/>
          <w:sz w:val="24"/>
          <w:highlight w:val="none"/>
          <w:lang w:val="zh-CN"/>
        </w:rPr>
        <w:t>为发挥政府采购的环境保护政策功能，根据《财政部 发展改革委 生态环境部 市场监管总局关于调整优化节能产品 环境标志产品 政府采购执行机制的通知》（财库〔2019〕9号）的规定，若投标产品属于“环境标志产品政府采购品目清单”中的产品，在性能、技术、服务等指标同等条件下，应当优先采购清单中的产品。投标人须提供有效期内的中国环境标志产品认证证书复印件加盖投标人公章。</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208" w:name="_Toc30582"/>
      <w:bookmarkStart w:id="209" w:name="_Toc3926"/>
      <w:r>
        <w:rPr>
          <w:rFonts w:hint="eastAsia"/>
          <w:sz w:val="28"/>
          <w:szCs w:val="28"/>
          <w:highlight w:val="none"/>
          <w:lang w:val="zh-CN"/>
        </w:rPr>
        <w:t>促进中小企业发展政策</w:t>
      </w:r>
      <w:bookmarkEnd w:id="208"/>
      <w:bookmarkEnd w:id="209"/>
    </w:p>
    <w:p>
      <w:pPr>
        <w:numPr>
          <w:ilvl w:val="1"/>
          <w:numId w:val="60"/>
        </w:numPr>
        <w:tabs>
          <w:tab w:val="left" w:pos="1220"/>
          <w:tab w:val="clear" w:pos="907"/>
        </w:tabs>
        <w:spacing w:line="360" w:lineRule="auto"/>
        <w:ind w:left="1167" w:hanging="807"/>
        <w:jc w:val="left"/>
        <w:rPr>
          <w:rFonts w:ascii="宋体" w:hAnsi="宋体" w:cs="宋体"/>
          <w:sz w:val="24"/>
          <w:highlight w:val="none"/>
          <w:lang w:val="zh-CN"/>
        </w:rPr>
      </w:pPr>
      <w:r>
        <w:rPr>
          <w:rFonts w:ascii="宋体" w:hAnsi="宋体" w:cs="宋体"/>
          <w:sz w:val="24"/>
          <w:highlight w:val="none"/>
          <w:lang w:val="zh-CN"/>
        </w:rPr>
        <w:t>为发挥政府采购促进中小企业发展的政策功能，根据《政府采购促进中小企业发展管理办法》（财库﹝2020﹞46号）的规定，供应商提供的货物符合中小企业扶持政策的，享受一定比例的价格扣除优惠，用扣除后的价格作为其参与评审的价格。</w:t>
      </w:r>
    </w:p>
    <w:p>
      <w:pPr>
        <w:numPr>
          <w:ilvl w:val="1"/>
          <w:numId w:val="60"/>
        </w:numPr>
        <w:tabs>
          <w:tab w:val="left" w:pos="1220"/>
          <w:tab w:val="clear" w:pos="907"/>
        </w:tabs>
        <w:spacing w:line="360" w:lineRule="auto"/>
        <w:ind w:left="1167" w:hanging="807"/>
        <w:jc w:val="left"/>
        <w:rPr>
          <w:rFonts w:ascii="宋体" w:hAnsi="宋体" w:cs="宋体"/>
          <w:sz w:val="24"/>
          <w:highlight w:val="none"/>
          <w:lang w:val="zh-CN"/>
        </w:rPr>
      </w:pPr>
      <w:r>
        <w:rPr>
          <w:rFonts w:ascii="宋体" w:hAnsi="宋体" w:cs="宋体"/>
          <w:sz w:val="24"/>
          <w:highlight w:val="none"/>
          <w:lang w:val="zh-CN"/>
        </w:rPr>
        <w:t>享受价格扣除政策的小型、微型企业必须符合小型、微型企业划分标准（按照《</w:t>
      </w:r>
      <w:r>
        <w:rPr>
          <w:rFonts w:hint="eastAsia" w:ascii="宋体" w:hAnsi="宋体" w:cs="宋体"/>
          <w:sz w:val="24"/>
          <w:highlight w:val="none"/>
          <w:lang w:val="zh-CN"/>
        </w:rPr>
        <w:t>中小企业划型标准规定》（工信部联企业[2011]300号）的规定划分）。</w:t>
      </w:r>
    </w:p>
    <w:p>
      <w:pPr>
        <w:numPr>
          <w:ilvl w:val="1"/>
          <w:numId w:val="60"/>
        </w:numPr>
        <w:tabs>
          <w:tab w:val="left" w:pos="1220"/>
          <w:tab w:val="clear" w:pos="907"/>
        </w:tabs>
        <w:spacing w:line="360" w:lineRule="auto"/>
        <w:ind w:left="1167" w:hanging="807"/>
        <w:jc w:val="left"/>
        <w:rPr>
          <w:rFonts w:ascii="宋体" w:hAnsi="宋体" w:cs="宋体"/>
          <w:sz w:val="24"/>
          <w:highlight w:val="none"/>
          <w:lang w:val="zh-CN"/>
        </w:rPr>
      </w:pPr>
      <w:r>
        <w:rPr>
          <w:rFonts w:hint="eastAsia" w:ascii="宋体" w:hAnsi="宋体" w:cs="宋体"/>
          <w:sz w:val="24"/>
          <w:highlight w:val="none"/>
          <w:lang w:val="zh-CN"/>
        </w:rPr>
        <w:t>参加政府采购活动的小型、微型企业应当提供《中小企业声明函》（见投标文件格式），否则不予认可。供应商对其承诺的企业规模真实性自行负责。供应商在</w:t>
      </w:r>
      <w:r>
        <w:rPr>
          <w:rFonts w:ascii="宋体" w:hAnsi="宋体" w:cs="宋体"/>
          <w:sz w:val="24"/>
          <w:highlight w:val="none"/>
        </w:rPr>
        <w:t>《中小企业声明函》中的承诺如有虚假，其中标资格将被取消</w:t>
      </w:r>
      <w:r>
        <w:rPr>
          <w:rFonts w:hint="eastAsia" w:ascii="宋体" w:hAnsi="宋体" w:cs="宋体"/>
          <w:sz w:val="24"/>
          <w:highlight w:val="none"/>
          <w:lang w:val="zh-CN"/>
        </w:rPr>
        <w:t>。</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210" w:name="_Toc683"/>
      <w:bookmarkStart w:id="211" w:name="_Toc13182"/>
      <w:r>
        <w:rPr>
          <w:rFonts w:hint="eastAsia"/>
          <w:sz w:val="28"/>
          <w:szCs w:val="28"/>
          <w:highlight w:val="none"/>
          <w:lang w:val="zh-CN"/>
        </w:rPr>
        <w:t>支持监狱企业发展政策</w:t>
      </w:r>
      <w:bookmarkEnd w:id="210"/>
      <w:bookmarkEnd w:id="211"/>
    </w:p>
    <w:p>
      <w:pPr>
        <w:numPr>
          <w:ilvl w:val="1"/>
          <w:numId w:val="61"/>
        </w:numPr>
        <w:tabs>
          <w:tab w:val="left" w:pos="1100"/>
          <w:tab w:val="left" w:pos="1220"/>
          <w:tab w:val="clear" w:pos="907"/>
        </w:tabs>
        <w:wordWrap w:val="0"/>
        <w:spacing w:line="360" w:lineRule="auto"/>
        <w:ind w:left="1147" w:hanging="727"/>
        <w:jc w:val="left"/>
        <w:rPr>
          <w:rFonts w:ascii="宋体" w:hAnsi="宋体" w:cs="宋体"/>
          <w:sz w:val="24"/>
          <w:highlight w:val="none"/>
          <w:lang w:val="zh-CN"/>
        </w:rPr>
      </w:pPr>
      <w:r>
        <w:rPr>
          <w:rFonts w:ascii="宋体" w:hAnsi="宋体" w:cs="宋体"/>
          <w:sz w:val="24"/>
          <w:highlight w:val="none"/>
          <w:lang w:val="zh-CN"/>
        </w:rPr>
        <w:t>为发挥政府采购支持监狱企业发展的作用，根据《关于政府采购支持监狱企业发展有关问题的通知》（财库[2014]68号）的规定，在政府采购活动中，监狱企业视同小型、微型企业，享受一定比例的价格扣除优惠，用扣除后的价格作为其参与评审的价格。</w:t>
      </w:r>
    </w:p>
    <w:p>
      <w:pPr>
        <w:numPr>
          <w:ilvl w:val="1"/>
          <w:numId w:val="61"/>
        </w:numPr>
        <w:tabs>
          <w:tab w:val="left" w:pos="1100"/>
          <w:tab w:val="left" w:pos="1220"/>
          <w:tab w:val="clear" w:pos="907"/>
        </w:tabs>
        <w:wordWrap w:val="0"/>
        <w:spacing w:line="360" w:lineRule="auto"/>
        <w:ind w:left="1147" w:hanging="727"/>
        <w:jc w:val="left"/>
        <w:rPr>
          <w:rFonts w:ascii="宋体" w:hAnsi="宋体" w:cs="宋体"/>
          <w:sz w:val="24"/>
          <w:highlight w:val="none"/>
          <w:lang w:val="zh-CN"/>
        </w:rPr>
      </w:pPr>
      <w:r>
        <w:rPr>
          <w:rFonts w:ascii="宋体" w:hAnsi="宋体" w:cs="宋体"/>
          <w:sz w:val="24"/>
          <w:highlight w:val="none"/>
          <w:lang w:val="zh-CN"/>
        </w:rPr>
        <w:t>监狱企业参加政府采购活动时，应当提供由省级以上监狱管理局、戒毒管理局（</w:t>
      </w:r>
      <w:r>
        <w:rPr>
          <w:rFonts w:hint="eastAsia" w:ascii="宋体" w:hAnsi="宋体" w:cs="宋体"/>
          <w:sz w:val="24"/>
          <w:highlight w:val="none"/>
          <w:lang w:val="zh-CN"/>
        </w:rPr>
        <w:t>含新疆生产建设兵团）出具的属于监狱企业的证明文件，否则不予认可。</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212" w:name="_Toc4276"/>
      <w:bookmarkStart w:id="213" w:name="_Toc28496"/>
      <w:r>
        <w:rPr>
          <w:rFonts w:hint="eastAsia"/>
          <w:sz w:val="28"/>
          <w:szCs w:val="28"/>
          <w:highlight w:val="none"/>
          <w:lang w:val="zh-CN"/>
        </w:rPr>
        <w:t>促进残疾人福利性单位政策</w:t>
      </w:r>
      <w:bookmarkEnd w:id="212"/>
      <w:bookmarkEnd w:id="213"/>
    </w:p>
    <w:p>
      <w:pPr>
        <w:numPr>
          <w:ilvl w:val="1"/>
          <w:numId w:val="62"/>
        </w:numPr>
        <w:tabs>
          <w:tab w:val="left" w:pos="1120"/>
          <w:tab w:val="left" w:pos="1220"/>
          <w:tab w:val="clear" w:pos="907"/>
        </w:tabs>
        <w:wordWrap w:val="0"/>
        <w:spacing w:line="360" w:lineRule="auto"/>
        <w:ind w:left="1127" w:hanging="707"/>
        <w:jc w:val="left"/>
        <w:rPr>
          <w:rFonts w:ascii="宋体" w:hAnsi="宋体" w:cs="宋体"/>
          <w:b/>
          <w:bCs/>
          <w:sz w:val="24"/>
          <w:highlight w:val="none"/>
          <w:u w:val="single"/>
          <w:lang w:val="zh-CN"/>
        </w:rPr>
      </w:pPr>
      <w:r>
        <w:rPr>
          <w:rFonts w:hint="eastAsia" w:ascii="宋体" w:hAnsi="宋体" w:cs="宋体"/>
          <w:sz w:val="24"/>
          <w:highlight w:val="none"/>
          <w:lang w:val="zh-CN"/>
        </w:rPr>
        <w:t>为发挥政府采购促进残疾人就业的作用，根据《关于促进残疾人就业政府采购政策的通知》（财库[2017]141号）的规定，在政府采购活动中，残疾人福利性单位视同小型、微型企业，享受一定比例的价格扣除优惠，用扣除后的价格作为其参与评审的价格。</w:t>
      </w:r>
      <w:r>
        <w:rPr>
          <w:rFonts w:hint="eastAsia" w:ascii="宋体" w:hAnsi="宋体" w:cs="宋体"/>
          <w:b/>
          <w:bCs/>
          <w:sz w:val="24"/>
          <w:highlight w:val="none"/>
          <w:u w:val="single"/>
          <w:lang w:val="zh-CN"/>
        </w:rPr>
        <w:t>残疾人福利性单位属于小型、微型企业的，不重复享受政策。</w:t>
      </w:r>
    </w:p>
    <w:p>
      <w:pPr>
        <w:numPr>
          <w:ilvl w:val="1"/>
          <w:numId w:val="62"/>
        </w:numPr>
        <w:tabs>
          <w:tab w:val="left" w:pos="1120"/>
          <w:tab w:val="left" w:pos="1220"/>
          <w:tab w:val="clear" w:pos="907"/>
        </w:tabs>
        <w:wordWrap w:val="0"/>
        <w:spacing w:line="360" w:lineRule="auto"/>
        <w:ind w:left="1127" w:hanging="707"/>
        <w:jc w:val="left"/>
        <w:rPr>
          <w:rFonts w:ascii="宋体" w:hAnsi="宋体" w:cs="宋体"/>
          <w:sz w:val="24"/>
          <w:highlight w:val="none"/>
          <w:lang w:val="zh-CN"/>
        </w:rPr>
      </w:pPr>
      <w:r>
        <w:rPr>
          <w:rFonts w:hint="eastAsia" w:ascii="宋体" w:hAnsi="宋体" w:cs="宋体"/>
          <w:sz w:val="24"/>
          <w:highlight w:val="none"/>
          <w:lang w:val="zh-CN"/>
        </w:rPr>
        <w:t>残疾人福利性单位参加政府采购活动时，应当提供《残疾人福利性单位声明函》，否则不予认可。投标人在《残疾人福利性单位声明函》中的承诺如有虚假，其中标资格将被取消。</w:t>
      </w:r>
    </w:p>
    <w:p>
      <w:pPr>
        <w:pStyle w:val="4"/>
        <w:keepNext/>
        <w:keepLines/>
        <w:pageBreakBefore w:val="0"/>
        <w:widowControl w:val="0"/>
        <w:numPr>
          <w:ilvl w:val="0"/>
          <w:numId w:val="18"/>
        </w:numPr>
        <w:kinsoku/>
        <w:wordWrap/>
        <w:overflowPunct/>
        <w:topLinePunct w:val="0"/>
        <w:autoSpaceDE/>
        <w:autoSpaceDN/>
        <w:bidi w:val="0"/>
        <w:adjustRightInd/>
        <w:snapToGrid/>
        <w:spacing w:before="157" w:beforeLines="50" w:after="157" w:afterLines="50" w:line="480" w:lineRule="auto"/>
        <w:ind w:left="425" w:hanging="6"/>
        <w:textAlignment w:val="auto"/>
        <w:rPr>
          <w:rFonts w:hint="eastAsia"/>
          <w:sz w:val="28"/>
          <w:szCs w:val="28"/>
          <w:highlight w:val="none"/>
          <w:lang w:val="zh-CN"/>
        </w:rPr>
      </w:pPr>
      <w:bookmarkStart w:id="214" w:name="_Toc28715"/>
      <w:bookmarkStart w:id="215" w:name="_Toc17712"/>
      <w:bookmarkStart w:id="216" w:name="_Toc11919"/>
      <w:r>
        <w:rPr>
          <w:rFonts w:hint="eastAsia"/>
          <w:sz w:val="28"/>
          <w:szCs w:val="28"/>
          <w:highlight w:val="none"/>
          <w:lang w:val="zh-CN"/>
        </w:rPr>
        <w:t>促进贫困地区农副产品政策</w:t>
      </w:r>
      <w:bookmarkEnd w:id="214"/>
      <w:bookmarkEnd w:id="215"/>
      <w:bookmarkEnd w:id="216"/>
    </w:p>
    <w:p>
      <w:pPr>
        <w:numPr>
          <w:ilvl w:val="1"/>
          <w:numId w:val="63"/>
        </w:numPr>
        <w:tabs>
          <w:tab w:val="left" w:pos="1060"/>
          <w:tab w:val="clear" w:pos="907"/>
        </w:tabs>
        <w:spacing w:line="360" w:lineRule="auto"/>
        <w:ind w:left="1047" w:hanging="627"/>
        <w:jc w:val="left"/>
        <w:rPr>
          <w:rFonts w:ascii="宋体" w:hAnsi="宋体" w:cs="宋体"/>
          <w:bCs/>
          <w:sz w:val="24"/>
          <w:highlight w:val="none"/>
          <w:lang w:val="zh-CN"/>
        </w:rPr>
      </w:pPr>
      <w:r>
        <w:rPr>
          <w:rFonts w:hint="eastAsia" w:ascii="宋体" w:hAnsi="宋体" w:cs="宋体"/>
          <w:bCs/>
          <w:sz w:val="24"/>
          <w:highlight w:val="none"/>
          <w:lang w:val="zh-CN"/>
        </w:rPr>
        <w:t>为贯彻《国务院办公厅关于深入开展消费扶贫助力打赢脱贫攻坚战的指导意见》（国办发〔2018〕129号）要求,根据《财政部 国务院扶贫办关于运用政府采购政策支持脱贫攻坚的通知》（财库〔2019〕27号）、《政府采购贫困地区农副产品实施方案》（财库〔2019〕41号）有关规定，进一步运用好政府采购政策，同等条件下鼓励优先购买贫困地区农副产品（贫困地区农副产品是指832个国家级贫困县域内注册的企业、农民专业合作社、家庭农场等出产的农副产品）。</w:t>
      </w:r>
    </w:p>
    <w:p>
      <w:pPr>
        <w:numPr>
          <w:ilvl w:val="1"/>
          <w:numId w:val="63"/>
        </w:numPr>
        <w:tabs>
          <w:tab w:val="left" w:pos="1060"/>
          <w:tab w:val="clear" w:pos="907"/>
        </w:tabs>
        <w:spacing w:line="360" w:lineRule="auto"/>
        <w:ind w:hanging="487"/>
        <w:jc w:val="left"/>
        <w:rPr>
          <w:rFonts w:ascii="宋体" w:hAnsi="宋体" w:cs="宋体"/>
          <w:bCs/>
          <w:sz w:val="24"/>
          <w:highlight w:val="none"/>
          <w:lang w:val="zh-CN"/>
        </w:rPr>
      </w:pPr>
      <w:r>
        <w:rPr>
          <w:rFonts w:hint="eastAsia" w:ascii="宋体" w:hAnsi="宋体" w:cs="宋体"/>
          <w:bCs/>
          <w:sz w:val="24"/>
          <w:highlight w:val="none"/>
          <w:lang w:val="zh-CN"/>
        </w:rPr>
        <w:t>贫困地区单位参加政府采购项目时，应当提供有关证明材料，</w:t>
      </w:r>
      <w:r>
        <w:rPr>
          <w:rFonts w:hint="eastAsia" w:ascii="宋体" w:hAnsi="宋体" w:cs="宋体"/>
          <w:sz w:val="24"/>
          <w:highlight w:val="none"/>
          <w:lang w:val="zh-CN"/>
        </w:rPr>
        <w:t>否则不予认可。</w:t>
      </w:r>
    </w:p>
    <w:p>
      <w:pPr>
        <w:ind w:left="420"/>
        <w:rPr>
          <w:highlight w:val="none"/>
        </w:rPr>
        <w:sectPr>
          <w:footerReference r:id="rId6" w:type="default"/>
          <w:pgSz w:w="11905" w:h="16838"/>
          <w:pgMar w:top="1803" w:right="1440" w:bottom="1803" w:left="1440" w:header="850" w:footer="822" w:gutter="0"/>
          <w:pgNumType w:start="1"/>
          <w:cols w:space="0" w:num="1"/>
          <w:docGrid w:linePitch="312" w:charSpace="0"/>
        </w:sectPr>
      </w:pPr>
      <w:bookmarkStart w:id="217" w:name="_Toc182886647"/>
      <w:bookmarkStart w:id="218" w:name="_Toc372468300"/>
      <w:bookmarkStart w:id="219" w:name="_Toc183316709"/>
    </w:p>
    <w:p>
      <w:pPr>
        <w:ind w:left="420"/>
        <w:rPr>
          <w:highlight w:val="none"/>
        </w:rPr>
      </w:pPr>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pStyle w:val="2"/>
        <w:jc w:val="center"/>
        <w:rPr>
          <w:rFonts w:ascii="黑体" w:hAnsi="黑体" w:eastAsia="黑体" w:cs="黑体"/>
          <w:b/>
          <w:bCs/>
          <w:highlight w:val="none"/>
        </w:rPr>
      </w:pPr>
      <w:bookmarkStart w:id="220" w:name="_Toc2321"/>
      <w:bookmarkStart w:id="221" w:name="_Toc14045"/>
      <w:bookmarkStart w:id="222" w:name="_Toc14413"/>
      <w:r>
        <w:rPr>
          <w:rFonts w:hint="eastAsia" w:ascii="黑体" w:hAnsi="黑体" w:eastAsia="黑体" w:cs="黑体"/>
          <w:b/>
          <w:bCs/>
          <w:highlight w:val="none"/>
        </w:rPr>
        <w:t>第三章 用户需求书</w:t>
      </w:r>
      <w:bookmarkEnd w:id="220"/>
      <w:bookmarkEnd w:id="221"/>
      <w:bookmarkEnd w:id="222"/>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rFonts w:hint="eastAsia" w:ascii="黑体" w:eastAsia="黑体"/>
          <w:b/>
          <w:bCs/>
          <w:sz w:val="32"/>
          <w:szCs w:val="32"/>
          <w:highlight w:val="none"/>
        </w:rPr>
      </w:pPr>
      <w:r>
        <w:rPr>
          <w:rFonts w:hint="eastAsia" w:ascii="黑体" w:eastAsia="黑体"/>
          <w:b/>
          <w:bCs/>
          <w:sz w:val="32"/>
          <w:szCs w:val="32"/>
          <w:highlight w:val="none"/>
        </w:rPr>
        <w:br w:type="page"/>
      </w:r>
    </w:p>
    <w:p>
      <w:pPr>
        <w:spacing w:after="120" w:afterLines="50"/>
        <w:jc w:val="center"/>
        <w:rPr>
          <w:rFonts w:ascii="黑体" w:eastAsia="黑体"/>
          <w:b/>
          <w:bCs/>
          <w:sz w:val="32"/>
          <w:szCs w:val="32"/>
          <w:highlight w:val="none"/>
        </w:rPr>
      </w:pPr>
      <w:r>
        <w:rPr>
          <w:rFonts w:hint="eastAsia" w:ascii="黑体" w:eastAsia="黑体"/>
          <w:b/>
          <w:bCs/>
          <w:sz w:val="32"/>
          <w:szCs w:val="32"/>
          <w:highlight w:val="none"/>
        </w:rPr>
        <w:t>用户需求书</w:t>
      </w:r>
    </w:p>
    <w:p>
      <w:pPr>
        <w:numPr>
          <w:ilvl w:val="0"/>
          <w:numId w:val="64"/>
        </w:numPr>
        <w:tabs>
          <w:tab w:val="left" w:pos="567"/>
        </w:tabs>
        <w:autoSpaceDE w:val="0"/>
        <w:autoSpaceDN w:val="0"/>
        <w:adjustRightInd w:val="0"/>
        <w:snapToGrid w:val="0"/>
        <w:spacing w:line="360" w:lineRule="auto"/>
        <w:outlineLvl w:val="1"/>
        <w:rPr>
          <w:rFonts w:ascii="宋体" w:hAnsi="宋体" w:cs="宋体"/>
          <w:b/>
          <w:bCs/>
          <w:sz w:val="24"/>
          <w:highlight w:val="none"/>
        </w:rPr>
      </w:pPr>
      <w:bookmarkStart w:id="223" w:name="_Toc727383682"/>
      <w:bookmarkStart w:id="224" w:name="_Toc4264"/>
      <w:bookmarkStart w:id="225" w:name="_Toc774662770"/>
      <w:bookmarkStart w:id="226" w:name="_Toc32656"/>
      <w:bookmarkStart w:id="227" w:name="_Toc9914"/>
      <w:bookmarkStart w:id="228" w:name="_Toc22303"/>
      <w:bookmarkStart w:id="229" w:name="_Toc27271"/>
      <w:r>
        <w:rPr>
          <w:rFonts w:hint="eastAsia" w:ascii="宋体" w:hAnsi="宋体" w:cs="黑体"/>
          <w:b/>
          <w:bCs/>
          <w:sz w:val="24"/>
          <w:highlight w:val="none"/>
        </w:rPr>
        <w:t>总体要求</w:t>
      </w:r>
      <w:bookmarkEnd w:id="223"/>
      <w:bookmarkEnd w:id="224"/>
      <w:bookmarkEnd w:id="225"/>
      <w:bookmarkEnd w:id="226"/>
      <w:bookmarkEnd w:id="227"/>
      <w:bookmarkEnd w:id="228"/>
      <w:bookmarkEnd w:id="229"/>
    </w:p>
    <w:p>
      <w:pPr>
        <w:numPr>
          <w:ilvl w:val="0"/>
          <w:numId w:val="65"/>
        </w:numPr>
        <w:tabs>
          <w:tab w:val="left" w:pos="567"/>
          <w:tab w:val="left" w:pos="709"/>
          <w:tab w:val="left" w:pos="851"/>
        </w:tabs>
        <w:spacing w:line="360" w:lineRule="auto"/>
        <w:ind w:left="0" w:firstLine="480" w:firstLineChars="200"/>
        <w:rPr>
          <w:rFonts w:ascii="宋体" w:hAnsi="宋体" w:cs="宋体"/>
          <w:sz w:val="24"/>
          <w:highlight w:val="none"/>
        </w:rPr>
      </w:pPr>
      <w:r>
        <w:rPr>
          <w:rFonts w:hint="eastAsia" w:ascii="宋体" w:hAnsi="宋体" w:cs="宋体"/>
          <w:sz w:val="24"/>
          <w:highlight w:val="none"/>
        </w:rPr>
        <w:t>投标人须以</w:t>
      </w:r>
      <w:r>
        <w:rPr>
          <w:rFonts w:hint="eastAsia" w:ascii="宋体" w:hAnsi="宋体" w:cs="宋体"/>
          <w:sz w:val="24"/>
          <w:highlight w:val="none"/>
          <w:lang w:val="en-US" w:eastAsia="zh-CN"/>
        </w:rPr>
        <w:t>项目</w:t>
      </w:r>
      <w:r>
        <w:rPr>
          <w:rFonts w:hint="eastAsia" w:ascii="宋体" w:hAnsi="宋体" w:cs="宋体"/>
          <w:sz w:val="24"/>
          <w:highlight w:val="none"/>
        </w:rPr>
        <w:t>为单位对所有货物和服务进行整体投标，任何只对其中一部分内容进行的投标都被视为无效投标。</w:t>
      </w:r>
    </w:p>
    <w:p>
      <w:pPr>
        <w:numPr>
          <w:ilvl w:val="0"/>
          <w:numId w:val="65"/>
        </w:numPr>
        <w:tabs>
          <w:tab w:val="left" w:pos="567"/>
          <w:tab w:val="left" w:pos="709"/>
          <w:tab w:val="left" w:pos="851"/>
        </w:tabs>
        <w:spacing w:line="360" w:lineRule="auto"/>
        <w:ind w:left="0" w:firstLine="480" w:firstLineChars="200"/>
        <w:rPr>
          <w:rFonts w:ascii="宋体" w:hAnsi="宋体" w:cs="宋体"/>
          <w:sz w:val="24"/>
          <w:highlight w:val="none"/>
        </w:rPr>
      </w:pPr>
      <w:r>
        <w:rPr>
          <w:rFonts w:hint="eastAsia" w:ascii="宋体" w:hAnsi="宋体" w:cs="宋体"/>
          <w:sz w:val="24"/>
          <w:highlight w:val="none"/>
        </w:rPr>
        <w:t>投标人必须承诺提供原装、全新的、符合用户提出的有关质量标准的产品。</w:t>
      </w:r>
    </w:p>
    <w:p>
      <w:pPr>
        <w:numPr>
          <w:ilvl w:val="0"/>
          <w:numId w:val="65"/>
        </w:numPr>
        <w:tabs>
          <w:tab w:val="left" w:pos="567"/>
          <w:tab w:val="left" w:pos="709"/>
          <w:tab w:val="left" w:pos="851"/>
        </w:tabs>
        <w:spacing w:line="360" w:lineRule="auto"/>
        <w:ind w:left="0" w:firstLine="480" w:firstLineChars="200"/>
        <w:rPr>
          <w:rFonts w:ascii="宋体" w:hAnsi="宋体" w:cs="宋体"/>
          <w:sz w:val="24"/>
          <w:highlight w:val="none"/>
        </w:rPr>
      </w:pPr>
      <w:r>
        <w:rPr>
          <w:rFonts w:hint="eastAsia" w:ascii="宋体" w:hAnsi="宋体" w:cs="宋体"/>
          <w:sz w:val="24"/>
          <w:highlight w:val="none"/>
        </w:rPr>
        <w:t>中标人不得以任何方式转包或分包本项目。</w:t>
      </w:r>
    </w:p>
    <w:p>
      <w:pPr>
        <w:numPr>
          <w:ilvl w:val="0"/>
          <w:numId w:val="65"/>
        </w:numPr>
        <w:tabs>
          <w:tab w:val="left" w:pos="567"/>
          <w:tab w:val="left" w:pos="709"/>
          <w:tab w:val="left" w:pos="851"/>
        </w:tabs>
        <w:spacing w:line="360" w:lineRule="auto"/>
        <w:ind w:left="0" w:firstLine="480" w:firstLineChars="200"/>
        <w:rPr>
          <w:rFonts w:ascii="宋体" w:hAnsi="宋体" w:cs="宋体"/>
          <w:sz w:val="24"/>
          <w:highlight w:val="none"/>
        </w:rPr>
      </w:pPr>
      <w:r>
        <w:rPr>
          <w:rFonts w:hint="eastAsia" w:ascii="宋体" w:hAnsi="宋体" w:cs="宋体"/>
          <w:sz w:val="24"/>
          <w:highlight w:val="none"/>
        </w:rPr>
        <w:t>投标人所投报的产品应当是在中国境内合法销售，且符合国家有关部门规定的相应技术、节能、安全和环保标准；国家有关部门对投标人所投报的产品有强制性规定或要求的，投标人所投报的产品应当符合相应规定或</w:t>
      </w:r>
      <w:r>
        <w:rPr>
          <w:rFonts w:hint="eastAsia" w:ascii="宋体" w:hAnsi="宋体" w:cs="宋体"/>
          <w:sz w:val="24"/>
          <w:highlight w:val="none"/>
        </w:rPr>
        <w:t>要求。</w:t>
      </w:r>
    </w:p>
    <w:p>
      <w:pPr>
        <w:numPr>
          <w:ilvl w:val="0"/>
          <w:numId w:val="65"/>
        </w:numPr>
        <w:tabs>
          <w:tab w:val="left" w:pos="567"/>
          <w:tab w:val="left" w:pos="709"/>
          <w:tab w:val="left" w:pos="851"/>
        </w:tabs>
        <w:spacing w:line="360" w:lineRule="auto"/>
        <w:ind w:left="0" w:firstLine="482" w:firstLineChars="200"/>
        <w:rPr>
          <w:rFonts w:ascii="宋体" w:hAnsi="宋体" w:cs="宋体"/>
          <w:b/>
          <w:bCs/>
          <w:sz w:val="24"/>
          <w:highlight w:val="none"/>
        </w:rPr>
      </w:pPr>
      <w:r>
        <w:rPr>
          <w:rFonts w:hint="eastAsia" w:ascii="宋体" w:hAnsi="宋体" w:cs="宋体"/>
          <w:b/>
          <w:bCs/>
          <w:sz w:val="24"/>
          <w:highlight w:val="none"/>
        </w:rPr>
        <w:t>本章《用户需求书》中标注有“★”的条款为实质性的指标要求，必须一一响应。若有一项带“★”的指标要求未响应或不满足，将按报价无效处理。标注有“▲”的条款为重要条款，负偏离（不满足要求）将导致被扣分。</w:t>
      </w:r>
    </w:p>
    <w:p>
      <w:pPr>
        <w:numPr>
          <w:ilvl w:val="0"/>
          <w:numId w:val="65"/>
        </w:numPr>
        <w:tabs>
          <w:tab w:val="left" w:pos="567"/>
          <w:tab w:val="left" w:pos="709"/>
          <w:tab w:val="left" w:pos="851"/>
        </w:tabs>
        <w:spacing w:line="360" w:lineRule="auto"/>
        <w:ind w:left="0" w:firstLine="482" w:firstLineChars="200"/>
        <w:rPr>
          <w:rFonts w:ascii="宋体" w:hAnsi="宋体" w:cs="宋体"/>
          <w:b/>
          <w:bCs/>
          <w:sz w:val="24"/>
          <w:highlight w:val="none"/>
        </w:rPr>
      </w:pPr>
      <w:r>
        <w:rPr>
          <w:rFonts w:hint="eastAsia" w:ascii="宋体" w:hAnsi="宋体" w:cs="宋体"/>
          <w:b/>
          <w:bCs/>
          <w:sz w:val="24"/>
          <w:highlight w:val="none"/>
        </w:rPr>
        <w:t>所有★号、▲号条款均须提供加盖投标人公章确认的“产品彩页”或“技术说明书”</w:t>
      </w:r>
      <w:r>
        <w:rPr>
          <w:rFonts w:hint="eastAsia" w:ascii="宋体" w:hAnsi="宋体" w:cs="宋体"/>
          <w:b/>
          <w:bCs/>
          <w:sz w:val="24"/>
          <w:highlight w:val="none"/>
          <w:lang w:val="en-US" w:eastAsia="zh-CN"/>
        </w:rPr>
        <w:t>作为证明材料</w:t>
      </w:r>
      <w:r>
        <w:rPr>
          <w:rFonts w:hint="eastAsia" w:ascii="宋体" w:hAnsi="宋体" w:cs="宋体"/>
          <w:b/>
          <w:bCs/>
          <w:sz w:val="24"/>
          <w:highlight w:val="none"/>
        </w:rPr>
        <w:t>，若未按要求提供，则视为不满足要求。</w:t>
      </w:r>
    </w:p>
    <w:p>
      <w:pPr>
        <w:numPr>
          <w:ilvl w:val="0"/>
          <w:numId w:val="64"/>
        </w:numPr>
        <w:tabs>
          <w:tab w:val="left" w:pos="567"/>
        </w:tabs>
        <w:autoSpaceDE w:val="0"/>
        <w:autoSpaceDN w:val="0"/>
        <w:adjustRightInd w:val="0"/>
        <w:snapToGrid w:val="0"/>
        <w:spacing w:line="360" w:lineRule="auto"/>
        <w:outlineLvl w:val="1"/>
        <w:rPr>
          <w:rFonts w:ascii="宋体" w:hAnsi="宋体" w:cs="黑体"/>
          <w:b/>
          <w:bCs/>
          <w:sz w:val="24"/>
          <w:highlight w:val="none"/>
        </w:rPr>
      </w:pPr>
      <w:bookmarkStart w:id="230" w:name="_Toc27635"/>
      <w:bookmarkStart w:id="231" w:name="_Toc24568"/>
      <w:bookmarkStart w:id="232" w:name="_Toc4352"/>
      <w:bookmarkStart w:id="233" w:name="_Toc1660624650"/>
      <w:bookmarkStart w:id="234" w:name="_Toc692903461"/>
      <w:bookmarkStart w:id="235" w:name="_Toc423021950"/>
      <w:bookmarkStart w:id="236" w:name="_Toc686"/>
      <w:bookmarkStart w:id="237" w:name="_Toc30599"/>
      <w:r>
        <w:rPr>
          <w:rFonts w:hint="eastAsia" w:ascii="宋体" w:hAnsi="宋体" w:cs="黑体"/>
          <w:b/>
          <w:bCs/>
          <w:sz w:val="24"/>
          <w:highlight w:val="none"/>
        </w:rPr>
        <w:t>采购内容</w:t>
      </w:r>
      <w:bookmarkEnd w:id="230"/>
      <w:bookmarkEnd w:id="231"/>
      <w:bookmarkEnd w:id="232"/>
      <w:bookmarkEnd w:id="233"/>
    </w:p>
    <w:tbl>
      <w:tblPr>
        <w:tblStyle w:val="2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344"/>
        <w:gridCol w:w="2666"/>
        <w:gridCol w:w="922"/>
        <w:gridCol w:w="1029"/>
        <w:gridCol w:w="680"/>
        <w:gridCol w:w="1395"/>
        <w:gridCol w:w="1116"/>
        <w:gridCol w:w="10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PrEx>
        <w:trPr>
          <w:trHeight w:val="567" w:hRule="atLeast"/>
          <w:tblHeader/>
          <w:jc w:val="center"/>
        </w:trPr>
        <w:tc>
          <w:tcPr>
            <w:tcW w:w="1629" w:type="pct"/>
            <w:gridSpan w:val="2"/>
            <w:tcBorders>
              <w:left w:val="single" w:color="auto" w:sz="4" w:space="0"/>
            </w:tcBorders>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采购标的</w:t>
            </w:r>
          </w:p>
        </w:tc>
        <w:tc>
          <w:tcPr>
            <w:tcW w:w="499" w:type="pct"/>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是否核心产品</w:t>
            </w:r>
          </w:p>
        </w:tc>
        <w:tc>
          <w:tcPr>
            <w:tcW w:w="557" w:type="pct"/>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是否允许进口产品</w:t>
            </w:r>
          </w:p>
        </w:tc>
        <w:tc>
          <w:tcPr>
            <w:tcW w:w="368" w:type="pct"/>
            <w:shd w:val="clear" w:color="auto" w:fill="auto"/>
            <w:vAlign w:val="center"/>
          </w:tcPr>
          <w:p>
            <w:pPr>
              <w:jc w:val="center"/>
              <w:rPr>
                <w:rFonts w:ascii="宋体" w:hAnsi="宋体" w:cs="宋体"/>
                <w:b/>
                <w:bCs/>
                <w:sz w:val="22"/>
                <w:szCs w:val="22"/>
                <w:highlight w:val="none"/>
              </w:rPr>
            </w:pPr>
            <w:r>
              <w:rPr>
                <w:rFonts w:hint="eastAsia" w:ascii="宋体" w:hAnsi="宋体" w:cs="宋体"/>
                <w:b/>
                <w:bCs/>
                <w:sz w:val="22"/>
                <w:szCs w:val="22"/>
                <w:highlight w:val="none"/>
              </w:rPr>
              <w:t>数量</w:t>
            </w:r>
          </w:p>
        </w:tc>
        <w:tc>
          <w:tcPr>
            <w:tcW w:w="755" w:type="pct"/>
            <w:shd w:val="clear" w:color="auto" w:fill="auto"/>
            <w:vAlign w:val="center"/>
          </w:tcPr>
          <w:p>
            <w:pPr>
              <w:widowControl/>
              <w:jc w:val="center"/>
              <w:rPr>
                <w:rFonts w:ascii="宋体" w:hAnsi="宋体" w:cs="宋体"/>
                <w:b/>
                <w:bCs/>
                <w:sz w:val="22"/>
                <w:szCs w:val="22"/>
                <w:highlight w:val="none"/>
              </w:rPr>
            </w:pPr>
            <w:r>
              <w:rPr>
                <w:rFonts w:hint="eastAsia" w:ascii="宋体" w:hAnsi="宋体" w:cs="宋体"/>
                <w:b/>
                <w:bCs/>
                <w:sz w:val="22"/>
                <w:szCs w:val="22"/>
                <w:highlight w:val="none"/>
                <w:lang w:val="en-US" w:eastAsia="zh-CN"/>
              </w:rPr>
              <w:t>单价限价</w:t>
            </w:r>
            <w:r>
              <w:rPr>
                <w:rFonts w:hint="eastAsia" w:ascii="宋体" w:hAnsi="宋体" w:cs="宋体"/>
                <w:b/>
                <w:bCs/>
                <w:sz w:val="22"/>
                <w:szCs w:val="22"/>
                <w:highlight w:val="none"/>
              </w:rPr>
              <w:t>（万元）</w:t>
            </w:r>
          </w:p>
        </w:tc>
        <w:tc>
          <w:tcPr>
            <w:tcW w:w="604" w:type="pct"/>
            <w:shd w:val="clear" w:color="auto" w:fill="auto"/>
            <w:vAlign w:val="center"/>
          </w:tcPr>
          <w:p>
            <w:pPr>
              <w:widowControl/>
              <w:jc w:val="center"/>
              <w:rPr>
                <w:rFonts w:ascii="宋体" w:hAnsi="宋体" w:cs="宋体"/>
                <w:b/>
                <w:bCs/>
                <w:sz w:val="22"/>
                <w:szCs w:val="22"/>
                <w:highlight w:val="none"/>
              </w:rPr>
            </w:pPr>
            <w:r>
              <w:rPr>
                <w:rFonts w:hint="eastAsia" w:ascii="宋体" w:hAnsi="宋体" w:cs="宋体"/>
                <w:b/>
                <w:bCs/>
                <w:sz w:val="22"/>
                <w:szCs w:val="22"/>
                <w:highlight w:val="none"/>
              </w:rPr>
              <w:t>预算金额（万元）</w:t>
            </w:r>
          </w:p>
        </w:tc>
        <w:tc>
          <w:tcPr>
            <w:tcW w:w="586" w:type="pct"/>
            <w:shd w:val="clear" w:color="auto" w:fill="auto"/>
            <w:vAlign w:val="center"/>
          </w:tcPr>
          <w:p>
            <w:pPr>
              <w:widowControl/>
              <w:ind w:left="60"/>
              <w:jc w:val="center"/>
              <w:rPr>
                <w:rFonts w:ascii="宋体" w:hAnsi="宋体" w:cs="宋体"/>
                <w:b/>
                <w:bCs/>
                <w:sz w:val="22"/>
                <w:szCs w:val="22"/>
                <w:highlight w:val="none"/>
              </w:rPr>
            </w:pPr>
            <w:r>
              <w:rPr>
                <w:rFonts w:hint="eastAsia" w:ascii="宋体" w:hAnsi="宋体" w:cs="宋体"/>
                <w:b/>
                <w:bCs/>
                <w:sz w:val="22"/>
                <w:szCs w:val="22"/>
                <w:highlight w:val="none"/>
              </w:rPr>
              <w:t>交货期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6" w:type="pct"/>
            <w:tcBorders>
              <w:left w:val="single" w:color="auto" w:sz="4" w:space="0"/>
            </w:tcBorders>
            <w:shd w:val="clear" w:color="auto" w:fill="auto"/>
            <w:vAlign w:val="center"/>
          </w:tcPr>
          <w:p>
            <w:pPr>
              <w:numPr>
                <w:ilvl w:val="0"/>
                <w:numId w:val="66"/>
              </w:numPr>
              <w:jc w:val="center"/>
              <w:rPr>
                <w:rFonts w:ascii="宋体" w:hAnsi="宋体" w:cs="宋体"/>
                <w:sz w:val="22"/>
                <w:szCs w:val="22"/>
                <w:highlight w:val="none"/>
              </w:rPr>
            </w:pPr>
          </w:p>
        </w:tc>
        <w:tc>
          <w:tcPr>
            <w:tcW w:w="1443"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全自动核酸电泳和片段回收系统</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45</w:t>
            </w:r>
          </w:p>
        </w:tc>
        <w:tc>
          <w:tcPr>
            <w:tcW w:w="604" w:type="pct"/>
            <w:vMerge w:val="restart"/>
            <w:shd w:val="clear" w:color="auto" w:fill="auto"/>
            <w:vAlign w:val="center"/>
          </w:tcPr>
          <w:p>
            <w:pPr>
              <w:jc w:val="center"/>
              <w:rPr>
                <w:rFonts w:hint="default" w:ascii="宋体" w:hAnsi="宋体" w:eastAsia="宋体" w:cs="宋体"/>
                <w:sz w:val="22"/>
                <w:szCs w:val="22"/>
                <w:highlight w:val="none"/>
                <w:lang w:val="en-US" w:eastAsia="zh-CN"/>
              </w:rPr>
            </w:pPr>
            <w:r>
              <w:rPr>
                <w:rFonts w:hint="eastAsia" w:ascii="宋体" w:hAnsi="宋体" w:cs="宋体"/>
                <w:sz w:val="22"/>
                <w:szCs w:val="22"/>
                <w:highlight w:val="none"/>
                <w:lang w:val="en-US" w:eastAsia="zh-CN"/>
              </w:rPr>
              <w:t>680</w:t>
            </w:r>
          </w:p>
        </w:tc>
        <w:tc>
          <w:tcPr>
            <w:tcW w:w="586" w:type="pct"/>
            <w:vMerge w:val="restart"/>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r>
              <w:rPr>
                <w:rFonts w:hint="eastAsia" w:ascii="宋体" w:hAnsi="宋体" w:cs="宋体"/>
                <w:sz w:val="22"/>
                <w:szCs w:val="22"/>
                <w:highlight w:val="none"/>
              </w:rPr>
              <w:t>自合同签订之日起90个日历天内完成供货并交付验收。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jc w:val="center"/>
        </w:trPr>
        <w:tc>
          <w:tcPr>
            <w:tcW w:w="186" w:type="pct"/>
            <w:tcBorders>
              <w:left w:val="single" w:color="auto" w:sz="4" w:space="0"/>
            </w:tcBorders>
            <w:shd w:val="clear" w:color="auto" w:fill="auto"/>
            <w:vAlign w:val="center"/>
          </w:tcPr>
          <w:p>
            <w:pPr>
              <w:numPr>
                <w:ilvl w:val="0"/>
                <w:numId w:val="66"/>
              </w:numPr>
              <w:jc w:val="center"/>
              <w:rPr>
                <w:rFonts w:ascii="宋体" w:hAnsi="宋体" w:cs="宋体"/>
                <w:sz w:val="22"/>
                <w:szCs w:val="22"/>
                <w:highlight w:val="none"/>
              </w:rPr>
            </w:pPr>
          </w:p>
        </w:tc>
        <w:tc>
          <w:tcPr>
            <w:tcW w:w="1443"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原子吸收光谱仪</w:t>
            </w:r>
          </w:p>
        </w:tc>
        <w:tc>
          <w:tcPr>
            <w:tcW w:w="499" w:type="pct"/>
            <w:shd w:val="clear" w:color="auto" w:fill="auto"/>
            <w:vAlign w:val="center"/>
          </w:tcPr>
          <w:p>
            <w:pPr>
              <w:spacing w:line="400" w:lineRule="exac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是</w:t>
            </w: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75</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6" w:type="pct"/>
            <w:tcBorders>
              <w:left w:val="single" w:color="auto" w:sz="4" w:space="0"/>
            </w:tcBorders>
            <w:shd w:val="clear" w:color="auto" w:fill="auto"/>
            <w:vAlign w:val="center"/>
          </w:tcPr>
          <w:p>
            <w:pPr>
              <w:numPr>
                <w:ilvl w:val="0"/>
                <w:numId w:val="66"/>
              </w:numPr>
              <w:jc w:val="center"/>
              <w:rPr>
                <w:rFonts w:ascii="宋体" w:hAnsi="宋体" w:cs="宋体"/>
                <w:sz w:val="22"/>
                <w:szCs w:val="22"/>
                <w:highlight w:val="none"/>
              </w:rPr>
            </w:pPr>
          </w:p>
        </w:tc>
        <w:tc>
          <w:tcPr>
            <w:tcW w:w="1443"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ascii="宋体" w:hAnsi="宋体" w:cs="宋体"/>
                <w:sz w:val="22"/>
                <w:szCs w:val="22"/>
                <w:highlight w:val="none"/>
              </w:rPr>
              <w:t>质构仪</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40</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jc w:val="center"/>
        </w:trPr>
        <w:tc>
          <w:tcPr>
            <w:tcW w:w="186" w:type="pct"/>
            <w:tcBorders>
              <w:left w:val="single" w:color="auto" w:sz="4" w:space="0"/>
            </w:tcBorders>
            <w:shd w:val="clear" w:color="auto" w:fill="auto"/>
            <w:vAlign w:val="center"/>
          </w:tcPr>
          <w:p>
            <w:pPr>
              <w:numPr>
                <w:ilvl w:val="0"/>
                <w:numId w:val="66"/>
              </w:numPr>
              <w:jc w:val="center"/>
              <w:rPr>
                <w:rFonts w:ascii="宋体" w:hAnsi="宋体" w:cs="宋体"/>
                <w:sz w:val="22"/>
                <w:szCs w:val="22"/>
                <w:highlight w:val="none"/>
              </w:rPr>
            </w:pPr>
          </w:p>
        </w:tc>
        <w:tc>
          <w:tcPr>
            <w:tcW w:w="1443"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ascii="宋体" w:hAnsi="宋体" w:cs="宋体"/>
                <w:sz w:val="22"/>
                <w:szCs w:val="22"/>
                <w:highlight w:val="none"/>
              </w:rPr>
              <w:t>动态数字式气味仪</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23</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0" w:hRule="atLeast"/>
          <w:jc w:val="center"/>
        </w:trPr>
        <w:tc>
          <w:tcPr>
            <w:tcW w:w="186" w:type="pct"/>
            <w:tcBorders>
              <w:left w:val="single" w:color="auto" w:sz="4" w:space="0"/>
            </w:tcBorders>
            <w:shd w:val="clear" w:color="auto" w:fill="auto"/>
            <w:vAlign w:val="center"/>
          </w:tcPr>
          <w:p>
            <w:pPr>
              <w:numPr>
                <w:ilvl w:val="0"/>
                <w:numId w:val="66"/>
              </w:numPr>
              <w:jc w:val="center"/>
              <w:rPr>
                <w:rFonts w:hint="eastAsia" w:ascii="宋体" w:hAnsi="宋体" w:cs="宋体"/>
                <w:sz w:val="22"/>
                <w:szCs w:val="22"/>
                <w:highlight w:val="none"/>
                <w:lang w:eastAsia="zh-CN"/>
              </w:rPr>
            </w:pPr>
          </w:p>
        </w:tc>
        <w:tc>
          <w:tcPr>
            <w:tcW w:w="1443"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超高速冷冻离心机</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67</w:t>
            </w:r>
          </w:p>
        </w:tc>
        <w:tc>
          <w:tcPr>
            <w:tcW w:w="604" w:type="pct"/>
            <w:vMerge w:val="continue"/>
            <w:shd w:val="clear" w:color="auto" w:fill="auto"/>
            <w:vAlign w:val="center"/>
          </w:tcPr>
          <w:p>
            <w:pPr>
              <w:jc w:val="center"/>
              <w:rPr>
                <w:rFonts w:hint="default" w:ascii="宋体" w:hAnsi="宋体" w:eastAsia="宋体" w:cs="宋体"/>
                <w:sz w:val="22"/>
                <w:szCs w:val="22"/>
                <w:highlight w:val="none"/>
                <w:lang w:val="en-US" w:eastAsia="zh-CN"/>
              </w:rPr>
            </w:pPr>
          </w:p>
        </w:tc>
        <w:tc>
          <w:tcPr>
            <w:tcW w:w="586" w:type="pct"/>
            <w:vMerge w:val="continue"/>
            <w:shd w:val="clear" w:color="auto" w:fill="auto"/>
            <w:vAlign w:val="center"/>
          </w:tcPr>
          <w:p>
            <w:pPr>
              <w:spacing w:line="400" w:lineRule="exact"/>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86" w:type="pct"/>
            <w:tcBorders>
              <w:left w:val="single" w:color="auto" w:sz="4" w:space="0"/>
            </w:tcBorders>
            <w:shd w:val="clear" w:color="auto" w:fill="auto"/>
            <w:vAlign w:val="center"/>
          </w:tcPr>
          <w:p>
            <w:pPr>
              <w:numPr>
                <w:ilvl w:val="0"/>
                <w:numId w:val="66"/>
              </w:numPr>
              <w:jc w:val="center"/>
              <w:rPr>
                <w:rFonts w:ascii="宋体" w:hAnsi="宋体" w:cs="宋体"/>
                <w:sz w:val="22"/>
                <w:szCs w:val="22"/>
                <w:highlight w:val="none"/>
              </w:rPr>
            </w:pPr>
          </w:p>
        </w:tc>
        <w:tc>
          <w:tcPr>
            <w:tcW w:w="1443" w:type="pct"/>
            <w:tcBorders>
              <w:left w:val="single" w:color="auto" w:sz="4" w:space="0"/>
            </w:tcBorders>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三维立体及样带植物荧光成像系统</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eastAsia="宋体" w:cs="宋体"/>
                <w:b/>
                <w:bCs/>
                <w:kern w:val="2"/>
                <w:sz w:val="22"/>
                <w:szCs w:val="22"/>
                <w:highlight w:val="none"/>
                <w:lang w:val="en-US" w:eastAsia="zh-CN" w:bidi="ar-SA"/>
              </w:rPr>
            </w:pPr>
            <w:r>
              <w:rPr>
                <w:rFonts w:ascii="宋体" w:hAnsi="宋体" w:cs="宋体"/>
                <w:b/>
                <w:bCs/>
                <w:sz w:val="22"/>
                <w:szCs w:val="22"/>
                <w:highlight w:val="none"/>
              </w:rPr>
              <w:t>75</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6" w:type="pct"/>
            <w:tcBorders>
              <w:left w:val="single" w:color="auto" w:sz="4" w:space="0"/>
            </w:tcBorders>
            <w:shd w:val="clear" w:color="auto" w:fill="auto"/>
            <w:vAlign w:val="center"/>
          </w:tcPr>
          <w:p>
            <w:pPr>
              <w:numPr>
                <w:ilvl w:val="0"/>
                <w:numId w:val="66"/>
              </w:numPr>
              <w:jc w:val="center"/>
              <w:rPr>
                <w:rFonts w:hint="eastAsia" w:ascii="宋体" w:hAnsi="宋体" w:cs="宋体"/>
                <w:sz w:val="22"/>
                <w:szCs w:val="22"/>
                <w:highlight w:val="none"/>
              </w:rPr>
            </w:pPr>
          </w:p>
        </w:tc>
        <w:tc>
          <w:tcPr>
            <w:tcW w:w="1443"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hint="eastAsia" w:ascii="宋体" w:hAnsi="宋体" w:cs="宋体"/>
                <w:sz w:val="22"/>
                <w:szCs w:val="22"/>
                <w:highlight w:val="none"/>
              </w:rPr>
              <w:t>荧光定量PCR仪</w:t>
            </w:r>
          </w:p>
        </w:tc>
        <w:tc>
          <w:tcPr>
            <w:tcW w:w="499" w:type="pct"/>
            <w:shd w:val="clear" w:color="auto" w:fill="auto"/>
            <w:vAlign w:val="center"/>
          </w:tcPr>
          <w:p>
            <w:pPr>
              <w:spacing w:line="400" w:lineRule="exact"/>
              <w:jc w:val="center"/>
              <w:rPr>
                <w:rFonts w:ascii="宋体" w:hAnsi="宋体" w:eastAsia="宋体" w:cs="宋体"/>
                <w:kern w:val="2"/>
                <w:sz w:val="22"/>
                <w:szCs w:val="22"/>
                <w:highlight w:val="none"/>
                <w:lang w:val="en-US" w:eastAsia="zh-CN" w:bidi="ar-SA"/>
              </w:rPr>
            </w:pPr>
          </w:p>
        </w:tc>
        <w:tc>
          <w:tcPr>
            <w:tcW w:w="557"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49</w:t>
            </w:r>
          </w:p>
        </w:tc>
        <w:tc>
          <w:tcPr>
            <w:tcW w:w="604" w:type="pct"/>
            <w:vMerge w:val="continue"/>
            <w:shd w:val="clear" w:color="auto" w:fill="auto"/>
            <w:vAlign w:val="center"/>
          </w:tcPr>
          <w:p>
            <w:pPr>
              <w:jc w:val="center"/>
              <w:rPr>
                <w:rFonts w:hint="default" w:ascii="宋体" w:hAnsi="宋体" w:eastAsia="宋体" w:cs="宋体"/>
                <w:sz w:val="22"/>
                <w:szCs w:val="22"/>
                <w:highlight w:val="none"/>
                <w:lang w:val="en-US" w:eastAsia="zh-CN"/>
              </w:rPr>
            </w:pPr>
          </w:p>
        </w:tc>
        <w:tc>
          <w:tcPr>
            <w:tcW w:w="586" w:type="pct"/>
            <w:vMerge w:val="continue"/>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6" w:type="pct"/>
            <w:tcBorders>
              <w:left w:val="single" w:color="auto" w:sz="4" w:space="0"/>
            </w:tcBorders>
            <w:shd w:val="clear" w:color="auto" w:fill="auto"/>
            <w:vAlign w:val="center"/>
          </w:tcPr>
          <w:p>
            <w:pPr>
              <w:numPr>
                <w:ilvl w:val="0"/>
                <w:numId w:val="66"/>
              </w:numPr>
              <w:jc w:val="center"/>
              <w:rPr>
                <w:rFonts w:hint="eastAsia" w:ascii="宋体" w:hAnsi="宋体" w:cs="宋体"/>
                <w:sz w:val="22"/>
                <w:szCs w:val="22"/>
                <w:highlight w:val="none"/>
                <w:lang w:val="en-US" w:eastAsia="zh-CN"/>
              </w:rPr>
            </w:pPr>
          </w:p>
        </w:tc>
        <w:tc>
          <w:tcPr>
            <w:tcW w:w="1443"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ascii="宋体" w:hAnsi="宋体" w:cs="宋体"/>
                <w:sz w:val="22"/>
                <w:szCs w:val="22"/>
                <w:highlight w:val="none"/>
              </w:rPr>
              <w:t>遗传分析系统</w:t>
            </w:r>
          </w:p>
        </w:tc>
        <w:tc>
          <w:tcPr>
            <w:tcW w:w="499" w:type="pct"/>
            <w:shd w:val="clear" w:color="auto" w:fill="auto"/>
            <w:vAlign w:val="center"/>
          </w:tcPr>
          <w:p>
            <w:pPr>
              <w:spacing w:line="400" w:lineRule="exac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是</w:t>
            </w:r>
          </w:p>
        </w:tc>
        <w:tc>
          <w:tcPr>
            <w:tcW w:w="557"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196</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jc w:val="center"/>
              <w:rPr>
                <w:rFonts w:ascii="宋体" w:hAnsi="宋体" w:cs="宋体"/>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86" w:type="pct"/>
            <w:tcBorders>
              <w:left w:val="single" w:color="auto" w:sz="4" w:space="0"/>
            </w:tcBorders>
            <w:shd w:val="clear" w:color="auto" w:fill="auto"/>
            <w:vAlign w:val="center"/>
          </w:tcPr>
          <w:p>
            <w:pPr>
              <w:numPr>
                <w:ilvl w:val="0"/>
                <w:numId w:val="66"/>
              </w:numPr>
              <w:jc w:val="center"/>
              <w:rPr>
                <w:rFonts w:hint="eastAsia" w:ascii="宋体" w:hAnsi="宋体" w:cs="宋体"/>
                <w:sz w:val="22"/>
                <w:szCs w:val="22"/>
                <w:highlight w:val="none"/>
              </w:rPr>
            </w:pPr>
          </w:p>
        </w:tc>
        <w:tc>
          <w:tcPr>
            <w:tcW w:w="1443" w:type="pct"/>
            <w:tcBorders>
              <w:left w:val="single" w:color="auto" w:sz="4" w:space="0"/>
            </w:tcBorders>
            <w:shd w:val="clear" w:color="auto" w:fill="auto"/>
            <w:vAlign w:val="center"/>
          </w:tcPr>
          <w:p>
            <w:pPr>
              <w:spacing w:line="400" w:lineRule="exact"/>
              <w:jc w:val="center"/>
              <w:rPr>
                <w:rFonts w:ascii="宋体" w:hAnsi="宋体" w:cs="宋体"/>
                <w:sz w:val="22"/>
                <w:szCs w:val="22"/>
                <w:highlight w:val="none"/>
              </w:rPr>
            </w:pPr>
            <w:r>
              <w:rPr>
                <w:rFonts w:ascii="宋体" w:hAnsi="宋体" w:cs="宋体"/>
                <w:sz w:val="22"/>
                <w:szCs w:val="22"/>
                <w:highlight w:val="none"/>
              </w:rPr>
              <w:t>电感耦合等离子体质谱仪</w:t>
            </w:r>
          </w:p>
        </w:tc>
        <w:tc>
          <w:tcPr>
            <w:tcW w:w="499" w:type="pct"/>
            <w:shd w:val="clear" w:color="auto" w:fill="auto"/>
            <w:vAlign w:val="center"/>
          </w:tcPr>
          <w:p>
            <w:pPr>
              <w:spacing w:line="400" w:lineRule="exact"/>
              <w:jc w:val="center"/>
              <w:rPr>
                <w:rFonts w:hint="default" w:ascii="宋体" w:hAnsi="宋体" w:eastAsia="宋体" w:cs="宋体"/>
                <w:kern w:val="2"/>
                <w:sz w:val="22"/>
                <w:szCs w:val="22"/>
                <w:highlight w:val="none"/>
                <w:lang w:val="en-US" w:eastAsia="zh-CN" w:bidi="ar-SA"/>
              </w:rPr>
            </w:pPr>
            <w:r>
              <w:rPr>
                <w:rFonts w:hint="eastAsia" w:ascii="宋体" w:hAnsi="宋体" w:cs="宋体"/>
                <w:kern w:val="2"/>
                <w:sz w:val="22"/>
                <w:szCs w:val="22"/>
                <w:highlight w:val="none"/>
                <w:lang w:val="en-US" w:eastAsia="zh-CN" w:bidi="ar-SA"/>
              </w:rPr>
              <w:t>是</w:t>
            </w:r>
          </w:p>
        </w:tc>
        <w:tc>
          <w:tcPr>
            <w:tcW w:w="557"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是</w:t>
            </w:r>
          </w:p>
        </w:tc>
        <w:tc>
          <w:tcPr>
            <w:tcW w:w="368" w:type="pct"/>
            <w:shd w:val="clear" w:color="auto" w:fill="auto"/>
            <w:vAlign w:val="center"/>
          </w:tcPr>
          <w:p>
            <w:pPr>
              <w:spacing w:line="400" w:lineRule="exact"/>
              <w:jc w:val="center"/>
              <w:rPr>
                <w:rFonts w:hint="eastAsia" w:ascii="宋体" w:hAnsi="宋体" w:cs="宋体"/>
                <w:sz w:val="22"/>
                <w:szCs w:val="22"/>
                <w:highlight w:val="none"/>
              </w:rPr>
            </w:pPr>
            <w:r>
              <w:rPr>
                <w:rFonts w:hint="eastAsia" w:ascii="宋体" w:hAnsi="宋体" w:cs="宋体"/>
                <w:sz w:val="22"/>
                <w:szCs w:val="22"/>
                <w:highlight w:val="none"/>
              </w:rPr>
              <w:t>1套</w:t>
            </w:r>
          </w:p>
        </w:tc>
        <w:tc>
          <w:tcPr>
            <w:tcW w:w="755" w:type="pct"/>
            <w:shd w:val="clear" w:color="auto" w:fill="auto"/>
            <w:vAlign w:val="center"/>
          </w:tcPr>
          <w:p>
            <w:pPr>
              <w:spacing w:line="400" w:lineRule="exact"/>
              <w:jc w:val="center"/>
              <w:rPr>
                <w:rFonts w:ascii="宋体" w:hAnsi="宋体" w:cs="宋体"/>
                <w:b/>
                <w:bCs/>
                <w:sz w:val="22"/>
                <w:szCs w:val="22"/>
                <w:highlight w:val="none"/>
              </w:rPr>
            </w:pPr>
            <w:r>
              <w:rPr>
                <w:rFonts w:ascii="宋体" w:hAnsi="宋体" w:cs="宋体"/>
                <w:b/>
                <w:bCs/>
                <w:sz w:val="22"/>
                <w:szCs w:val="22"/>
                <w:highlight w:val="none"/>
              </w:rPr>
              <w:t>110</w:t>
            </w:r>
          </w:p>
        </w:tc>
        <w:tc>
          <w:tcPr>
            <w:tcW w:w="604" w:type="pct"/>
            <w:vMerge w:val="continue"/>
            <w:shd w:val="clear" w:color="auto" w:fill="auto"/>
            <w:vAlign w:val="center"/>
          </w:tcPr>
          <w:p>
            <w:pPr>
              <w:jc w:val="center"/>
              <w:rPr>
                <w:rFonts w:ascii="宋体" w:hAnsi="宋体" w:cs="宋体"/>
                <w:sz w:val="22"/>
                <w:szCs w:val="22"/>
                <w:highlight w:val="none"/>
              </w:rPr>
            </w:pPr>
          </w:p>
        </w:tc>
        <w:tc>
          <w:tcPr>
            <w:tcW w:w="586" w:type="pct"/>
            <w:vMerge w:val="continue"/>
            <w:shd w:val="clear" w:color="auto" w:fill="auto"/>
            <w:vAlign w:val="center"/>
          </w:tcPr>
          <w:p>
            <w:pPr>
              <w:jc w:val="center"/>
              <w:rPr>
                <w:rFonts w:ascii="宋体" w:hAnsi="宋体" w:cs="宋体"/>
                <w:sz w:val="22"/>
                <w:szCs w:val="22"/>
                <w:highlight w:val="none"/>
              </w:rPr>
            </w:pPr>
          </w:p>
        </w:tc>
      </w:tr>
      <w:bookmarkEnd w:id="234"/>
    </w:tbl>
    <w:p>
      <w:pPr>
        <w:numPr>
          <w:ilvl w:val="0"/>
          <w:numId w:val="64"/>
        </w:numPr>
        <w:tabs>
          <w:tab w:val="left" w:pos="567"/>
        </w:tabs>
        <w:autoSpaceDE w:val="0"/>
        <w:autoSpaceDN w:val="0"/>
        <w:adjustRightInd w:val="0"/>
        <w:snapToGrid w:val="0"/>
        <w:spacing w:before="120" w:beforeLines="50" w:line="360" w:lineRule="auto"/>
        <w:ind w:left="839"/>
        <w:outlineLvl w:val="1"/>
        <w:rPr>
          <w:rFonts w:ascii="宋体" w:hAnsi="宋体" w:cs="黑体"/>
          <w:b/>
          <w:bCs/>
          <w:sz w:val="24"/>
          <w:highlight w:val="none"/>
        </w:rPr>
      </w:pPr>
      <w:bookmarkStart w:id="238" w:name="_Toc21177"/>
      <w:bookmarkStart w:id="239" w:name="_Toc10489"/>
      <w:bookmarkStart w:id="240" w:name="_Toc1421016138"/>
      <w:bookmarkStart w:id="241" w:name="_Toc22989"/>
      <w:bookmarkStart w:id="242" w:name="_Toc16940"/>
      <w:r>
        <w:rPr>
          <w:rFonts w:hint="eastAsia" w:ascii="宋体" w:hAnsi="宋体" w:cs="黑体"/>
          <w:b/>
          <w:bCs/>
          <w:sz w:val="24"/>
          <w:highlight w:val="none"/>
        </w:rPr>
        <w:t>技术参数要求</w:t>
      </w:r>
      <w:bookmarkEnd w:id="238"/>
      <w:bookmarkEnd w:id="239"/>
      <w:bookmarkEnd w:id="240"/>
      <w:bookmarkEnd w:id="241"/>
      <w:bookmarkEnd w:id="242"/>
    </w:p>
    <w:p>
      <w:pPr>
        <w:outlineLvl w:val="2"/>
        <w:rPr>
          <w:highlight w:val="none"/>
        </w:rPr>
      </w:pPr>
      <w:bookmarkStart w:id="243" w:name="_Toc852593079"/>
      <w:bookmarkStart w:id="244" w:name="_Toc22082"/>
      <w:bookmarkStart w:id="245" w:name="_Toc13924"/>
      <w:r>
        <w:rPr>
          <w:b/>
          <w:sz w:val="24"/>
          <w:highlight w:val="none"/>
        </w:rPr>
        <w:t>附表一：</w:t>
      </w:r>
      <w:r>
        <w:rPr>
          <w:rFonts w:hint="eastAsia"/>
          <w:b/>
          <w:sz w:val="24"/>
          <w:highlight w:val="none"/>
        </w:rPr>
        <w:t>全自动核酸电泳和片段回收系统</w:t>
      </w:r>
      <w:bookmarkEnd w:id="243"/>
      <w:bookmarkEnd w:id="244"/>
      <w:bookmarkEnd w:id="245"/>
    </w:p>
    <w:tbl>
      <w:tblPr>
        <w:tblStyle w:val="29"/>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4"/>
        <w:gridCol w:w="760"/>
        <w:gridCol w:w="7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68" w:type="pct"/>
            <w:vAlign w:val="center"/>
          </w:tcPr>
          <w:p>
            <w:pPr>
              <w:jc w:val="center"/>
              <w:rPr>
                <w:rFonts w:ascii="宋体" w:hAnsi="宋体" w:cs="宋体"/>
                <w:b/>
                <w:bCs/>
                <w:sz w:val="24"/>
                <w:highlight w:val="none"/>
              </w:rPr>
            </w:pPr>
            <w:r>
              <w:rPr>
                <w:rFonts w:hint="eastAsia" w:ascii="宋体" w:hAnsi="宋体" w:cs="宋体"/>
                <w:b/>
                <w:bCs/>
                <w:sz w:val="24"/>
                <w:highlight w:val="none"/>
              </w:rPr>
              <w:t>参数性质</w:t>
            </w:r>
          </w:p>
        </w:tc>
        <w:tc>
          <w:tcPr>
            <w:tcW w:w="411" w:type="pct"/>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4120" w:type="pct"/>
            <w:vAlign w:val="center"/>
          </w:tcPr>
          <w:p>
            <w:pPr>
              <w:jc w:val="center"/>
              <w:rPr>
                <w:rFonts w:ascii="宋体" w:hAnsi="宋体" w:cs="宋体"/>
                <w:b/>
                <w:bCs/>
                <w:sz w:val="24"/>
                <w:highlight w:val="none"/>
              </w:rPr>
            </w:pPr>
            <w:r>
              <w:rPr>
                <w:rFonts w:hint="eastAsia" w:ascii="宋体" w:hAnsi="宋体" w:cs="宋体"/>
                <w:b/>
                <w:bCs/>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自动化脉冲场电泳分离回收DNA大片段，软件中设置回收片段起始bp和结束bp，区间片段自动回收到回收室中；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样品容量：</w:t>
            </w:r>
            <w:r>
              <w:rPr>
                <w:rFonts w:hint="eastAsia" w:ascii="宋体" w:hAnsi="宋体" w:cs="宋体"/>
                <w:sz w:val="24"/>
                <w:highlight w:val="none"/>
                <w:lang w:val="en-US" w:eastAsia="zh-CN"/>
              </w:rPr>
              <w:t>≥</w:t>
            </w:r>
            <w:r>
              <w:rPr>
                <w:rFonts w:hint="eastAsia" w:ascii="宋体" w:hAnsi="宋体" w:cs="宋体"/>
                <w:sz w:val="24"/>
                <w:highlight w:val="none"/>
              </w:rPr>
              <w:t>5个通道（4-5个样品/次）；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hint="eastAsia" w:ascii="宋体" w:hAnsi="宋体" w:cs="宋体"/>
                <w:sz w:val="24"/>
                <w:highlight w:val="none"/>
              </w:rPr>
            </w:pPr>
            <w:r>
              <w:rPr>
                <w:rFonts w:hint="eastAsia" w:ascii="宋体" w:hAnsi="宋体" w:cs="宋体"/>
                <w:sz w:val="24"/>
                <w:highlight w:val="none"/>
              </w:rPr>
              <w:t>最小上样量：带光学检测，200ng（基因组DNA）/15ng（限制性核酸片段）；不带光学检测，30ng（基因组DNA）/1ng（限制性核酸片段）；</w:t>
            </w:r>
          </w:p>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最大的上样量：10ug（基因组DNA）/4ug（限制性核酸片段）；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每个泳道有3个以上电极，</w:t>
            </w:r>
            <w:r>
              <w:rPr>
                <w:rFonts w:hint="eastAsia" w:ascii="宋体" w:hAnsi="宋体" w:cs="宋体"/>
                <w:sz w:val="24"/>
                <w:highlight w:val="none"/>
                <w:lang w:val="en-US" w:eastAsia="zh-CN"/>
              </w:rPr>
              <w:t>至少含</w:t>
            </w:r>
            <w:r>
              <w:rPr>
                <w:rFonts w:hint="eastAsia" w:ascii="宋体" w:hAnsi="宋体" w:cs="宋体"/>
                <w:sz w:val="24"/>
                <w:highlight w:val="none"/>
              </w:rPr>
              <w:t>加样端1个电极，分离端1个电极，回收端1个电极；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r>
              <w:rPr>
                <w:rFonts w:hint="eastAsia" w:ascii="宋体" w:hAnsi="宋体" w:cs="宋体"/>
                <w:b/>
                <w:bCs/>
                <w:sz w:val="24"/>
                <w:highlight w:val="none"/>
              </w:rPr>
              <w:t>▲</w:t>
            </w: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≥4个荧光激发光源，≥4个荧光检测器；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每个泳道采用独立的荧光激发光源和独立的荧光检测器检测；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color w:val="FF0000"/>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预制胶泳道的上样孔到回收孔之间凝胶泳道长度≥5cm；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r>
              <w:rPr>
                <w:rFonts w:hint="eastAsia" w:ascii="宋体" w:hAnsi="宋体" w:cs="宋体"/>
                <w:b/>
                <w:bCs/>
                <w:sz w:val="24"/>
                <w:highlight w:val="none"/>
              </w:rPr>
              <w:t>▲</w:t>
            </w: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单台设备包含脉冲场电泳模块，回收软件内置多种脉冲场电泳回收程序；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核酸片段大小回收范围：50-50,000bp（50bp-50kb）；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脉冲场回收试剂盒中包含≥30kb的marker条带；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核酸片段回收的精确性和重复性≤5%；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color w:val="FF0000"/>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回收率：50-80%；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color w:val="FF0000"/>
                <w:sz w:val="24"/>
                <w:highlight w:val="none"/>
              </w:rPr>
            </w:pPr>
            <w:r>
              <w:rPr>
                <w:rFonts w:hint="eastAsia" w:ascii="宋体" w:hAnsi="宋体" w:cs="宋体"/>
                <w:sz w:val="24"/>
                <w:highlight w:val="none"/>
              </w:rPr>
              <w:t>▲</w:t>
            </w: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预制胶芯片的保质期不少于16个月；</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应用：可回收酶切DNA片段用于克隆等传统分子生物学实验，支持一代测序、二代测序、三代测序各种文库制备：Paired-end文库、RNA-seq文库、miRNA-seq文库、ChIP-seq文库、外显子组测序文库、Nestera文库、PGM文库、Proton文库、RAD-seq文库、16S测序文库、目标捕获测序（Target-seq）转基因测序文库、临床样本测序文库、病原微生物测序文库、循环血cfDNA片段回收、肿瘤ctDNA片段回收等。10X Genomics文库回收。三代测序Pacbio 长片段文库回收、Nanopore长片段文库回收等。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8" w:type="pct"/>
            <w:vAlign w:val="center"/>
          </w:tcPr>
          <w:p>
            <w:pPr>
              <w:jc w:val="center"/>
              <w:rPr>
                <w:rFonts w:ascii="宋体" w:hAnsi="宋体" w:cs="宋体"/>
                <w:sz w:val="24"/>
                <w:highlight w:val="none"/>
              </w:rPr>
            </w:pPr>
          </w:p>
        </w:tc>
        <w:tc>
          <w:tcPr>
            <w:tcW w:w="411" w:type="pct"/>
            <w:vAlign w:val="center"/>
          </w:tcPr>
          <w:p>
            <w:pPr>
              <w:numPr>
                <w:ilvl w:val="0"/>
                <w:numId w:val="67"/>
              </w:numPr>
              <w:jc w:val="center"/>
              <w:rPr>
                <w:rFonts w:ascii="宋体" w:hAnsi="宋体" w:cs="宋体"/>
                <w:sz w:val="24"/>
                <w:highlight w:val="none"/>
              </w:rPr>
            </w:pPr>
          </w:p>
        </w:tc>
        <w:tc>
          <w:tcPr>
            <w:tcW w:w="4120" w:type="pct"/>
            <w:vAlign w:val="center"/>
          </w:tcPr>
          <w:p>
            <w:pPr>
              <w:numPr>
                <w:ilvl w:val="0"/>
                <w:numId w:val="68"/>
              </w:numPr>
              <w:spacing w:line="440" w:lineRule="exact"/>
              <w:ind w:left="5" w:hanging="5"/>
              <w:jc w:val="left"/>
              <w:rPr>
                <w:rFonts w:ascii="宋体" w:hAnsi="宋体" w:cs="宋体"/>
                <w:sz w:val="24"/>
                <w:highlight w:val="none"/>
              </w:rPr>
            </w:pPr>
            <w:r>
              <w:rPr>
                <w:rFonts w:hint="eastAsia" w:ascii="宋体" w:hAnsi="宋体" w:cs="宋体"/>
                <w:sz w:val="24"/>
                <w:highlight w:val="none"/>
              </w:rPr>
              <w:t>配置要求：</w:t>
            </w:r>
          </w:p>
          <w:p>
            <w:pPr>
              <w:numPr>
                <w:ilvl w:val="0"/>
                <w:numId w:val="69"/>
              </w:numPr>
              <w:spacing w:line="440" w:lineRule="exact"/>
              <w:rPr>
                <w:rFonts w:ascii="宋体" w:hAnsi="宋体" w:cs="宋体"/>
                <w:sz w:val="24"/>
                <w:highlight w:val="none"/>
              </w:rPr>
            </w:pPr>
            <w:r>
              <w:rPr>
                <w:rFonts w:hint="eastAsia" w:ascii="宋体" w:hAnsi="宋体" w:cs="宋体"/>
                <w:sz w:val="24"/>
                <w:highlight w:val="none"/>
              </w:rPr>
              <w:t>主机1台；</w:t>
            </w:r>
          </w:p>
          <w:p>
            <w:pPr>
              <w:numPr>
                <w:ilvl w:val="0"/>
                <w:numId w:val="69"/>
              </w:numPr>
              <w:spacing w:line="440" w:lineRule="exact"/>
              <w:rPr>
                <w:rFonts w:ascii="宋体" w:hAnsi="宋体" w:cs="宋体"/>
                <w:sz w:val="24"/>
                <w:highlight w:val="none"/>
              </w:rPr>
            </w:pPr>
            <w:r>
              <w:rPr>
                <w:rFonts w:hint="eastAsia" w:ascii="宋体" w:hAnsi="宋体" w:cs="宋体"/>
                <w:sz w:val="24"/>
                <w:highlight w:val="none"/>
              </w:rPr>
              <w:t>显示器1台；</w:t>
            </w:r>
          </w:p>
          <w:p>
            <w:pPr>
              <w:numPr>
                <w:ilvl w:val="0"/>
                <w:numId w:val="69"/>
              </w:numPr>
              <w:spacing w:line="440" w:lineRule="exact"/>
              <w:rPr>
                <w:rFonts w:ascii="宋体" w:hAnsi="宋体" w:cs="宋体"/>
                <w:sz w:val="24"/>
                <w:highlight w:val="none"/>
              </w:rPr>
            </w:pPr>
            <w:r>
              <w:rPr>
                <w:rFonts w:hint="eastAsia" w:ascii="宋体" w:hAnsi="宋体" w:cs="宋体"/>
                <w:sz w:val="24"/>
                <w:highlight w:val="none"/>
              </w:rPr>
              <w:t>键盘1个；</w:t>
            </w:r>
          </w:p>
          <w:p>
            <w:pPr>
              <w:numPr>
                <w:ilvl w:val="0"/>
                <w:numId w:val="69"/>
              </w:numPr>
              <w:spacing w:line="440" w:lineRule="exact"/>
              <w:rPr>
                <w:rFonts w:ascii="宋体" w:hAnsi="宋体" w:cs="宋体"/>
                <w:sz w:val="24"/>
                <w:highlight w:val="none"/>
              </w:rPr>
            </w:pPr>
            <w:r>
              <w:rPr>
                <w:rFonts w:hint="eastAsia" w:ascii="宋体" w:hAnsi="宋体" w:cs="宋体"/>
                <w:sz w:val="24"/>
                <w:highlight w:val="none"/>
              </w:rPr>
              <w:t>原版说明书1本；</w:t>
            </w:r>
          </w:p>
          <w:p>
            <w:pPr>
              <w:numPr>
                <w:ilvl w:val="0"/>
                <w:numId w:val="69"/>
              </w:numPr>
              <w:spacing w:line="440" w:lineRule="exact"/>
              <w:rPr>
                <w:rFonts w:ascii="宋体" w:hAnsi="宋体" w:cs="宋体"/>
                <w:sz w:val="24"/>
                <w:highlight w:val="none"/>
              </w:rPr>
            </w:pPr>
            <w:r>
              <w:rPr>
                <w:rFonts w:hint="eastAsia" w:ascii="宋体" w:hAnsi="宋体" w:cs="宋体"/>
                <w:sz w:val="24"/>
                <w:highlight w:val="none"/>
              </w:rPr>
              <w:t>光学校正板1个；</w:t>
            </w:r>
          </w:p>
          <w:p>
            <w:pPr>
              <w:numPr>
                <w:ilvl w:val="0"/>
                <w:numId w:val="69"/>
              </w:numPr>
              <w:spacing w:line="440" w:lineRule="exact"/>
              <w:rPr>
                <w:rFonts w:ascii="宋体" w:hAnsi="宋体" w:cs="宋体"/>
                <w:sz w:val="24"/>
                <w:highlight w:val="none"/>
              </w:rPr>
            </w:pPr>
            <w:r>
              <w:rPr>
                <w:rFonts w:hint="eastAsia" w:ascii="宋体" w:hAnsi="宋体" w:cs="宋体"/>
                <w:sz w:val="24"/>
                <w:highlight w:val="none"/>
              </w:rPr>
              <w:t>电极清洗板1个。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8" w:type="pct"/>
            <w:vAlign w:val="center"/>
          </w:tcPr>
          <w:p>
            <w:pPr>
              <w:jc w:val="center"/>
              <w:rPr>
                <w:rFonts w:ascii="宋体" w:hAnsi="宋体" w:cs="宋体"/>
                <w:sz w:val="24"/>
                <w:highlight w:val="none"/>
              </w:rPr>
            </w:pPr>
            <w:r>
              <w:rPr>
                <w:rFonts w:hint="eastAsia" w:ascii="宋体" w:hAnsi="宋体" w:cs="宋体"/>
                <w:sz w:val="24"/>
                <w:highlight w:val="none"/>
              </w:rPr>
              <w:t>说明</w:t>
            </w:r>
          </w:p>
        </w:tc>
        <w:tc>
          <w:tcPr>
            <w:tcW w:w="4531" w:type="pct"/>
            <w:gridSpan w:val="2"/>
          </w:tcPr>
          <w:p>
            <w:pPr>
              <w:spacing w:line="440" w:lineRule="exact"/>
              <w:jc w:val="left"/>
              <w:rPr>
                <w:rFonts w:ascii="宋体" w:hAnsi="宋体" w:cs="宋体"/>
                <w:sz w:val="24"/>
                <w:highlight w:val="none"/>
              </w:rPr>
            </w:pPr>
            <w:r>
              <w:rPr>
                <w:rFonts w:hint="eastAsia" w:ascii="宋体" w:hAnsi="宋体" w:cs="宋体"/>
                <w:sz w:val="24"/>
                <w:highlight w:val="none"/>
              </w:rPr>
              <w:t>打“★”号条款为实质性条款，若有任何一条负偏离或不满足则导致投标（响应）无效。</w:t>
            </w:r>
          </w:p>
          <w:p>
            <w:pPr>
              <w:spacing w:line="440" w:lineRule="exact"/>
              <w:jc w:val="left"/>
              <w:rPr>
                <w:rFonts w:ascii="宋体" w:hAnsi="宋体" w:cs="宋体"/>
                <w:sz w:val="24"/>
                <w:highlight w:val="none"/>
              </w:rPr>
            </w:pPr>
            <w:r>
              <w:rPr>
                <w:rFonts w:hint="eastAsia" w:ascii="宋体" w:hAnsi="宋体" w:cs="宋体"/>
                <w:sz w:val="24"/>
                <w:highlight w:val="none"/>
              </w:rPr>
              <w:t>打“▲”号条款为重要技术参数（如有），若有部分“▲”条款未响应或不满足，将根据评审要求影响其得分，但不作为无效投标（响应）条款。</w:t>
            </w:r>
          </w:p>
        </w:tc>
      </w:tr>
    </w:tbl>
    <w:p>
      <w:pPr>
        <w:outlineLvl w:val="2"/>
        <w:rPr>
          <w:rFonts w:hint="eastAsia"/>
          <w:b/>
          <w:sz w:val="24"/>
          <w:highlight w:val="none"/>
        </w:rPr>
      </w:pPr>
      <w:bookmarkStart w:id="246" w:name="_Toc1799"/>
      <w:bookmarkStart w:id="247" w:name="_Toc8081"/>
      <w:bookmarkStart w:id="248" w:name="_Toc1520985969"/>
      <w:r>
        <w:rPr>
          <w:b/>
          <w:sz w:val="24"/>
          <w:highlight w:val="none"/>
        </w:rPr>
        <w:br w:type="textWrapping"/>
      </w:r>
      <w:r>
        <w:rPr>
          <w:b/>
          <w:sz w:val="24"/>
          <w:highlight w:val="none"/>
        </w:rPr>
        <w:t>附表</w:t>
      </w:r>
      <w:r>
        <w:rPr>
          <w:rFonts w:hint="eastAsia"/>
          <w:b/>
          <w:sz w:val="24"/>
          <w:highlight w:val="none"/>
          <w:lang w:val="en-US" w:eastAsia="zh-CN"/>
        </w:rPr>
        <w:t>二</w:t>
      </w:r>
      <w:r>
        <w:rPr>
          <w:b/>
          <w:sz w:val="24"/>
          <w:highlight w:val="none"/>
        </w:rPr>
        <w:t>：</w:t>
      </w:r>
      <w:r>
        <w:rPr>
          <w:rFonts w:hint="eastAsia"/>
          <w:b/>
          <w:sz w:val="24"/>
          <w:highlight w:val="none"/>
        </w:rPr>
        <w:t>原子吸收光谱仪</w:t>
      </w:r>
      <w:bookmarkEnd w:id="246"/>
      <w:bookmarkEnd w:id="247"/>
    </w:p>
    <w:tbl>
      <w:tblPr>
        <w:tblStyle w:val="2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796"/>
        <w:gridCol w:w="701"/>
        <w:gridCol w:w="774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31" w:type="pct"/>
            <w:vAlign w:val="center"/>
          </w:tcPr>
          <w:p>
            <w:pPr>
              <w:jc w:val="center"/>
              <w:rPr>
                <w:rFonts w:ascii="宋体" w:hAnsi="宋体" w:cs="宋体"/>
                <w:b/>
                <w:bCs/>
                <w:sz w:val="24"/>
                <w:highlight w:val="none"/>
              </w:rPr>
            </w:pPr>
            <w:r>
              <w:rPr>
                <w:rFonts w:hint="eastAsia" w:ascii="宋体" w:hAnsi="宋体" w:cs="宋体"/>
                <w:b/>
                <w:bCs/>
                <w:sz w:val="24"/>
                <w:highlight w:val="none"/>
              </w:rPr>
              <w:t>参数性质</w:t>
            </w:r>
          </w:p>
        </w:tc>
        <w:tc>
          <w:tcPr>
            <w:tcW w:w="379" w:type="pct"/>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4189" w:type="pct"/>
            <w:vAlign w:val="center"/>
          </w:tcPr>
          <w:p>
            <w:pPr>
              <w:jc w:val="center"/>
              <w:rPr>
                <w:rFonts w:ascii="宋体" w:hAnsi="宋体" w:cs="宋体"/>
                <w:b/>
                <w:bCs/>
                <w:sz w:val="24"/>
                <w:highlight w:val="none"/>
              </w:rPr>
            </w:pPr>
            <w:r>
              <w:rPr>
                <w:rFonts w:hint="eastAsia" w:ascii="宋体" w:hAnsi="宋体" w:cs="宋体"/>
                <w:b/>
                <w:bCs/>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Chars="0"/>
              <w:jc w:val="left"/>
              <w:rPr>
                <w:rFonts w:ascii="宋体" w:hAnsi="宋体" w:cs="宋体"/>
                <w:sz w:val="24"/>
                <w:highlight w:val="none"/>
              </w:rPr>
            </w:pPr>
            <w:r>
              <w:rPr>
                <w:rFonts w:hint="eastAsia" w:ascii="宋体" w:hAnsi="宋体" w:cs="宋体"/>
                <w:sz w:val="24"/>
                <w:highlight w:val="none"/>
              </w:rPr>
              <w:t>主机：火焰/石墨妒全自动一体化设计，可在电脑上切换，不需光轴校准及光能量匹配；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Chars="0"/>
              <w:jc w:val="left"/>
              <w:rPr>
                <w:rFonts w:ascii="宋体" w:hAnsi="宋体" w:cs="宋体"/>
                <w:sz w:val="24"/>
                <w:highlight w:val="none"/>
              </w:rPr>
            </w:pPr>
            <w:r>
              <w:rPr>
                <w:rFonts w:hint="eastAsia" w:ascii="宋体" w:hAnsi="宋体" w:cs="宋体"/>
                <w:sz w:val="24"/>
                <w:highlight w:val="none"/>
              </w:rPr>
              <w:t>灯座：8灯，垂直灯架，自动对焦准直，任意2个灯(1个测试，1个预热)；</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Chars="0"/>
              <w:jc w:val="left"/>
              <w:rPr>
                <w:rFonts w:ascii="宋体" w:hAnsi="宋体" w:cs="宋体"/>
                <w:sz w:val="24"/>
                <w:highlight w:val="none"/>
              </w:rPr>
            </w:pPr>
            <w:r>
              <w:rPr>
                <w:rFonts w:hint="eastAsia" w:ascii="宋体" w:hAnsi="宋体" w:cs="宋体"/>
                <w:sz w:val="24"/>
                <w:highlight w:val="none"/>
              </w:rPr>
              <w:t>光学系统：火焰和石墨炉部分都采用实时双光束法，样品光束和参比光束同时检测，色散率:</w:t>
            </w:r>
            <w:r>
              <w:rPr>
                <w:rFonts w:hint="eastAsia" w:ascii="宋体" w:hAnsi="宋体" w:cs="宋体"/>
                <w:sz w:val="24"/>
                <w:highlight w:val="none"/>
                <w:lang w:val="en-US" w:eastAsia="zh-CN"/>
              </w:rPr>
              <w:t>≤</w:t>
            </w:r>
            <w:r>
              <w:rPr>
                <w:rFonts w:hint="eastAsia" w:ascii="宋体" w:hAnsi="宋体" w:cs="宋体"/>
                <w:sz w:val="24"/>
                <w:highlight w:val="none"/>
              </w:rPr>
              <w:t>0.5nm/mm；波长:18</w:t>
            </w:r>
            <w:r>
              <w:rPr>
                <w:rFonts w:hint="eastAsia" w:ascii="宋体" w:hAnsi="宋体" w:cs="宋体"/>
                <w:sz w:val="24"/>
                <w:highlight w:val="none"/>
                <w:lang w:val="en-US" w:eastAsia="zh-CN"/>
              </w:rPr>
              <w:t>5</w:t>
            </w:r>
            <w:r>
              <w:rPr>
                <w:rFonts w:hint="eastAsia" w:ascii="宋体" w:hAnsi="宋体" w:cs="宋体"/>
                <w:sz w:val="24"/>
                <w:highlight w:val="none"/>
              </w:rPr>
              <w:t xml:space="preserve">-900nm；具有不少于4个狭缝，狭缝宽度：不少于4档可调（0.2 nm；0.4 nm；1.3 nm；2.6nm）；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Chars="0"/>
              <w:jc w:val="left"/>
              <w:rPr>
                <w:rFonts w:ascii="宋体" w:hAnsi="宋体" w:cs="宋体"/>
                <w:sz w:val="24"/>
                <w:highlight w:val="none"/>
              </w:rPr>
            </w:pPr>
            <w:r>
              <w:rPr>
                <w:rFonts w:hint="eastAsia" w:ascii="宋体" w:hAnsi="宋体" w:cs="宋体"/>
                <w:sz w:val="24"/>
                <w:highlight w:val="none"/>
              </w:rPr>
              <w:t>C-T型光栅单色器；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Chars="0"/>
              <w:jc w:val="left"/>
              <w:rPr>
                <w:rFonts w:ascii="宋体" w:hAnsi="宋体" w:cs="宋体"/>
                <w:color w:val="auto"/>
                <w:sz w:val="24"/>
                <w:highlight w:val="none"/>
              </w:rPr>
            </w:pPr>
            <w:r>
              <w:rPr>
                <w:rFonts w:hint="eastAsia" w:ascii="宋体" w:hAnsi="宋体" w:cs="宋体"/>
                <w:color w:val="auto"/>
                <w:sz w:val="24"/>
                <w:highlight w:val="none"/>
              </w:rPr>
              <w:t>凹面衍射光栅：刻线≥1800线/mm，闪耀波长≥200nm，大面积光栅≥68.6*68.6mm，总有效刻线数≥122440条，焦距/色散率：400nm，1.3nm/mm；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auto"/>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auto"/>
                <w:sz w:val="24"/>
                <w:highlight w:val="none"/>
              </w:rPr>
            </w:pPr>
            <w:r>
              <w:rPr>
                <w:rFonts w:hint="eastAsia" w:ascii="宋体" w:hAnsi="宋体" w:cs="宋体"/>
                <w:color w:val="auto"/>
                <w:sz w:val="24"/>
                <w:highlight w:val="none"/>
              </w:rPr>
              <w:t>火焰+石墨炉；串联方式；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auto"/>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auto"/>
                <w:sz w:val="24"/>
                <w:highlight w:val="none"/>
              </w:rPr>
            </w:pPr>
            <w:r>
              <w:rPr>
                <w:rFonts w:hint="eastAsia" w:ascii="宋体" w:hAnsi="宋体" w:cs="宋体"/>
                <w:color w:val="auto"/>
                <w:sz w:val="24"/>
                <w:highlight w:val="none"/>
              </w:rPr>
              <w:t>火焰/石墨炉转换方式：直接在电脑上鼠标切换，不需光轴校准及光能量匹配；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auto"/>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auto"/>
                <w:sz w:val="24"/>
                <w:highlight w:val="none"/>
              </w:rPr>
            </w:pPr>
            <w:r>
              <w:rPr>
                <w:rFonts w:hint="eastAsia" w:ascii="宋体" w:hAnsi="宋体" w:cs="宋体"/>
                <w:color w:val="auto"/>
                <w:sz w:val="24"/>
                <w:highlight w:val="none"/>
              </w:rPr>
              <w:t>火焰控制系统：数码组阀，0.1ul流量定量输出；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auto"/>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auto"/>
                <w:sz w:val="24"/>
                <w:highlight w:val="none"/>
              </w:rPr>
            </w:pPr>
            <w:r>
              <w:rPr>
                <w:rFonts w:hint="eastAsia" w:ascii="宋体" w:hAnsi="宋体" w:cs="宋体"/>
                <w:color w:val="auto"/>
                <w:sz w:val="24"/>
                <w:highlight w:val="none"/>
              </w:rPr>
              <w:t>火焰部分：气体控制：灵敏度：检出限D（Cu）0.004mg/L，5ppm Cu吸光度</w:t>
            </w:r>
            <w:bookmarkStart w:id="249" w:name="OLE_LINK2"/>
            <w:r>
              <w:rPr>
                <w:rFonts w:hint="eastAsia" w:ascii="宋体" w:hAnsi="宋体" w:cs="宋体"/>
                <w:color w:val="auto"/>
                <w:sz w:val="24"/>
                <w:highlight w:val="none"/>
              </w:rPr>
              <w:t>≥</w:t>
            </w:r>
            <w:bookmarkEnd w:id="249"/>
            <w:r>
              <w:rPr>
                <w:rFonts w:hint="eastAsia" w:ascii="宋体" w:hAnsi="宋体" w:cs="宋体"/>
                <w:color w:val="auto"/>
                <w:sz w:val="24"/>
                <w:highlight w:val="none"/>
              </w:rPr>
              <w:t>0.1Abs；稳定性；火焰法 RSD≤0.5%；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31" w:type="pct"/>
            <w:vAlign w:val="center"/>
          </w:tcPr>
          <w:p>
            <w:pPr>
              <w:jc w:val="center"/>
              <w:rPr>
                <w:rFonts w:ascii="宋体" w:hAnsi="宋体" w:cs="宋体"/>
                <w:color w:val="auto"/>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auto"/>
                <w:sz w:val="24"/>
                <w:highlight w:val="none"/>
              </w:rPr>
            </w:pPr>
            <w:r>
              <w:rPr>
                <w:rFonts w:hint="eastAsia" w:ascii="宋体" w:hAnsi="宋体" w:cs="宋体"/>
                <w:color w:val="auto"/>
                <w:sz w:val="24"/>
                <w:highlight w:val="none"/>
              </w:rPr>
              <w:t>石墨炉部分：双向炉体温度控制，温度范围：室温-3000℃以上，光控升温，最大升温速率</w:t>
            </w:r>
            <w:r>
              <w:rPr>
                <w:rFonts w:hint="eastAsia" w:ascii="宋体" w:hAnsi="宋体" w:cs="宋体"/>
                <w:color w:val="auto"/>
                <w:sz w:val="24"/>
                <w:highlight w:val="none"/>
                <w:lang w:val="en-US" w:eastAsia="zh-CN"/>
              </w:rPr>
              <w:t>可达35</w:t>
            </w:r>
            <w:r>
              <w:rPr>
                <w:rFonts w:hint="eastAsia" w:ascii="宋体" w:hAnsi="宋体" w:cs="宋体"/>
                <w:color w:val="auto"/>
                <w:sz w:val="24"/>
                <w:highlight w:val="none"/>
              </w:rPr>
              <w:t>00℃/S，色度控温精度±5度（1000度以上）；石墨管：2800℃下可使用2000次以上；石墨炉特征质量：灵敏度：Cd特征质量为</w:t>
            </w:r>
            <w:r>
              <w:rPr>
                <w:rFonts w:hint="eastAsia"/>
                <w:color w:val="auto"/>
                <w:highlight w:val="none"/>
              </w:rPr>
              <w:t>≤</w:t>
            </w:r>
            <w:r>
              <w:rPr>
                <w:rFonts w:hint="eastAsia" w:ascii="宋体" w:hAnsi="宋体" w:cs="宋体"/>
                <w:color w:val="auto"/>
                <w:sz w:val="24"/>
                <w:highlight w:val="none"/>
              </w:rPr>
              <w:t xml:space="preserve">0.4pg，Pb为1.5pg,As为5.2pg；精密度：2ppbCd溶液重复性RSD≤3%（2ug/L镉标液重复七次测量）；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FF0000"/>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sz w:val="24"/>
                <w:highlight w:val="none"/>
              </w:rPr>
            </w:pPr>
            <w:r>
              <w:rPr>
                <w:rFonts w:hint="eastAsia" w:ascii="宋体" w:hAnsi="宋体" w:cs="宋体"/>
                <w:sz w:val="24"/>
                <w:highlight w:val="none"/>
              </w:rPr>
              <w:t>耐腐蚀，耐酸高效雾化器，可使用有机溶剂；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FF0000"/>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hint="eastAsia" w:ascii="宋体" w:hAnsi="宋体" w:cs="宋体"/>
                <w:sz w:val="24"/>
                <w:highlight w:val="none"/>
              </w:rPr>
            </w:pPr>
            <w:r>
              <w:rPr>
                <w:rFonts w:hint="eastAsia" w:ascii="宋体" w:hAnsi="宋体" w:cs="宋体"/>
                <w:sz w:val="24"/>
                <w:highlight w:val="none"/>
              </w:rPr>
              <w:t>石墨炉加热方式：纵向，加热速度快，无零点漂移；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FF0000"/>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hint="eastAsia" w:ascii="宋体" w:hAnsi="宋体" w:cs="宋体"/>
                <w:sz w:val="24"/>
                <w:highlight w:val="none"/>
              </w:rPr>
            </w:pPr>
            <w:r>
              <w:rPr>
                <w:rFonts w:hint="eastAsia" w:ascii="宋体" w:hAnsi="宋体" w:cs="宋体"/>
                <w:sz w:val="24"/>
                <w:highlight w:val="none"/>
              </w:rPr>
              <w:t>炉体温控室温至≥2800℃, 程序温控及过流保护3000℃；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color w:val="FF0000"/>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sz w:val="24"/>
                <w:highlight w:val="none"/>
              </w:rPr>
            </w:pPr>
            <w:r>
              <w:rPr>
                <w:rFonts w:hint="eastAsia" w:ascii="宋体" w:hAnsi="宋体" w:cs="宋体"/>
                <w:sz w:val="24"/>
                <w:highlight w:val="none"/>
              </w:rPr>
              <w:t>炉密闭性好，内外气流分别控制，气体消耗＜1升/分，内气流流速0～200ml/分四档（0,10,30,200）自动可调；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石墨管类型：标准石墨管，热解，普通，平台，双孔，杯形均可使用；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自动进样器：</w:t>
            </w:r>
            <w:r>
              <w:rPr>
                <w:rFonts w:hint="eastAsia" w:ascii="宋体" w:hAnsi="宋体" w:cs="宋体"/>
                <w:sz w:val="24"/>
                <w:highlight w:val="none"/>
              </w:rPr>
              <w:t>60～96位进样杯；</w:t>
            </w:r>
            <w:r>
              <w:rPr>
                <w:rFonts w:hint="eastAsia" w:ascii="宋体" w:hAnsi="宋体" w:cs="宋体"/>
                <w:color w:val="000000" w:themeColor="text1"/>
                <w:sz w:val="24"/>
                <w:highlight w:val="none"/>
                <w14:textFill>
                  <w14:solidFill>
                    <w14:schemeClr w14:val="tx1"/>
                  </w14:solidFill>
                </w14:textFill>
              </w:rPr>
              <w:t>可多次浓缩进样，加样速率不少于五档五速自动可调，进样精度RSD＜1%，可同时加入四种基改，进样</w:t>
            </w:r>
            <w:r>
              <w:rPr>
                <w:rFonts w:hint="eastAsia" w:ascii="宋体" w:hAnsi="宋体" w:cs="宋体"/>
                <w:color w:val="000000" w:themeColor="text1"/>
                <w:sz w:val="24"/>
                <w:highlight w:val="none"/>
                <w14:textFill>
                  <w14:solidFill>
                    <w14:schemeClr w14:val="tx1"/>
                  </w14:solidFill>
                </w14:textFill>
              </w:rPr>
              <w:t>体积</w:t>
            </w:r>
            <w:r>
              <w:rPr>
                <w:rFonts w:hint="default" w:ascii="Times New Roman" w:hAnsi="Times New Roman" w:cs="Times New Roman"/>
                <w:color w:val="000000" w:themeColor="text1"/>
                <w:sz w:val="24"/>
                <w:highlight w:val="none"/>
                <w14:textFill>
                  <w14:solidFill>
                    <w14:schemeClr w14:val="tx1"/>
                  </w14:solidFill>
                </w14:textFill>
              </w:rPr>
              <w:t>1~100μl</w:t>
            </w:r>
            <w:r>
              <w:rPr>
                <w:rFonts w:hint="eastAsia" w:ascii="宋体" w:hAnsi="宋体" w:cs="宋体"/>
                <w:color w:val="000000" w:themeColor="text1"/>
                <w:sz w:val="24"/>
                <w:highlight w:val="none"/>
                <w14:textFill>
                  <w14:solidFill>
                    <w14:schemeClr w14:val="tx1"/>
                  </w14:solidFill>
                </w14:textFill>
              </w:rPr>
              <w:t>；残液量：≤10</w:t>
            </w:r>
            <w:r>
              <w:rPr>
                <w:rFonts w:hint="eastAsia" w:ascii="宋体" w:hAnsi="宋体" w:cs="宋体"/>
                <w:color w:val="000000" w:themeColor="text1"/>
                <w:sz w:val="24"/>
                <w:highlight w:val="none"/>
                <w:vertAlign w:val="superscript"/>
                <w14:textFill>
                  <w14:solidFill>
                    <w14:schemeClr w14:val="tx1"/>
                  </w14:solidFill>
                </w14:textFill>
              </w:rPr>
              <w:t>-5</w:t>
            </w:r>
            <w:r>
              <w:rPr>
                <w:rFonts w:hint="eastAsia" w:ascii="宋体" w:hAnsi="宋体" w:cs="宋体"/>
                <w:color w:val="000000" w:themeColor="text1"/>
                <w:sz w:val="24"/>
                <w:highlight w:val="none"/>
                <w14:textFill>
                  <w14:solidFill>
                    <w14:schemeClr w14:val="tx1"/>
                  </w14:solidFill>
                </w14:textFill>
              </w:rPr>
              <w:t>（水溶液标准）（进样精度）；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具备石墨管记忆抑制功能，提高精密度和重现性；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防尘罩：内置防尘设计；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r>
              <w:rPr>
                <w:rFonts w:hint="eastAsia" w:ascii="宋体" w:hAnsi="宋体" w:cs="宋体"/>
                <w:color w:val="auto"/>
                <w:sz w:val="24"/>
                <w:highlight w:val="none"/>
              </w:rPr>
              <w:t>▲</w:t>
            </w: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火焰背景校正方式：火焰塞曼背景校正；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r>
              <w:rPr>
                <w:rFonts w:hint="eastAsia" w:ascii="宋体" w:hAnsi="宋体" w:cs="宋体"/>
                <w:color w:val="auto"/>
                <w:sz w:val="24"/>
                <w:highlight w:val="none"/>
              </w:rPr>
              <w:t>▲</w:t>
            </w: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石墨炉背景校正方式：石墨炉塞曼背景校正；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磁场强度：≥1.05Tesla(15A)；</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磁场类型：横向恒定磁场；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背景校正性能：不仅对连续光谱背景，对杂散光，精细结构背景均能校正，可校正</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4.00000Abs；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仪器性能指标要求：火焰灵敏度5ppm Cu≥0.1Abs；石墨炉特征质量Cd：</w:t>
            </w:r>
            <w:r>
              <w:rPr>
                <w:rFonts w:hint="eastAsia"/>
                <w:color w:val="000000" w:themeColor="text1"/>
                <w:highlight w:val="none"/>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0.4pg；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31" w:type="pct"/>
            <w:vAlign w:val="center"/>
          </w:tcPr>
          <w:p>
            <w:pPr>
              <w:jc w:val="center"/>
              <w:rPr>
                <w:rFonts w:ascii="宋体" w:hAnsi="宋体" w:cs="宋体"/>
                <w:sz w:val="24"/>
                <w:highlight w:val="none"/>
              </w:rPr>
            </w:pPr>
          </w:p>
        </w:tc>
        <w:tc>
          <w:tcPr>
            <w:tcW w:w="379" w:type="pct"/>
            <w:vAlign w:val="center"/>
          </w:tcPr>
          <w:p>
            <w:pPr>
              <w:numPr>
                <w:ilvl w:val="0"/>
                <w:numId w:val="70"/>
              </w:numPr>
              <w:ind w:left="420" w:leftChars="0" w:hanging="425" w:firstLineChars="0"/>
              <w:jc w:val="center"/>
              <w:rPr>
                <w:rFonts w:ascii="宋体" w:hAnsi="宋体" w:cs="宋体"/>
                <w:sz w:val="24"/>
                <w:highlight w:val="none"/>
              </w:rPr>
            </w:pPr>
          </w:p>
        </w:tc>
        <w:tc>
          <w:tcPr>
            <w:tcW w:w="4189" w:type="pct"/>
            <w:vAlign w:val="center"/>
          </w:tcPr>
          <w:p>
            <w:pPr>
              <w:numPr>
                <w:ilvl w:val="0"/>
                <w:numId w:val="0"/>
              </w:numPr>
              <w:spacing w:line="440" w:lineRule="exact"/>
              <w:ind w:left="5" w:leftChars="0" w:hanging="5" w:firstLineChars="0"/>
              <w:jc w:val="left"/>
              <w:rPr>
                <w:rFonts w:ascii="宋体" w:hAnsi="宋体" w:cs="宋体"/>
                <w:sz w:val="24"/>
                <w:highlight w:val="none"/>
              </w:rPr>
            </w:pPr>
            <w:r>
              <w:rPr>
                <w:rFonts w:hint="eastAsia" w:ascii="宋体" w:hAnsi="宋体" w:cs="宋体"/>
                <w:sz w:val="24"/>
                <w:highlight w:val="none"/>
              </w:rPr>
              <w:t>配置要求：</w:t>
            </w:r>
          </w:p>
          <w:p>
            <w:pPr>
              <w:numPr>
                <w:ilvl w:val="0"/>
                <w:numId w:val="71"/>
              </w:numPr>
              <w:spacing w:line="440" w:lineRule="exact"/>
              <w:rPr>
                <w:rFonts w:ascii="宋体" w:hAnsi="宋体" w:cs="宋体"/>
                <w:sz w:val="24"/>
                <w:highlight w:val="none"/>
              </w:rPr>
            </w:pPr>
            <w:r>
              <w:rPr>
                <w:rFonts w:ascii="宋体" w:hAnsi="宋体" w:cs="宋体"/>
                <w:sz w:val="24"/>
                <w:highlight w:val="none"/>
              </w:rPr>
              <w:t>原子吸收分光光度计主机1台</w:t>
            </w:r>
            <w:r>
              <w:rPr>
                <w:rFonts w:hint="eastAsia" w:ascii="宋体" w:hAnsi="宋体" w:cs="宋体"/>
                <w:sz w:val="24"/>
                <w:highlight w:val="none"/>
              </w:rPr>
              <w:t>；</w:t>
            </w:r>
          </w:p>
          <w:p>
            <w:pPr>
              <w:numPr>
                <w:ilvl w:val="0"/>
                <w:numId w:val="71"/>
              </w:numPr>
              <w:spacing w:line="440" w:lineRule="exact"/>
              <w:rPr>
                <w:rFonts w:ascii="宋体" w:hAnsi="宋体" w:cs="宋体"/>
                <w:sz w:val="24"/>
                <w:highlight w:val="none"/>
              </w:rPr>
            </w:pPr>
            <w:r>
              <w:rPr>
                <w:rFonts w:ascii="宋体" w:hAnsi="宋体" w:cs="宋体"/>
                <w:sz w:val="24"/>
                <w:highlight w:val="none"/>
              </w:rPr>
              <w:t>自动进样器1台</w:t>
            </w:r>
            <w:r>
              <w:rPr>
                <w:rFonts w:hint="eastAsia" w:ascii="宋体" w:hAnsi="宋体" w:cs="宋体"/>
                <w:sz w:val="24"/>
                <w:highlight w:val="none"/>
              </w:rPr>
              <w:t>；</w:t>
            </w:r>
          </w:p>
          <w:p>
            <w:pPr>
              <w:numPr>
                <w:ilvl w:val="0"/>
                <w:numId w:val="71"/>
              </w:numPr>
              <w:spacing w:line="440" w:lineRule="exact"/>
              <w:rPr>
                <w:rFonts w:ascii="宋体" w:hAnsi="宋体" w:cs="宋体"/>
                <w:sz w:val="24"/>
                <w:highlight w:val="none"/>
              </w:rPr>
            </w:pPr>
            <w:r>
              <w:rPr>
                <w:rFonts w:ascii="宋体" w:hAnsi="宋体" w:cs="宋体"/>
                <w:sz w:val="24"/>
                <w:highlight w:val="none"/>
              </w:rPr>
              <w:t>控制软件1套</w:t>
            </w:r>
            <w:r>
              <w:rPr>
                <w:rFonts w:hint="eastAsia" w:ascii="宋体" w:hAnsi="宋体" w:cs="宋体"/>
                <w:sz w:val="24"/>
                <w:highlight w:val="none"/>
              </w:rPr>
              <w:t>；</w:t>
            </w:r>
          </w:p>
          <w:p>
            <w:pPr>
              <w:numPr>
                <w:ilvl w:val="0"/>
                <w:numId w:val="71"/>
              </w:numPr>
              <w:spacing w:line="440" w:lineRule="exact"/>
              <w:rPr>
                <w:rFonts w:ascii="宋体" w:hAnsi="宋体" w:cs="宋体"/>
                <w:sz w:val="24"/>
                <w:highlight w:val="none"/>
              </w:rPr>
            </w:pPr>
            <w:r>
              <w:rPr>
                <w:rFonts w:ascii="宋体" w:hAnsi="宋体" w:cs="宋体"/>
                <w:sz w:val="24"/>
                <w:highlight w:val="none"/>
              </w:rPr>
              <w:t>控制电脑（装操作分析软件）1台</w:t>
            </w:r>
            <w:r>
              <w:rPr>
                <w:rFonts w:hint="eastAsia" w:ascii="宋体" w:hAnsi="宋体" w:cs="宋体"/>
                <w:sz w:val="24"/>
                <w:highlight w:val="none"/>
              </w:rPr>
              <w:t>；</w:t>
            </w:r>
          </w:p>
          <w:p>
            <w:pPr>
              <w:numPr>
                <w:ilvl w:val="0"/>
                <w:numId w:val="71"/>
              </w:numPr>
              <w:spacing w:line="440" w:lineRule="exact"/>
              <w:rPr>
                <w:rFonts w:ascii="宋体" w:hAnsi="宋体" w:cs="宋体"/>
                <w:sz w:val="24"/>
                <w:highlight w:val="none"/>
              </w:rPr>
            </w:pPr>
            <w:r>
              <w:rPr>
                <w:rFonts w:ascii="宋体" w:hAnsi="宋体" w:cs="宋体"/>
                <w:sz w:val="24"/>
                <w:highlight w:val="none"/>
              </w:rPr>
              <w:t>空气压缩机1台</w:t>
            </w:r>
            <w:r>
              <w:rPr>
                <w:rFonts w:hint="eastAsia" w:ascii="宋体" w:hAnsi="宋体" w:cs="宋体"/>
                <w:sz w:val="24"/>
                <w:highlight w:val="none"/>
              </w:rPr>
              <w:t>；</w:t>
            </w:r>
          </w:p>
          <w:p>
            <w:pPr>
              <w:numPr>
                <w:ilvl w:val="0"/>
                <w:numId w:val="71"/>
              </w:numPr>
              <w:spacing w:line="440" w:lineRule="exact"/>
              <w:rPr>
                <w:rFonts w:ascii="宋体" w:hAnsi="宋体" w:cs="宋体"/>
                <w:sz w:val="24"/>
                <w:highlight w:val="none"/>
              </w:rPr>
            </w:pPr>
            <w:r>
              <w:rPr>
                <w:rFonts w:ascii="宋体" w:hAnsi="宋体" w:cs="宋体"/>
                <w:sz w:val="24"/>
                <w:highlight w:val="none"/>
              </w:rPr>
              <w:t>冷却水循环系统1台</w:t>
            </w:r>
            <w:r>
              <w:rPr>
                <w:rFonts w:hint="eastAsia" w:ascii="宋体" w:hAnsi="宋体" w:cs="宋体"/>
                <w:sz w:val="24"/>
                <w:highlight w:val="none"/>
              </w:rPr>
              <w:t>；</w:t>
            </w:r>
          </w:p>
          <w:p>
            <w:pPr>
              <w:numPr>
                <w:ilvl w:val="0"/>
                <w:numId w:val="71"/>
              </w:numPr>
              <w:spacing w:line="440" w:lineRule="exact"/>
              <w:rPr>
                <w:rFonts w:ascii="宋体" w:hAnsi="宋体" w:cs="宋体"/>
                <w:sz w:val="24"/>
                <w:highlight w:val="none"/>
              </w:rPr>
            </w:pPr>
            <w:r>
              <w:rPr>
                <w:rFonts w:ascii="宋体" w:hAnsi="宋体" w:cs="宋体"/>
                <w:sz w:val="24"/>
                <w:highlight w:val="none"/>
              </w:rPr>
              <w:t>空心阴极灯14个</w:t>
            </w:r>
            <w:r>
              <w:rPr>
                <w:rFonts w:hint="eastAsia" w:ascii="宋体" w:hAnsi="宋体" w:cs="宋体"/>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1" w:type="pct"/>
            <w:vAlign w:val="center"/>
          </w:tcPr>
          <w:p>
            <w:pPr>
              <w:jc w:val="center"/>
              <w:rPr>
                <w:rFonts w:ascii="宋体" w:hAnsi="宋体" w:cs="宋体"/>
                <w:sz w:val="24"/>
                <w:highlight w:val="none"/>
              </w:rPr>
            </w:pPr>
            <w:r>
              <w:rPr>
                <w:rFonts w:hint="eastAsia" w:ascii="宋体" w:hAnsi="宋体" w:cs="宋体"/>
                <w:sz w:val="24"/>
                <w:highlight w:val="none"/>
              </w:rPr>
              <w:t>说明</w:t>
            </w:r>
          </w:p>
        </w:tc>
        <w:tc>
          <w:tcPr>
            <w:tcW w:w="4568" w:type="pct"/>
            <w:gridSpan w:val="2"/>
          </w:tcPr>
          <w:p>
            <w:pPr>
              <w:spacing w:line="440" w:lineRule="exact"/>
              <w:jc w:val="left"/>
              <w:rPr>
                <w:rFonts w:ascii="宋体" w:hAnsi="宋体" w:cs="宋体"/>
                <w:sz w:val="24"/>
                <w:highlight w:val="none"/>
              </w:rPr>
            </w:pPr>
            <w:r>
              <w:rPr>
                <w:rFonts w:hint="eastAsia" w:ascii="宋体" w:hAnsi="宋体" w:cs="宋体"/>
                <w:sz w:val="24"/>
                <w:highlight w:val="none"/>
              </w:rPr>
              <w:t>打“★”号条款为实质性条款，若有任何一条负偏离或不满足则导致投标（响应）无效。</w:t>
            </w:r>
          </w:p>
          <w:p>
            <w:pPr>
              <w:spacing w:line="440" w:lineRule="exact"/>
              <w:jc w:val="left"/>
              <w:rPr>
                <w:rFonts w:ascii="宋体" w:hAnsi="宋体" w:cs="宋体"/>
                <w:sz w:val="24"/>
                <w:highlight w:val="none"/>
              </w:rPr>
            </w:pPr>
            <w:r>
              <w:rPr>
                <w:rFonts w:hint="eastAsia" w:ascii="宋体" w:hAnsi="宋体" w:cs="宋体"/>
                <w:sz w:val="24"/>
                <w:highlight w:val="none"/>
              </w:rPr>
              <w:t>打“▲”号条款为重要技术参数（如有），若有部分“▲”条款未响应或不满足，将根据评审要求影响其得分，但不作为无效投标（响应）条款。</w:t>
            </w:r>
          </w:p>
        </w:tc>
      </w:tr>
    </w:tbl>
    <w:p>
      <w:pPr>
        <w:outlineLvl w:val="2"/>
        <w:rPr>
          <w:highlight w:val="none"/>
        </w:rPr>
      </w:pPr>
      <w:bookmarkStart w:id="250" w:name="_Toc15212"/>
      <w:bookmarkStart w:id="251" w:name="_Toc28620"/>
      <w:r>
        <w:rPr>
          <w:b/>
          <w:sz w:val="24"/>
          <w:highlight w:val="none"/>
        </w:rPr>
        <w:br w:type="textWrapping"/>
      </w:r>
      <w:r>
        <w:rPr>
          <w:b/>
          <w:sz w:val="24"/>
          <w:highlight w:val="none"/>
        </w:rPr>
        <w:t>附表</w:t>
      </w:r>
      <w:r>
        <w:rPr>
          <w:rFonts w:hint="eastAsia"/>
          <w:b/>
          <w:sz w:val="24"/>
          <w:highlight w:val="none"/>
          <w:lang w:val="en-US" w:eastAsia="zh-CN"/>
        </w:rPr>
        <w:t>三</w:t>
      </w:r>
      <w:r>
        <w:rPr>
          <w:b/>
          <w:sz w:val="24"/>
          <w:highlight w:val="none"/>
        </w:rPr>
        <w:t>：质构仪</w:t>
      </w:r>
      <w:bookmarkEnd w:id="250"/>
      <w:bookmarkEnd w:id="251"/>
    </w:p>
    <w:tbl>
      <w:tblPr>
        <w:tblStyle w:val="2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758"/>
        <w:gridCol w:w="7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70" w:type="pct"/>
            <w:noWrap w:val="0"/>
            <w:vAlign w:val="center"/>
          </w:tcPr>
          <w:p>
            <w:pPr>
              <w:jc w:val="center"/>
              <w:rPr>
                <w:rFonts w:ascii="宋体" w:hAnsi="宋体" w:cs="宋体"/>
                <w:b/>
                <w:bCs/>
                <w:sz w:val="24"/>
                <w:highlight w:val="none"/>
              </w:rPr>
            </w:pPr>
            <w:r>
              <w:rPr>
                <w:rFonts w:hint="eastAsia" w:ascii="宋体" w:hAnsi="宋体" w:cs="宋体"/>
                <w:b/>
                <w:bCs/>
                <w:sz w:val="24"/>
                <w:highlight w:val="none"/>
              </w:rPr>
              <w:t>参数性质</w:t>
            </w:r>
          </w:p>
        </w:tc>
        <w:tc>
          <w:tcPr>
            <w:tcW w:w="410" w:type="pct"/>
            <w:noWrap w:val="0"/>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4119" w:type="pct"/>
            <w:noWrap w:val="0"/>
            <w:vAlign w:val="center"/>
          </w:tcPr>
          <w:p>
            <w:pPr>
              <w:jc w:val="center"/>
              <w:rPr>
                <w:rFonts w:ascii="宋体" w:hAnsi="宋体" w:cs="宋体"/>
                <w:b/>
                <w:bCs/>
                <w:sz w:val="24"/>
                <w:highlight w:val="none"/>
              </w:rPr>
            </w:pPr>
            <w:r>
              <w:rPr>
                <w:rFonts w:hint="eastAsia" w:ascii="宋体" w:hAnsi="宋体" w:cs="宋体"/>
                <w:b/>
                <w:bCs/>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功能：面制品、粉制品及其食品品质分析评价，检测其嫩度、硬度、脆性、粘性、弹性、内聚性、咀嚼性、拉伸强度、抗压强度、穿透强度等各项物性指标；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color w:val="FF0000"/>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最大检测力量：≥250公斤；</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color w:val="FF0000"/>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color w:val="000000" w:themeColor="text1"/>
                <w:sz w:val="24"/>
                <w:highlight w:val="none"/>
                <w14:textFill>
                  <w14:solidFill>
                    <w14:schemeClr w14:val="tx1"/>
                  </w14:solidFill>
                </w14:textFill>
              </w:rPr>
              <w:t>力量检测精度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0.01g；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color w:val="FF0000"/>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检测行程≥480mm；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检测速度：0.01-45mm/s；</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位置控制解析度：0.0001mm；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color w:val="FF0000"/>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速度解析度：0.001mm/s，</w:t>
            </w:r>
            <w:r>
              <w:rPr>
                <w:rFonts w:hint="eastAsia" w:ascii="宋体" w:hAnsi="宋体" w:cs="宋体"/>
                <w:color w:val="000000" w:themeColor="text1"/>
                <w:sz w:val="24"/>
                <w:highlight w:val="none"/>
                <w14:textFill>
                  <w14:solidFill>
                    <w14:schemeClr w14:val="tx1"/>
                  </w14:solidFill>
                </w14:textFill>
              </w:rPr>
              <w:t>精度</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lang w:val="en-US"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0.1%；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数据采集率：最高可达1000组/秒，从0-1000组/秒，至少20,50,100，200，400,500组/秒5档可调；</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力量感应元：精度0.1g；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至少九种力量传感器可选：±2，10, 25, 50, 100, 250 ,500,1000，2500N等规格；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710" w:hRule="atLeast"/>
        </w:trPr>
        <w:tc>
          <w:tcPr>
            <w:tcW w:w="470" w:type="pct"/>
            <w:noWrap w:val="0"/>
            <w:vAlign w:val="center"/>
          </w:tcPr>
          <w:p>
            <w:pPr>
              <w:jc w:val="center"/>
              <w:rPr>
                <w:rFonts w:ascii="宋体" w:hAnsi="宋体" w:cs="宋体"/>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计算机控制：可对各种样品进行力学测试分析；分析软件可对仪器进行控制，选择各种检测分析模式及绘制分析曲线等；有检测模式自由编程功能，有数据计算内部编程功能，有检测过程记录和回放功能；原始数据结果保存成文本格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70" w:type="pct"/>
            <w:noWrap w:val="0"/>
            <w:vAlign w:val="center"/>
          </w:tcPr>
          <w:p>
            <w:pPr>
              <w:jc w:val="center"/>
              <w:rPr>
                <w:rFonts w:ascii="宋体" w:hAnsi="宋体" w:cs="宋体"/>
                <w:color w:val="FF0000"/>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力量传感器出厂前均通过力量精度检测,并提供具有CMA或CNAS资质的第三方检测机构出具的检测报告；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color w:val="FF0000"/>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操作软件可实现中英文语言自由切换；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color w:val="FF0000"/>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图形工作站性能不低于：CPU：i5-1</w:t>
            </w:r>
            <w:r>
              <w:rPr>
                <w:rFonts w:hint="eastAsia" w:ascii="宋体" w:hAnsi="宋体" w:cs="宋体"/>
                <w:sz w:val="24"/>
                <w:highlight w:val="none"/>
                <w:lang w:val="en-US" w:eastAsia="zh-CN"/>
              </w:rPr>
              <w:t>25</w:t>
            </w:r>
            <w:r>
              <w:rPr>
                <w:rFonts w:hint="eastAsia" w:ascii="宋体" w:hAnsi="宋体" w:cs="宋体"/>
                <w:sz w:val="24"/>
                <w:highlight w:val="none"/>
              </w:rPr>
              <w:t>00以上，RAM：16GB以上，SSD：1T以上，操作系统：WIN 10，屏幕：24寸以上；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70" w:type="pct"/>
            <w:noWrap w:val="0"/>
            <w:vAlign w:val="center"/>
          </w:tcPr>
          <w:p>
            <w:pPr>
              <w:jc w:val="center"/>
              <w:rPr>
                <w:rFonts w:ascii="宋体" w:hAnsi="宋体" w:cs="宋体"/>
                <w:sz w:val="24"/>
                <w:highlight w:val="none"/>
              </w:rPr>
            </w:pPr>
          </w:p>
        </w:tc>
        <w:tc>
          <w:tcPr>
            <w:tcW w:w="410" w:type="pct"/>
            <w:noWrap w:val="0"/>
            <w:vAlign w:val="center"/>
          </w:tcPr>
          <w:p>
            <w:pPr>
              <w:numPr>
                <w:ilvl w:val="0"/>
                <w:numId w:val="72"/>
              </w:numPr>
              <w:jc w:val="center"/>
              <w:rPr>
                <w:rFonts w:ascii="宋体" w:hAnsi="宋体" w:cs="宋体"/>
                <w:sz w:val="24"/>
                <w:highlight w:val="none"/>
              </w:rPr>
            </w:pPr>
          </w:p>
        </w:tc>
        <w:tc>
          <w:tcPr>
            <w:tcW w:w="4119"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配置要求：</w:t>
            </w:r>
          </w:p>
          <w:p>
            <w:pPr>
              <w:numPr>
                <w:ilvl w:val="0"/>
                <w:numId w:val="73"/>
              </w:numPr>
              <w:spacing w:line="440" w:lineRule="exact"/>
              <w:rPr>
                <w:rFonts w:ascii="宋体" w:hAnsi="宋体" w:cs="宋体"/>
                <w:sz w:val="24"/>
                <w:highlight w:val="none"/>
              </w:rPr>
            </w:pPr>
            <w:r>
              <w:rPr>
                <w:rFonts w:ascii="宋体" w:hAnsi="宋体" w:cs="宋体"/>
                <w:sz w:val="24"/>
                <w:highlight w:val="none"/>
              </w:rPr>
              <w:t>分析主机</w:t>
            </w:r>
            <w:r>
              <w:rPr>
                <w:rFonts w:hint="eastAsia" w:ascii="宋体" w:hAnsi="宋体" w:cs="宋体"/>
                <w:sz w:val="24"/>
                <w:highlight w:val="none"/>
              </w:rPr>
              <w:t>1</w:t>
            </w:r>
            <w:r>
              <w:rPr>
                <w:rFonts w:ascii="宋体" w:hAnsi="宋体" w:cs="宋体"/>
                <w:sz w:val="24"/>
                <w:highlight w:val="none"/>
              </w:rPr>
              <w:t>台</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hint="eastAsia" w:ascii="宋体" w:hAnsi="宋体" w:cs="宋体"/>
                <w:sz w:val="24"/>
                <w:highlight w:val="none"/>
              </w:rPr>
              <w:t>≥</w:t>
            </w:r>
            <w:r>
              <w:rPr>
                <w:rFonts w:ascii="宋体" w:hAnsi="宋体" w:cs="宋体"/>
                <w:sz w:val="24"/>
                <w:highlight w:val="none"/>
              </w:rPr>
              <w:t>3个力量传感器(带检测报告)：25N、500N、2500N</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样品台</w:t>
            </w:r>
            <w:r>
              <w:rPr>
                <w:rFonts w:hint="eastAsia" w:ascii="宋体" w:hAnsi="宋体" w:cs="宋体"/>
                <w:sz w:val="24"/>
                <w:highlight w:val="none"/>
              </w:rPr>
              <w:t>1</w:t>
            </w:r>
            <w:r>
              <w:rPr>
                <w:rFonts w:ascii="宋体" w:hAnsi="宋体" w:cs="宋体"/>
                <w:sz w:val="24"/>
                <w:highlight w:val="none"/>
              </w:rPr>
              <w:t>套</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圆盘测试配件</w:t>
            </w:r>
            <w:r>
              <w:rPr>
                <w:rFonts w:hint="eastAsia" w:ascii="宋体" w:hAnsi="宋体" w:cs="宋体"/>
                <w:sz w:val="24"/>
                <w:highlight w:val="none"/>
              </w:rPr>
              <w:t>1</w:t>
            </w:r>
            <w:r>
              <w:rPr>
                <w:rFonts w:ascii="宋体" w:hAnsi="宋体" w:cs="宋体"/>
                <w:sz w:val="24"/>
                <w:highlight w:val="none"/>
              </w:rPr>
              <w:t>个</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圆柱挤压检测配件</w:t>
            </w:r>
            <w:r>
              <w:rPr>
                <w:rFonts w:hint="eastAsia" w:ascii="宋体" w:hAnsi="宋体" w:cs="宋体"/>
                <w:sz w:val="24"/>
                <w:highlight w:val="none"/>
              </w:rPr>
              <w:t>1</w:t>
            </w:r>
            <w:r>
              <w:rPr>
                <w:rFonts w:ascii="宋体" w:hAnsi="宋体" w:cs="宋体"/>
                <w:sz w:val="24"/>
                <w:highlight w:val="none"/>
              </w:rPr>
              <w:t>个</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折断力测试配件</w:t>
            </w:r>
            <w:r>
              <w:rPr>
                <w:rFonts w:hint="eastAsia" w:ascii="宋体" w:hAnsi="宋体" w:cs="宋体"/>
                <w:sz w:val="24"/>
                <w:highlight w:val="none"/>
              </w:rPr>
              <w:t>1</w:t>
            </w:r>
            <w:r>
              <w:rPr>
                <w:rFonts w:ascii="宋体" w:hAnsi="宋体" w:cs="宋体"/>
                <w:sz w:val="24"/>
                <w:highlight w:val="none"/>
              </w:rPr>
              <w:t>套</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圆锥型检测配件</w:t>
            </w:r>
            <w:r>
              <w:rPr>
                <w:rFonts w:hint="eastAsia" w:ascii="宋体" w:hAnsi="宋体" w:cs="宋体"/>
                <w:sz w:val="24"/>
                <w:highlight w:val="none"/>
              </w:rPr>
              <w:t>1</w:t>
            </w:r>
            <w:r>
              <w:rPr>
                <w:rFonts w:ascii="宋体" w:hAnsi="宋体" w:cs="宋体"/>
                <w:sz w:val="24"/>
                <w:highlight w:val="none"/>
              </w:rPr>
              <w:t>个</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铝柱检测配件</w:t>
            </w:r>
            <w:r>
              <w:rPr>
                <w:rFonts w:hint="eastAsia" w:ascii="宋体" w:hAnsi="宋体" w:cs="宋体"/>
                <w:sz w:val="24"/>
                <w:highlight w:val="none"/>
              </w:rPr>
              <w:t>1</w:t>
            </w:r>
            <w:r>
              <w:rPr>
                <w:rFonts w:ascii="宋体" w:hAnsi="宋体" w:cs="宋体"/>
                <w:sz w:val="24"/>
                <w:highlight w:val="none"/>
              </w:rPr>
              <w:t>个</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延展性测试配件</w:t>
            </w:r>
            <w:r>
              <w:rPr>
                <w:rFonts w:hint="eastAsia" w:ascii="宋体" w:hAnsi="宋体" w:cs="宋体"/>
                <w:sz w:val="24"/>
                <w:highlight w:val="none"/>
              </w:rPr>
              <w:t>1</w:t>
            </w:r>
            <w:r>
              <w:rPr>
                <w:rFonts w:ascii="宋体" w:hAnsi="宋体" w:cs="宋体"/>
                <w:sz w:val="24"/>
                <w:highlight w:val="none"/>
              </w:rPr>
              <w:t>套</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轻型检测刀具</w:t>
            </w:r>
            <w:r>
              <w:rPr>
                <w:rFonts w:hint="eastAsia" w:ascii="宋体" w:hAnsi="宋体" w:cs="宋体"/>
                <w:sz w:val="24"/>
                <w:highlight w:val="none"/>
              </w:rPr>
              <w:t>1</w:t>
            </w:r>
            <w:r>
              <w:rPr>
                <w:rFonts w:ascii="宋体" w:hAnsi="宋体" w:cs="宋体"/>
                <w:sz w:val="24"/>
                <w:highlight w:val="none"/>
              </w:rPr>
              <w:t>个</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ascii="宋体" w:hAnsi="宋体" w:cs="宋体"/>
                <w:sz w:val="24"/>
                <w:highlight w:val="none"/>
              </w:rPr>
              <w:t>专用分析软件</w:t>
            </w:r>
            <w:r>
              <w:rPr>
                <w:rFonts w:hint="eastAsia" w:ascii="宋体" w:hAnsi="宋体" w:cs="宋体"/>
                <w:sz w:val="24"/>
                <w:highlight w:val="none"/>
              </w:rPr>
              <w:t>1</w:t>
            </w:r>
            <w:r>
              <w:rPr>
                <w:rFonts w:ascii="宋体" w:hAnsi="宋体" w:cs="宋体"/>
                <w:sz w:val="24"/>
                <w:highlight w:val="none"/>
              </w:rPr>
              <w:t>套</w:t>
            </w:r>
            <w:r>
              <w:rPr>
                <w:rFonts w:hint="eastAsia" w:ascii="宋体" w:hAnsi="宋体" w:cs="宋体"/>
                <w:sz w:val="24"/>
                <w:highlight w:val="none"/>
              </w:rPr>
              <w:t>；</w:t>
            </w:r>
          </w:p>
          <w:p>
            <w:pPr>
              <w:numPr>
                <w:ilvl w:val="0"/>
                <w:numId w:val="73"/>
              </w:numPr>
              <w:spacing w:line="440" w:lineRule="exact"/>
              <w:rPr>
                <w:rFonts w:ascii="宋体" w:hAnsi="宋体" w:cs="宋体"/>
                <w:sz w:val="24"/>
                <w:highlight w:val="none"/>
              </w:rPr>
            </w:pPr>
            <w:r>
              <w:rPr>
                <w:rFonts w:hint="eastAsia" w:ascii="宋体" w:hAnsi="宋体" w:cs="宋体"/>
                <w:sz w:val="24"/>
                <w:highlight w:val="none"/>
              </w:rPr>
              <w:t>图形</w:t>
            </w:r>
            <w:r>
              <w:rPr>
                <w:rFonts w:ascii="宋体" w:hAnsi="宋体" w:cs="宋体"/>
                <w:sz w:val="24"/>
                <w:highlight w:val="none"/>
              </w:rPr>
              <w:t>工作站</w:t>
            </w:r>
            <w:r>
              <w:rPr>
                <w:rFonts w:hint="eastAsia" w:ascii="宋体" w:hAnsi="宋体" w:cs="宋体"/>
                <w:sz w:val="24"/>
                <w:highlight w:val="none"/>
              </w:rPr>
              <w:t>1</w:t>
            </w:r>
            <w:r>
              <w:rPr>
                <w:rFonts w:ascii="宋体" w:hAnsi="宋体" w:cs="宋体"/>
                <w:sz w:val="24"/>
                <w:highlight w:val="none"/>
              </w:rPr>
              <w:t>台</w:t>
            </w:r>
            <w:r>
              <w:rPr>
                <w:rFonts w:hint="eastAsia" w:ascii="宋体" w:hAnsi="宋体" w:cs="宋体"/>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noWrap w:val="0"/>
            <w:vAlign w:val="center"/>
          </w:tcPr>
          <w:p>
            <w:pPr>
              <w:jc w:val="center"/>
              <w:rPr>
                <w:rFonts w:ascii="宋体" w:hAnsi="宋体" w:cs="宋体"/>
                <w:sz w:val="24"/>
                <w:highlight w:val="none"/>
              </w:rPr>
            </w:pPr>
            <w:r>
              <w:rPr>
                <w:rFonts w:hint="eastAsia" w:ascii="宋体" w:hAnsi="宋体" w:cs="宋体"/>
                <w:sz w:val="24"/>
                <w:highlight w:val="none"/>
              </w:rPr>
              <w:t>说明</w:t>
            </w:r>
          </w:p>
        </w:tc>
        <w:tc>
          <w:tcPr>
            <w:tcW w:w="4529" w:type="pct"/>
            <w:gridSpan w:val="2"/>
            <w:noWrap w:val="0"/>
            <w:vAlign w:val="top"/>
          </w:tcPr>
          <w:p>
            <w:pPr>
              <w:spacing w:line="440" w:lineRule="exact"/>
              <w:jc w:val="left"/>
              <w:rPr>
                <w:rFonts w:ascii="宋体" w:hAnsi="宋体" w:cs="宋体"/>
                <w:sz w:val="24"/>
                <w:highlight w:val="none"/>
              </w:rPr>
            </w:pPr>
            <w:r>
              <w:rPr>
                <w:rFonts w:hint="eastAsia" w:ascii="宋体" w:hAnsi="宋体" w:cs="宋体"/>
                <w:sz w:val="24"/>
                <w:highlight w:val="none"/>
              </w:rPr>
              <w:t>打“★”号条款为实质性条款，若有任何一条负偏离或不满足则导致投标（响应）无效。</w:t>
            </w:r>
          </w:p>
          <w:p>
            <w:pPr>
              <w:spacing w:line="440" w:lineRule="exact"/>
              <w:jc w:val="left"/>
              <w:rPr>
                <w:rFonts w:ascii="宋体" w:hAnsi="宋体" w:cs="宋体"/>
                <w:sz w:val="24"/>
                <w:highlight w:val="none"/>
              </w:rPr>
            </w:pPr>
            <w:r>
              <w:rPr>
                <w:rFonts w:hint="eastAsia" w:ascii="宋体" w:hAnsi="宋体" w:cs="宋体"/>
                <w:sz w:val="24"/>
                <w:highlight w:val="none"/>
              </w:rPr>
              <w:t>打“▲”号条款为重要技术参数（如有），若有部分“▲”条款未响应或不满足，将根据评审要求影响其得分，但不作为无效投标（响应）条款。</w:t>
            </w:r>
          </w:p>
        </w:tc>
      </w:tr>
    </w:tbl>
    <w:p>
      <w:pPr>
        <w:rPr>
          <w:b/>
          <w:sz w:val="24"/>
          <w:highlight w:val="none"/>
        </w:rPr>
      </w:pPr>
      <w:bookmarkStart w:id="252" w:name="_Toc8559"/>
      <w:r>
        <w:rPr>
          <w:b/>
          <w:sz w:val="24"/>
          <w:highlight w:val="none"/>
        </w:rPr>
        <w:br w:type="page"/>
      </w:r>
    </w:p>
    <w:p>
      <w:pPr>
        <w:outlineLvl w:val="2"/>
        <w:rPr>
          <w:b/>
          <w:sz w:val="24"/>
          <w:highlight w:val="none"/>
        </w:rPr>
      </w:pPr>
      <w:bookmarkStart w:id="253" w:name="_Toc32419"/>
      <w:r>
        <w:rPr>
          <w:b/>
          <w:sz w:val="24"/>
          <w:highlight w:val="none"/>
        </w:rPr>
        <w:t>附表</w:t>
      </w:r>
      <w:r>
        <w:rPr>
          <w:rFonts w:hint="eastAsia"/>
          <w:b/>
          <w:sz w:val="24"/>
          <w:highlight w:val="none"/>
          <w:lang w:val="en-US" w:eastAsia="zh-CN"/>
        </w:rPr>
        <w:t>四</w:t>
      </w:r>
      <w:r>
        <w:rPr>
          <w:b/>
          <w:sz w:val="24"/>
          <w:highlight w:val="none"/>
        </w:rPr>
        <w:t>：动态数字式气味仪</w:t>
      </w:r>
      <w:bookmarkEnd w:id="252"/>
      <w:bookmarkEnd w:id="253"/>
    </w:p>
    <w:tbl>
      <w:tblPr>
        <w:tblStyle w:val="29"/>
        <w:tblW w:w="5023"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59"/>
        <w:gridCol w:w="762"/>
        <w:gridCol w:w="766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63" w:type="pct"/>
            <w:noWrap w:val="0"/>
            <w:vAlign w:val="center"/>
          </w:tcPr>
          <w:p>
            <w:pPr>
              <w:jc w:val="center"/>
              <w:rPr>
                <w:rFonts w:ascii="宋体" w:hAnsi="宋体" w:cs="宋体"/>
                <w:b/>
                <w:bCs/>
                <w:sz w:val="24"/>
                <w:highlight w:val="none"/>
              </w:rPr>
            </w:pPr>
            <w:r>
              <w:rPr>
                <w:rFonts w:hint="eastAsia" w:ascii="宋体" w:hAnsi="宋体" w:cs="宋体"/>
                <w:b/>
                <w:bCs/>
                <w:sz w:val="24"/>
                <w:highlight w:val="none"/>
              </w:rPr>
              <w:t>参数性质</w:t>
            </w:r>
          </w:p>
        </w:tc>
        <w:tc>
          <w:tcPr>
            <w:tcW w:w="410" w:type="pct"/>
            <w:noWrap w:val="0"/>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4126" w:type="pct"/>
            <w:noWrap w:val="0"/>
            <w:vAlign w:val="center"/>
          </w:tcPr>
          <w:p>
            <w:pPr>
              <w:jc w:val="center"/>
              <w:rPr>
                <w:rFonts w:ascii="宋体" w:hAnsi="宋体" w:cs="宋体"/>
                <w:b/>
                <w:bCs/>
                <w:sz w:val="24"/>
                <w:highlight w:val="none"/>
              </w:rPr>
            </w:pPr>
            <w:r>
              <w:rPr>
                <w:rFonts w:hint="eastAsia" w:ascii="宋体" w:hAnsi="宋体" w:cs="宋体"/>
                <w:b/>
                <w:bCs/>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功能：辨别分析气体的种类；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可便携和在线使用，具备全自动空气进样、颗粒零气过滤、分析控制、自动反吹清洗、数据传输到后端实时查看功能；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both"/>
              <w:rPr>
                <w:rFonts w:ascii="宋体" w:hAnsi="宋体" w:cs="宋体"/>
                <w:sz w:val="24"/>
                <w:highlight w:val="none"/>
              </w:rPr>
            </w:pPr>
            <w:r>
              <w:rPr>
                <w:rFonts w:hint="eastAsia" w:ascii="宋体" w:hAnsi="宋体" w:cs="宋体"/>
                <w:sz w:val="24"/>
                <w:highlight w:val="none"/>
              </w:rPr>
              <w:t>配置不少于14支MEMS-MOS气敏传感器，灵敏度为ppm至ppb，传感器可单独插拔式，方便进行维护。工作温</w:t>
            </w:r>
            <w:r>
              <w:rPr>
                <w:rFonts w:hint="eastAsia" w:ascii="宋体" w:hAnsi="宋体" w:cs="宋体"/>
                <w:color w:val="000000" w:themeColor="text1"/>
                <w:sz w:val="24"/>
                <w:highlight w:val="none"/>
                <w14:textFill>
                  <w14:solidFill>
                    <w14:schemeClr w14:val="tx1"/>
                  </w14:solidFill>
                </w14:textFill>
              </w:rPr>
              <w:t>度：200-500℃，样品气体反应室为耐高温不锈钢体</w:t>
            </w:r>
            <w:r>
              <w:rPr>
                <w:rFonts w:hint="eastAsia" w:ascii="宋体" w:hAnsi="宋体" w:cs="宋体"/>
                <w:color w:val="000000" w:themeColor="text1"/>
                <w:sz w:val="24"/>
                <w:highlight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工作温度：2</w:t>
            </w:r>
            <w:r>
              <w:rPr>
                <w:rFonts w:hint="eastAsia" w:ascii="宋体" w:hAnsi="宋体" w:cs="宋体"/>
                <w:sz w:val="24"/>
                <w:highlight w:val="none"/>
              </w:rPr>
              <w:t>00-500℃</w:t>
            </w:r>
            <w:r>
              <w:rPr>
                <w:rFonts w:hint="eastAsia" w:ascii="宋体" w:hAnsi="宋体" w:cs="宋体"/>
                <w:sz w:val="24"/>
                <w:highlight w:val="none"/>
                <w:lang w:eastAsia="zh-CN"/>
              </w:rPr>
              <w:t>，</w:t>
            </w:r>
            <w:r>
              <w:rPr>
                <w:rFonts w:hint="eastAsia" w:ascii="宋体" w:hAnsi="宋体" w:cs="宋体"/>
                <w:sz w:val="24"/>
                <w:highlight w:val="none"/>
              </w:rPr>
              <w:t>分析速度一般＜3min/个；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具备PID传感器，电化学传感器成份定性传感器，用于相关风味成份的定性分析数量及种类；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FF0000"/>
                <w:sz w:val="24"/>
                <w:highlight w:val="none"/>
              </w:rPr>
            </w:pPr>
          </w:p>
        </w:tc>
        <w:tc>
          <w:tcPr>
            <w:tcW w:w="410" w:type="pct"/>
            <w:noWrap w:val="0"/>
            <w:vAlign w:val="center"/>
          </w:tcPr>
          <w:p>
            <w:pPr>
              <w:numPr>
                <w:ilvl w:val="0"/>
                <w:numId w:val="74"/>
              </w:numPr>
              <w:jc w:val="center"/>
              <w:rPr>
                <w:rFonts w:ascii="宋体" w:hAnsi="宋体" w:cs="宋体"/>
                <w:color w:val="000000" w:themeColor="text1"/>
                <w:sz w:val="24"/>
                <w:highlight w:val="none"/>
                <w14:textFill>
                  <w14:solidFill>
                    <w14:schemeClr w14:val="tx1"/>
                  </w14:solidFill>
                </w14:textFill>
              </w:rPr>
            </w:pPr>
          </w:p>
        </w:tc>
        <w:tc>
          <w:tcPr>
            <w:tcW w:w="4126" w:type="pct"/>
            <w:noWrap w:val="0"/>
            <w:vAlign w:val="center"/>
          </w:tcPr>
          <w:p>
            <w:pPr>
              <w:numPr>
                <w:ilvl w:val="0"/>
                <w:numId w:val="0"/>
              </w:numPr>
              <w:spacing w:line="440" w:lineRule="exact"/>
              <w:ind w:left="0"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可实现有线/无线传输模式；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color w:val="000000" w:themeColor="text1"/>
                <w:sz w:val="24"/>
                <w:highlight w:val="none"/>
                <w14:textFill>
                  <w14:solidFill>
                    <w14:schemeClr w14:val="tx1"/>
                  </w14:solidFill>
                </w14:textFill>
              </w:rPr>
            </w:pPr>
          </w:p>
        </w:tc>
        <w:tc>
          <w:tcPr>
            <w:tcW w:w="4126" w:type="pct"/>
            <w:noWrap w:val="0"/>
            <w:vAlign w:val="center"/>
          </w:tcPr>
          <w:p>
            <w:pPr>
              <w:numPr>
                <w:ilvl w:val="0"/>
                <w:numId w:val="0"/>
              </w:numPr>
              <w:spacing w:line="440" w:lineRule="exact"/>
              <w:ind w:left="0"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可根据需求进行报警浓度设置，预设指标超标后可通过声光信号向外界发出警报；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color w:val="000000" w:themeColor="text1"/>
                <w:sz w:val="24"/>
                <w:highlight w:val="none"/>
                <w14:textFill>
                  <w14:solidFill>
                    <w14:schemeClr w14:val="tx1"/>
                  </w14:solidFill>
                </w14:textFill>
              </w:rPr>
            </w:pPr>
          </w:p>
        </w:tc>
        <w:tc>
          <w:tcPr>
            <w:tcW w:w="4126" w:type="pct"/>
            <w:noWrap w:val="0"/>
            <w:vAlign w:val="center"/>
          </w:tcPr>
          <w:p>
            <w:pPr>
              <w:numPr>
                <w:ilvl w:val="0"/>
                <w:numId w:val="0"/>
              </w:numPr>
              <w:spacing w:line="440" w:lineRule="exact"/>
              <w:ind w:left="0"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不小于10寸屏幕，可设置检测参数，</w:t>
            </w:r>
            <w:r>
              <w:rPr>
                <w:rFonts w:hint="eastAsia" w:ascii="宋体" w:hAnsi="宋体" w:cs="宋体"/>
                <w:color w:val="000000" w:themeColor="text1"/>
                <w:sz w:val="24"/>
                <w:highlight w:val="none"/>
                <w:lang w:val="en-US" w:eastAsia="zh-CN"/>
                <w14:textFill>
                  <w14:solidFill>
                    <w14:schemeClr w14:val="tx1"/>
                  </w14:solidFill>
                </w14:textFill>
              </w:rPr>
              <w:t>数据连接等</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FF0000"/>
                <w:sz w:val="24"/>
                <w:highlight w:val="none"/>
              </w:rPr>
            </w:pPr>
          </w:p>
        </w:tc>
        <w:tc>
          <w:tcPr>
            <w:tcW w:w="410" w:type="pct"/>
            <w:noWrap w:val="0"/>
            <w:vAlign w:val="center"/>
          </w:tcPr>
          <w:p>
            <w:pPr>
              <w:numPr>
                <w:ilvl w:val="0"/>
                <w:numId w:val="74"/>
              </w:numPr>
              <w:jc w:val="center"/>
              <w:rPr>
                <w:rFonts w:ascii="宋体" w:hAnsi="宋体" w:cs="宋体"/>
                <w:color w:val="000000" w:themeColor="text1"/>
                <w:sz w:val="24"/>
                <w:highlight w:val="none"/>
                <w14:textFill>
                  <w14:solidFill>
                    <w14:schemeClr w14:val="tx1"/>
                  </w14:solidFill>
                </w14:textFill>
              </w:rPr>
            </w:pPr>
          </w:p>
        </w:tc>
        <w:tc>
          <w:tcPr>
            <w:tcW w:w="4126" w:type="pct"/>
            <w:noWrap w:val="0"/>
            <w:vAlign w:val="center"/>
          </w:tcPr>
          <w:p>
            <w:pPr>
              <w:numPr>
                <w:ilvl w:val="0"/>
                <w:numId w:val="0"/>
              </w:numPr>
              <w:spacing w:line="440" w:lineRule="exact"/>
              <w:ind w:left="0"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传感器舱体</w:t>
            </w:r>
            <w:r>
              <w:rPr>
                <w:rFonts w:hint="eastAsia" w:ascii="宋体" w:hAnsi="宋体" w:cs="宋体"/>
                <w:color w:val="000000" w:themeColor="text1"/>
                <w:sz w:val="24"/>
                <w:highlight w:val="none"/>
                <w:lang w:val="en-US" w:eastAsia="zh-CN"/>
                <w14:textFill>
                  <w14:solidFill>
                    <w14:schemeClr w14:val="tx1"/>
                  </w14:solidFill>
                </w14:textFill>
              </w:rPr>
              <w:t>具备</w:t>
            </w:r>
            <w:r>
              <w:rPr>
                <w:rFonts w:hint="eastAsia" w:ascii="宋体" w:hAnsi="宋体" w:cs="宋体"/>
                <w:color w:val="000000" w:themeColor="text1"/>
                <w:sz w:val="24"/>
                <w:highlight w:val="none"/>
                <w14:textFill>
                  <w14:solidFill>
                    <w14:schemeClr w14:val="tx1"/>
                  </w14:solidFill>
                </w14:textFill>
              </w:rPr>
              <w:t>避免恶臭样品因子交错造成舱体污染</w:t>
            </w:r>
            <w:r>
              <w:rPr>
                <w:rFonts w:hint="eastAsia" w:ascii="宋体" w:hAnsi="宋体" w:cs="宋体"/>
                <w:color w:val="000000" w:themeColor="text1"/>
                <w:sz w:val="24"/>
                <w:highlight w:val="none"/>
                <w:lang w:val="en-US" w:eastAsia="zh-CN"/>
                <w14:textFill>
                  <w14:solidFill>
                    <w14:schemeClr w14:val="tx1"/>
                  </w14:solidFill>
                </w14:textFill>
              </w:rPr>
              <w:t>的功能</w:t>
            </w:r>
            <w:r>
              <w:rPr>
                <w:rFonts w:hint="eastAsia" w:ascii="宋体" w:hAnsi="宋体" w:cs="宋体"/>
                <w:color w:val="000000" w:themeColor="text1"/>
                <w:sz w:val="24"/>
                <w:highlight w:val="none"/>
                <w14:textFill>
                  <w14:solidFill>
                    <w14:schemeClr w14:val="tx1"/>
                  </w14:solidFill>
                </w14:textFill>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color w:val="000000" w:themeColor="text1"/>
                <w:sz w:val="24"/>
                <w:highlight w:val="none"/>
                <w14:textFill>
                  <w14:solidFill>
                    <w14:schemeClr w14:val="tx1"/>
                  </w14:solidFill>
                </w14:textFill>
              </w:rPr>
            </w:pPr>
          </w:p>
        </w:tc>
        <w:tc>
          <w:tcPr>
            <w:tcW w:w="4126" w:type="pct"/>
            <w:noWrap w:val="0"/>
            <w:vAlign w:val="center"/>
          </w:tcPr>
          <w:p>
            <w:pPr>
              <w:numPr>
                <w:ilvl w:val="0"/>
                <w:numId w:val="0"/>
              </w:numPr>
              <w:spacing w:line="440" w:lineRule="exact"/>
              <w:ind w:left="0"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可选配</w:t>
            </w:r>
            <w:r>
              <w:rPr>
                <w:rFonts w:hint="eastAsia" w:ascii="宋体" w:hAnsi="宋体" w:cs="宋体"/>
                <w:color w:val="000000" w:themeColor="text1"/>
                <w:sz w:val="24"/>
                <w:highlight w:val="none"/>
                <w14:textFill>
                  <w14:solidFill>
                    <w14:schemeClr w14:val="tx1"/>
                  </w14:solidFill>
                </w14:textFill>
              </w:rPr>
              <w:t>自动留样系统，当预设指标超标后可通过有线/无线提供信号，发送给自动采样留样捕集控制阀系统，进行全自动无人控制采样留样；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color w:val="000000" w:themeColor="text1"/>
                <w:sz w:val="24"/>
                <w:highlight w:val="none"/>
                <w14:textFill>
                  <w14:solidFill>
                    <w14:schemeClr w14:val="tx1"/>
                  </w14:solidFill>
                </w14:textFill>
              </w:rPr>
            </w:pPr>
          </w:p>
        </w:tc>
        <w:tc>
          <w:tcPr>
            <w:tcW w:w="4126" w:type="pct"/>
            <w:noWrap w:val="0"/>
            <w:vAlign w:val="center"/>
          </w:tcPr>
          <w:p>
            <w:pPr>
              <w:numPr>
                <w:ilvl w:val="0"/>
                <w:numId w:val="0"/>
              </w:numPr>
              <w:spacing w:line="440" w:lineRule="exact"/>
              <w:ind w:left="0" w:firstLine="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val="en-US" w:eastAsia="zh-CN"/>
                <w14:textFill>
                  <w14:solidFill>
                    <w14:schemeClr w14:val="tx1"/>
                  </w14:solidFill>
                </w14:textFill>
              </w:rPr>
              <w:t>可选配</w:t>
            </w:r>
            <w:r>
              <w:rPr>
                <w:rFonts w:hint="eastAsia" w:ascii="宋体" w:hAnsi="宋体" w:cs="宋体"/>
                <w:color w:val="000000" w:themeColor="text1"/>
                <w:sz w:val="24"/>
                <w:highlight w:val="none"/>
                <w14:textFill>
                  <w14:solidFill>
                    <w14:schemeClr w14:val="tx1"/>
                  </w14:solidFill>
                </w14:textFill>
              </w:rPr>
              <w:t>与嗅辨功能进行配套，实现多达256台主机联网形成局域检测工作网络模式；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03" w:hRule="atLeast"/>
        </w:trPr>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在可测量浓度范围内，传感器均能实现线性响应；</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清洗方式：自动清洗；内置自动校准模式和自动清洗模式，保证在任何一次检测循环周期中都不受上次样品的干扰影响；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bookmarkStart w:id="254" w:name="OLE_LINK3"/>
            <w:r>
              <w:rPr>
                <w:rFonts w:hint="eastAsia" w:ascii="宋体" w:hAnsi="宋体" w:cs="宋体"/>
                <w:color w:val="auto"/>
                <w:sz w:val="24"/>
                <w:highlight w:val="none"/>
              </w:rPr>
              <w:t>▲</w:t>
            </w:r>
            <w:bookmarkEnd w:id="254"/>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监测主机具有温度湿度实时监测功能，并且具有温度湿度补偿算法，进而提高测试结果的准确度；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eastAsia="宋体" w:cs="宋体"/>
                <w:color w:val="auto"/>
                <w:kern w:val="2"/>
                <w:sz w:val="24"/>
                <w:szCs w:val="24"/>
                <w:highlight w:val="none"/>
                <w:lang w:val="en-US" w:eastAsia="zh-CN" w:bidi="ar-SA"/>
              </w:rPr>
            </w:pPr>
            <w:r>
              <w:rPr>
                <w:rFonts w:hint="eastAsia" w:ascii="宋体" w:hAnsi="宋体" w:cs="宋体"/>
                <w:color w:val="auto"/>
                <w:sz w:val="24"/>
                <w:highlight w:val="none"/>
              </w:rPr>
              <w:t>▲</w:t>
            </w: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color w:val="auto"/>
                <w:sz w:val="24"/>
                <w:highlight w:val="none"/>
              </w:rPr>
            </w:pPr>
            <w:r>
              <w:rPr>
                <w:rFonts w:hint="eastAsia" w:ascii="宋体" w:hAnsi="宋体" w:cs="宋体"/>
                <w:color w:val="auto"/>
                <w:sz w:val="24"/>
                <w:highlight w:val="none"/>
              </w:rPr>
              <w:t>传感器阵列：全不锈钢传感器舱体：不少于14个MEMS-MOS微机电系统金属氧化物气敏传感器；传感器舱体气体体积：小于5ml；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color w:val="auto"/>
                <w:sz w:val="24"/>
                <w:highlight w:val="none"/>
              </w:rPr>
            </w:pPr>
            <w:r>
              <w:rPr>
                <w:rFonts w:hint="eastAsia" w:ascii="宋体" w:hAnsi="宋体" w:cs="宋体"/>
                <w:color w:val="auto"/>
                <w:sz w:val="24"/>
                <w:highlight w:val="none"/>
              </w:rPr>
              <w:t>进样控制泵：流量最大可达1500ml/min，即1.5L/min，可调。进样针进样</w:t>
            </w:r>
            <w:r>
              <w:rPr>
                <w:rFonts w:hint="eastAsia"/>
                <w:color w:val="auto"/>
                <w:highlight w:val="none"/>
              </w:rPr>
              <w:t>≥</w:t>
            </w:r>
            <w:r>
              <w:rPr>
                <w:rFonts w:hint="eastAsia" w:ascii="宋体" w:hAnsi="宋体" w:cs="宋体"/>
                <w:color w:val="auto"/>
                <w:sz w:val="24"/>
                <w:highlight w:val="none"/>
              </w:rPr>
              <w:t>15ml；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工作外部温度范围：-20</w:t>
            </w:r>
            <w:r>
              <w:rPr>
                <w:rFonts w:hint="eastAsia" w:ascii="宋体" w:hAnsi="宋体" w:cs="宋体"/>
                <w:sz w:val="24"/>
                <w:highlight w:val="none"/>
                <w:lang w:val="en-US" w:eastAsia="zh-CN"/>
              </w:rPr>
              <w:t>-</w:t>
            </w:r>
            <w:r>
              <w:rPr>
                <w:rFonts w:hint="eastAsia" w:ascii="宋体" w:hAnsi="宋体" w:cs="宋体"/>
                <w:sz w:val="24"/>
                <w:highlight w:val="none"/>
              </w:rPr>
              <w:t>55℃；温度分辨率：</w:t>
            </w:r>
            <w:r>
              <w:rPr>
                <w:rFonts w:hint="eastAsia"/>
                <w:highlight w:val="none"/>
                <w:lang w:val="en-US" w:eastAsia="zh-CN"/>
              </w:rPr>
              <w:t>±</w:t>
            </w:r>
            <w:r>
              <w:rPr>
                <w:rFonts w:hint="eastAsia" w:ascii="宋体" w:hAnsi="宋体" w:cs="宋体"/>
                <w:sz w:val="24"/>
                <w:highlight w:val="none"/>
              </w:rPr>
              <w:t>0.1℃；温度稳定性：</w:t>
            </w:r>
            <w:r>
              <w:rPr>
                <w:rFonts w:hint="eastAsia"/>
                <w:highlight w:val="none"/>
                <w:lang w:val="en-US" w:eastAsia="zh-CN"/>
              </w:rPr>
              <w:t>±</w:t>
            </w:r>
            <w:r>
              <w:rPr>
                <w:rFonts w:hint="eastAsia" w:ascii="宋体" w:hAnsi="宋体" w:cs="宋体"/>
                <w:sz w:val="24"/>
                <w:highlight w:val="none"/>
              </w:rPr>
              <w:t>0.2℃；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湿度范围：0-95% RH（无冷凝）；湿度分辨率：</w:t>
            </w:r>
            <w:r>
              <w:rPr>
                <w:rFonts w:hint="eastAsia"/>
                <w:highlight w:val="none"/>
                <w:lang w:val="en-US" w:eastAsia="zh-CN"/>
              </w:rPr>
              <w:t>±</w:t>
            </w:r>
            <w:r>
              <w:rPr>
                <w:rFonts w:hint="eastAsia" w:ascii="宋体" w:hAnsi="宋体" w:cs="宋体"/>
                <w:sz w:val="24"/>
                <w:highlight w:val="none"/>
              </w:rPr>
              <w:t>1% RH；</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采样速率：1S/组；</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eastAsia="宋体" w:cs="宋体"/>
                <w:color w:val="auto"/>
                <w:kern w:val="2"/>
                <w:sz w:val="24"/>
                <w:szCs w:val="24"/>
                <w:highlight w:val="none"/>
                <w:lang w:val="en-US" w:eastAsia="zh-CN" w:bidi="ar-SA"/>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气路工作温度范围：程控20℃ - 45℃，保证样品原始稳定使用，不至于高温情况发生二次反应或变化；</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整体箱体重量≤25kg；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p>
        </w:tc>
        <w:tc>
          <w:tcPr>
            <w:tcW w:w="410" w:type="pct"/>
            <w:noWrap w:val="0"/>
            <w:vAlign w:val="center"/>
          </w:tcPr>
          <w:p>
            <w:pPr>
              <w:numPr>
                <w:ilvl w:val="0"/>
                <w:numId w:val="74"/>
              </w:numPr>
              <w:jc w:val="center"/>
              <w:rPr>
                <w:rFonts w:ascii="宋体" w:hAnsi="宋体" w:cs="宋体"/>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连接接口不少于：RS232*1；RJ45*1；USB*2；</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color w:val="auto"/>
                <w:sz w:val="24"/>
                <w:highlight w:val="none"/>
              </w:rPr>
            </w:pPr>
            <w:r>
              <w:rPr>
                <w:rFonts w:hint="eastAsia" w:ascii="宋体" w:hAnsi="宋体" w:cs="宋体"/>
                <w:color w:val="auto"/>
                <w:sz w:val="24"/>
                <w:highlight w:val="none"/>
              </w:rPr>
              <w:t>外观尺寸≤330mm×570mm×300mm；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numPr>
                <w:ilvl w:val="0"/>
                <w:numId w:val="0"/>
              </w:numPr>
              <w:spacing w:line="440" w:lineRule="exact"/>
              <w:ind w:left="0" w:firstLine="0"/>
              <w:jc w:val="left"/>
              <w:rPr>
                <w:rFonts w:ascii="宋体" w:hAnsi="宋体" w:cs="宋体"/>
                <w:color w:val="auto"/>
                <w:sz w:val="24"/>
                <w:highlight w:val="none"/>
              </w:rPr>
            </w:pPr>
            <w:r>
              <w:rPr>
                <w:rFonts w:hint="eastAsia" w:ascii="宋体" w:hAnsi="宋体" w:cs="宋体"/>
                <w:color w:val="auto"/>
                <w:sz w:val="24"/>
                <w:highlight w:val="none"/>
              </w:rPr>
              <w:t>电源、电压：输入110-220V AC /50Hz, 电压转化为：12V DC ；额定功率≤60W；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81" w:hRule="atLeast"/>
        </w:trPr>
        <w:tc>
          <w:tcPr>
            <w:tcW w:w="463" w:type="pct"/>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含全套的多功能多变量分析及升级应用功能；模式识别系统为人工神经网络系统；可</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通过对样品的气味的采集和检测，再通过算法进行区别判定等分析，得到2D和3D图形化显示的分析结果；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r>
              <w:rPr>
                <w:rFonts w:hint="eastAsia" w:ascii="宋体" w:hAnsi="宋体" w:cs="宋体"/>
                <w:color w:val="auto"/>
                <w:sz w:val="24"/>
                <w:highlight w:val="none"/>
              </w:rPr>
              <w:t>▲</w:t>
            </w: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rPr>
              <w:t>分析方法：至少包含：欧式距离、马氏距离、相关性分析、判别分析-DFA、KNN、决策树、高斯朴素贝叶斯、随机森林、人工神经网络MLP等；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spacing w:line="440" w:lineRule="exact"/>
              <w:jc w:val="left"/>
              <w:rPr>
                <w:rFonts w:ascii="宋体" w:hAnsi="宋体" w:cs="宋体"/>
                <w:color w:val="auto"/>
                <w:sz w:val="24"/>
                <w:highlight w:val="none"/>
              </w:rPr>
            </w:pPr>
            <w:r>
              <w:rPr>
                <w:rFonts w:hint="eastAsia" w:ascii="宋体" w:hAnsi="宋体" w:cs="宋体"/>
                <w:color w:val="auto"/>
                <w:sz w:val="24"/>
                <w:highlight w:val="none"/>
              </w:rPr>
              <w:t>显示传感器信号值，变化曲线，雷达叠加图，折现堆叠图；</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color w:val="auto"/>
                <w:sz w:val="24"/>
                <w:highlight w:val="none"/>
              </w:rPr>
            </w:pP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spacing w:line="440" w:lineRule="exact"/>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移动</w:t>
            </w:r>
            <w:r>
              <w:rPr>
                <w:rFonts w:hint="eastAsia" w:ascii="宋体" w:hAnsi="宋体" w:cs="宋体"/>
                <w:color w:val="auto"/>
                <w:sz w:val="24"/>
                <w:highlight w:val="none"/>
              </w:rPr>
              <w:t>工作站性能不低于</w:t>
            </w:r>
            <w:r>
              <w:rPr>
                <w:rFonts w:hint="eastAsia" w:ascii="宋体" w:hAnsi="宋体" w:cs="宋体"/>
                <w:color w:val="auto"/>
                <w:sz w:val="24"/>
                <w:highlight w:val="none"/>
                <w:lang w:eastAsia="zh-CN"/>
              </w:rPr>
              <w:t>以要求</w:t>
            </w:r>
            <w:r>
              <w:rPr>
                <w:rFonts w:hint="eastAsia" w:ascii="宋体" w:hAnsi="宋体" w:cs="宋体"/>
                <w:color w:val="auto"/>
                <w:sz w:val="24"/>
                <w:highlight w:val="none"/>
              </w:rPr>
              <w:t>：CPU：i5-1</w:t>
            </w:r>
            <w:r>
              <w:rPr>
                <w:rFonts w:hint="eastAsia" w:ascii="宋体" w:hAnsi="宋体" w:cs="宋体"/>
                <w:color w:val="auto"/>
                <w:sz w:val="24"/>
                <w:highlight w:val="none"/>
                <w:lang w:val="en-US" w:eastAsia="zh-CN"/>
              </w:rPr>
              <w:t>25</w:t>
            </w:r>
            <w:r>
              <w:rPr>
                <w:rFonts w:hint="eastAsia" w:ascii="宋体" w:hAnsi="宋体" w:cs="宋体"/>
                <w:color w:val="auto"/>
                <w:sz w:val="24"/>
                <w:highlight w:val="none"/>
              </w:rPr>
              <w:t>00以上，RAM：16GB以上，SSD：1T以上，操作系统：WIN 10，屏幕：</w:t>
            </w:r>
            <w:r>
              <w:rPr>
                <w:rFonts w:hint="eastAsia" w:ascii="宋体" w:hAnsi="宋体" w:cs="宋体"/>
                <w:color w:val="auto"/>
                <w:sz w:val="24"/>
                <w:highlight w:val="none"/>
                <w:lang w:val="en-US" w:eastAsia="zh-CN"/>
              </w:rPr>
              <w:t>14</w:t>
            </w:r>
            <w:r>
              <w:rPr>
                <w:rFonts w:hint="eastAsia" w:ascii="宋体" w:hAnsi="宋体" w:cs="宋体"/>
                <w:color w:val="auto"/>
                <w:sz w:val="24"/>
                <w:highlight w:val="none"/>
              </w:rPr>
              <w:t>寸以上；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3" w:type="pct"/>
            <w:noWrap w:val="0"/>
            <w:vAlign w:val="center"/>
          </w:tcPr>
          <w:p>
            <w:pPr>
              <w:jc w:val="center"/>
              <w:rPr>
                <w:rFonts w:ascii="宋体" w:hAnsi="宋体" w:cs="宋体"/>
                <w:color w:val="auto"/>
                <w:sz w:val="24"/>
                <w:highlight w:val="none"/>
              </w:rPr>
            </w:pPr>
          </w:p>
        </w:tc>
        <w:tc>
          <w:tcPr>
            <w:tcW w:w="410" w:type="pct"/>
            <w:noWrap w:val="0"/>
            <w:vAlign w:val="center"/>
          </w:tcPr>
          <w:p>
            <w:pPr>
              <w:numPr>
                <w:ilvl w:val="0"/>
                <w:numId w:val="74"/>
              </w:numPr>
              <w:jc w:val="center"/>
              <w:rPr>
                <w:rFonts w:ascii="宋体" w:hAnsi="宋体" w:cs="宋体"/>
                <w:color w:val="auto"/>
                <w:sz w:val="24"/>
                <w:highlight w:val="none"/>
              </w:rPr>
            </w:pPr>
          </w:p>
        </w:tc>
        <w:tc>
          <w:tcPr>
            <w:tcW w:w="4126" w:type="pct"/>
            <w:noWrap w:val="0"/>
            <w:vAlign w:val="center"/>
          </w:tcPr>
          <w:p>
            <w:pPr>
              <w:numPr>
                <w:ilvl w:val="0"/>
                <w:numId w:val="0"/>
              </w:numPr>
              <w:spacing w:line="440" w:lineRule="exact"/>
              <w:ind w:leftChars="0"/>
              <w:jc w:val="left"/>
              <w:rPr>
                <w:rFonts w:ascii="宋体" w:hAnsi="宋体" w:cs="宋体"/>
                <w:color w:val="auto"/>
                <w:sz w:val="24"/>
                <w:highlight w:val="none"/>
              </w:rPr>
            </w:pPr>
            <w:r>
              <w:rPr>
                <w:rFonts w:hint="eastAsia" w:ascii="宋体" w:hAnsi="宋体" w:cs="宋体"/>
                <w:color w:val="auto"/>
                <w:sz w:val="24"/>
                <w:highlight w:val="none"/>
              </w:rPr>
              <w:t>配置要求：</w:t>
            </w:r>
          </w:p>
          <w:p>
            <w:pPr>
              <w:numPr>
                <w:ilvl w:val="0"/>
                <w:numId w:val="75"/>
              </w:numPr>
              <w:spacing w:line="440" w:lineRule="exact"/>
              <w:rPr>
                <w:rFonts w:ascii="宋体" w:hAnsi="宋体" w:cs="宋体"/>
                <w:color w:val="auto"/>
                <w:sz w:val="24"/>
                <w:highlight w:val="none"/>
              </w:rPr>
            </w:pPr>
            <w:r>
              <w:rPr>
                <w:rFonts w:ascii="宋体" w:hAnsi="宋体" w:cs="宋体"/>
                <w:color w:val="auto"/>
                <w:sz w:val="24"/>
                <w:highlight w:val="none"/>
              </w:rPr>
              <w:t>多</w:t>
            </w:r>
            <w:r>
              <w:rPr>
                <w:rFonts w:hint="eastAsia" w:ascii="宋体" w:hAnsi="宋体" w:cs="宋体"/>
                <w:color w:val="auto"/>
                <w:sz w:val="24"/>
                <w:highlight w:val="none"/>
                <w:lang w:val="en-US" w:eastAsia="zh-CN"/>
              </w:rPr>
              <w:t>功能</w:t>
            </w:r>
            <w:r>
              <w:rPr>
                <w:rFonts w:ascii="宋体" w:hAnsi="宋体" w:cs="宋体"/>
                <w:color w:val="auto"/>
                <w:sz w:val="24"/>
                <w:highlight w:val="none"/>
              </w:rPr>
              <w:t>动态数字式气味仪</w:t>
            </w:r>
            <w:r>
              <w:rPr>
                <w:rFonts w:hint="eastAsia" w:ascii="宋体" w:hAnsi="宋体" w:cs="宋体"/>
                <w:color w:val="auto"/>
                <w:sz w:val="24"/>
                <w:highlight w:val="none"/>
              </w:rPr>
              <w:t>1</w:t>
            </w:r>
            <w:r>
              <w:rPr>
                <w:rFonts w:hint="eastAsia" w:ascii="宋体" w:hAnsi="宋体" w:cs="宋体"/>
                <w:color w:val="auto"/>
                <w:sz w:val="24"/>
                <w:highlight w:val="none"/>
                <w:lang w:val="en-US" w:eastAsia="zh-CN"/>
              </w:rPr>
              <w:t>台</w:t>
            </w:r>
            <w:r>
              <w:rPr>
                <w:rFonts w:hint="eastAsia" w:ascii="宋体" w:hAnsi="宋体" w:cs="宋体"/>
                <w:color w:val="auto"/>
                <w:sz w:val="24"/>
                <w:highlight w:val="none"/>
              </w:rPr>
              <w:t>；</w:t>
            </w:r>
          </w:p>
          <w:p>
            <w:pPr>
              <w:numPr>
                <w:ilvl w:val="0"/>
                <w:numId w:val="75"/>
              </w:numPr>
              <w:spacing w:line="440" w:lineRule="exact"/>
              <w:rPr>
                <w:rFonts w:ascii="宋体" w:hAnsi="宋体" w:cs="宋体"/>
                <w:color w:val="auto"/>
                <w:sz w:val="24"/>
                <w:highlight w:val="none"/>
              </w:rPr>
            </w:pPr>
            <w:r>
              <w:rPr>
                <w:rFonts w:ascii="宋体" w:hAnsi="宋体" w:cs="宋体"/>
                <w:color w:val="auto"/>
                <w:sz w:val="24"/>
                <w:highlight w:val="none"/>
              </w:rPr>
              <w:t>顶空样品瓶</w:t>
            </w:r>
            <w:r>
              <w:rPr>
                <w:rFonts w:hint="eastAsia" w:ascii="宋体" w:hAnsi="宋体" w:cs="宋体"/>
                <w:color w:val="auto"/>
                <w:sz w:val="24"/>
                <w:highlight w:val="none"/>
                <w:lang w:val="en-US" w:eastAsia="zh-CN"/>
              </w:rPr>
              <w:t>100</w:t>
            </w:r>
            <w:r>
              <w:rPr>
                <w:rFonts w:ascii="宋体" w:hAnsi="宋体" w:cs="宋体"/>
                <w:color w:val="auto"/>
                <w:sz w:val="24"/>
                <w:highlight w:val="none"/>
              </w:rPr>
              <w:t>个</w:t>
            </w:r>
            <w:r>
              <w:rPr>
                <w:rFonts w:hint="eastAsia" w:ascii="宋体" w:hAnsi="宋体" w:cs="宋体"/>
                <w:color w:val="auto"/>
                <w:sz w:val="24"/>
                <w:highlight w:val="none"/>
              </w:rPr>
              <w:t>；</w:t>
            </w:r>
          </w:p>
          <w:p>
            <w:pPr>
              <w:numPr>
                <w:ilvl w:val="0"/>
                <w:numId w:val="75"/>
              </w:numPr>
              <w:spacing w:line="440" w:lineRule="exact"/>
              <w:rPr>
                <w:rFonts w:ascii="宋体" w:hAnsi="宋体" w:cs="宋体"/>
                <w:color w:val="auto"/>
                <w:sz w:val="24"/>
                <w:highlight w:val="none"/>
              </w:rPr>
            </w:pPr>
            <w:r>
              <w:rPr>
                <w:rFonts w:ascii="宋体" w:hAnsi="宋体" w:cs="宋体"/>
                <w:color w:val="auto"/>
                <w:sz w:val="24"/>
                <w:highlight w:val="none"/>
              </w:rPr>
              <w:t>外路气路附件</w:t>
            </w:r>
            <w:r>
              <w:rPr>
                <w:rFonts w:hint="eastAsia" w:ascii="宋体" w:hAnsi="宋体" w:cs="宋体"/>
                <w:color w:val="auto"/>
                <w:sz w:val="24"/>
                <w:highlight w:val="none"/>
              </w:rPr>
              <w:t>1</w:t>
            </w:r>
            <w:r>
              <w:rPr>
                <w:rFonts w:ascii="宋体" w:hAnsi="宋体" w:cs="宋体"/>
                <w:color w:val="auto"/>
                <w:sz w:val="24"/>
                <w:highlight w:val="none"/>
              </w:rPr>
              <w:t>套</w:t>
            </w:r>
            <w:r>
              <w:rPr>
                <w:rFonts w:hint="eastAsia" w:ascii="宋体" w:hAnsi="宋体" w:cs="宋体"/>
                <w:color w:val="auto"/>
                <w:sz w:val="24"/>
                <w:highlight w:val="none"/>
              </w:rPr>
              <w:t>；</w:t>
            </w:r>
          </w:p>
          <w:p>
            <w:pPr>
              <w:numPr>
                <w:ilvl w:val="0"/>
                <w:numId w:val="75"/>
              </w:numPr>
              <w:spacing w:line="440" w:lineRule="exact"/>
              <w:rPr>
                <w:rFonts w:ascii="宋体" w:hAnsi="宋体" w:cs="宋体"/>
                <w:color w:val="auto"/>
                <w:sz w:val="24"/>
                <w:highlight w:val="none"/>
              </w:rPr>
            </w:pPr>
            <w:r>
              <w:rPr>
                <w:rFonts w:hint="eastAsia" w:ascii="宋体" w:hAnsi="宋体" w:cs="宋体"/>
                <w:color w:val="auto"/>
                <w:sz w:val="24"/>
                <w:highlight w:val="none"/>
                <w:lang w:val="en-US" w:eastAsia="zh-CN"/>
              </w:rPr>
              <w:t>采集及</w:t>
            </w:r>
            <w:r>
              <w:rPr>
                <w:rFonts w:ascii="宋体" w:hAnsi="宋体" w:cs="宋体"/>
                <w:color w:val="auto"/>
                <w:sz w:val="24"/>
                <w:highlight w:val="none"/>
              </w:rPr>
              <w:t>分析软件</w:t>
            </w:r>
            <w:r>
              <w:rPr>
                <w:rFonts w:hint="eastAsia" w:ascii="宋体" w:hAnsi="宋体" w:cs="宋体"/>
                <w:color w:val="auto"/>
                <w:sz w:val="24"/>
                <w:highlight w:val="none"/>
              </w:rPr>
              <w:t>1</w:t>
            </w:r>
            <w:r>
              <w:rPr>
                <w:rFonts w:ascii="宋体" w:hAnsi="宋体" w:cs="宋体"/>
                <w:color w:val="auto"/>
                <w:sz w:val="24"/>
                <w:highlight w:val="none"/>
              </w:rPr>
              <w:t>套</w:t>
            </w:r>
            <w:r>
              <w:rPr>
                <w:rFonts w:hint="eastAsia" w:ascii="宋体" w:hAnsi="宋体" w:cs="宋体"/>
                <w:color w:val="auto"/>
                <w:sz w:val="24"/>
                <w:highlight w:val="none"/>
              </w:rPr>
              <w:t>；</w:t>
            </w:r>
          </w:p>
          <w:p>
            <w:pPr>
              <w:numPr>
                <w:ilvl w:val="0"/>
                <w:numId w:val="75"/>
              </w:numPr>
              <w:spacing w:line="440" w:lineRule="exact"/>
              <w:rPr>
                <w:rFonts w:ascii="宋体" w:hAnsi="宋体" w:cs="宋体"/>
                <w:color w:val="auto"/>
                <w:sz w:val="24"/>
                <w:highlight w:val="none"/>
              </w:rPr>
            </w:pPr>
            <w:r>
              <w:rPr>
                <w:rFonts w:ascii="宋体" w:hAnsi="宋体" w:cs="宋体"/>
                <w:color w:val="auto"/>
                <w:sz w:val="24"/>
                <w:highlight w:val="none"/>
              </w:rPr>
              <w:t>外保护箱</w:t>
            </w:r>
            <w:r>
              <w:rPr>
                <w:rFonts w:hint="eastAsia" w:ascii="宋体" w:hAnsi="宋体" w:cs="宋体"/>
                <w:color w:val="auto"/>
                <w:sz w:val="24"/>
                <w:highlight w:val="none"/>
              </w:rPr>
              <w:t>1</w:t>
            </w:r>
            <w:r>
              <w:rPr>
                <w:rFonts w:ascii="宋体" w:hAnsi="宋体" w:cs="宋体"/>
                <w:color w:val="auto"/>
                <w:sz w:val="24"/>
                <w:highlight w:val="none"/>
              </w:rPr>
              <w:t>个</w:t>
            </w:r>
            <w:r>
              <w:rPr>
                <w:rFonts w:hint="eastAsia" w:ascii="宋体" w:hAnsi="宋体" w:cs="宋体"/>
                <w:color w:val="auto"/>
                <w:sz w:val="24"/>
                <w:highlight w:val="none"/>
              </w:rPr>
              <w:t>；</w:t>
            </w:r>
          </w:p>
          <w:p>
            <w:pPr>
              <w:numPr>
                <w:ilvl w:val="0"/>
                <w:numId w:val="75"/>
              </w:numPr>
              <w:spacing w:line="440" w:lineRule="exact"/>
              <w:rPr>
                <w:rFonts w:ascii="宋体" w:hAnsi="宋体" w:cs="宋体"/>
                <w:color w:val="auto"/>
                <w:sz w:val="24"/>
                <w:highlight w:val="none"/>
              </w:rPr>
            </w:pPr>
            <w:r>
              <w:rPr>
                <w:rFonts w:ascii="宋体" w:hAnsi="宋体" w:cs="宋体"/>
                <w:color w:val="auto"/>
                <w:sz w:val="24"/>
                <w:highlight w:val="none"/>
              </w:rPr>
              <w:t>电源适配器及数据线</w:t>
            </w:r>
            <w:r>
              <w:rPr>
                <w:rFonts w:hint="eastAsia" w:ascii="宋体" w:hAnsi="宋体" w:cs="宋体"/>
                <w:color w:val="auto"/>
                <w:sz w:val="24"/>
                <w:highlight w:val="none"/>
              </w:rPr>
              <w:t>1</w:t>
            </w:r>
            <w:r>
              <w:rPr>
                <w:rFonts w:ascii="宋体" w:hAnsi="宋体" w:cs="宋体"/>
                <w:color w:val="auto"/>
                <w:sz w:val="24"/>
                <w:highlight w:val="none"/>
              </w:rPr>
              <w:t>个</w:t>
            </w:r>
            <w:r>
              <w:rPr>
                <w:rFonts w:hint="eastAsia" w:ascii="宋体" w:hAnsi="宋体" w:cs="宋体"/>
                <w:color w:val="auto"/>
                <w:sz w:val="24"/>
                <w:highlight w:val="none"/>
              </w:rPr>
              <w:t>；</w:t>
            </w:r>
          </w:p>
          <w:p>
            <w:pPr>
              <w:numPr>
                <w:ilvl w:val="0"/>
                <w:numId w:val="75"/>
              </w:numPr>
              <w:spacing w:line="440" w:lineRule="exact"/>
              <w:rPr>
                <w:rFonts w:ascii="宋体" w:hAnsi="宋体" w:cs="宋体"/>
                <w:color w:val="auto"/>
                <w:sz w:val="24"/>
                <w:highlight w:val="none"/>
              </w:rPr>
            </w:pPr>
            <w:r>
              <w:rPr>
                <w:rFonts w:ascii="宋体" w:hAnsi="宋体" w:cs="宋体"/>
                <w:color w:val="auto"/>
                <w:sz w:val="24"/>
                <w:highlight w:val="none"/>
              </w:rPr>
              <w:t>说明书</w:t>
            </w:r>
            <w:r>
              <w:rPr>
                <w:rFonts w:hint="eastAsia" w:ascii="宋体" w:hAnsi="宋体" w:cs="宋体"/>
                <w:color w:val="auto"/>
                <w:sz w:val="24"/>
                <w:highlight w:val="none"/>
              </w:rPr>
              <w:t>1</w:t>
            </w:r>
            <w:r>
              <w:rPr>
                <w:rFonts w:ascii="宋体" w:hAnsi="宋体" w:cs="宋体"/>
                <w:color w:val="auto"/>
                <w:sz w:val="24"/>
                <w:highlight w:val="none"/>
              </w:rPr>
              <w:t>份</w:t>
            </w:r>
            <w:r>
              <w:rPr>
                <w:rFonts w:hint="eastAsia" w:ascii="宋体" w:hAnsi="宋体" w:cs="宋体"/>
                <w:color w:val="auto"/>
                <w:sz w:val="24"/>
                <w:highlight w:val="none"/>
              </w:rPr>
              <w:t>；</w:t>
            </w:r>
          </w:p>
          <w:p>
            <w:pPr>
              <w:numPr>
                <w:ilvl w:val="0"/>
                <w:numId w:val="75"/>
              </w:numPr>
              <w:spacing w:line="440" w:lineRule="exact"/>
              <w:rPr>
                <w:rFonts w:ascii="宋体" w:hAnsi="宋体" w:cs="宋体"/>
                <w:color w:val="auto"/>
                <w:sz w:val="24"/>
                <w:highlight w:val="none"/>
              </w:rPr>
            </w:pPr>
            <w:r>
              <w:rPr>
                <w:rFonts w:hint="eastAsia" w:ascii="宋体" w:hAnsi="宋体" w:cs="宋体"/>
                <w:color w:val="auto"/>
                <w:sz w:val="24"/>
                <w:highlight w:val="none"/>
                <w:lang w:val="en-US" w:eastAsia="zh-CN"/>
              </w:rPr>
              <w:t>移动</w:t>
            </w:r>
            <w:r>
              <w:rPr>
                <w:rFonts w:hint="eastAsia" w:ascii="宋体" w:hAnsi="宋体" w:cs="宋体"/>
                <w:color w:val="auto"/>
                <w:sz w:val="24"/>
                <w:highlight w:val="none"/>
              </w:rPr>
              <w:t>工作站1</w:t>
            </w:r>
            <w:r>
              <w:rPr>
                <w:rFonts w:ascii="宋体" w:hAnsi="宋体" w:cs="宋体"/>
                <w:color w:val="auto"/>
                <w:sz w:val="24"/>
                <w:highlight w:val="none"/>
              </w:rPr>
              <w:t>台</w:t>
            </w:r>
            <w:r>
              <w:rPr>
                <w:rFonts w:hint="eastAsia" w:ascii="宋体" w:hAnsi="宋体" w:cs="宋体"/>
                <w:color w:val="auto"/>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3" w:type="pct"/>
            <w:noWrap w:val="0"/>
            <w:vAlign w:val="center"/>
          </w:tcPr>
          <w:p>
            <w:pPr>
              <w:jc w:val="center"/>
              <w:rPr>
                <w:rFonts w:ascii="宋体" w:hAnsi="宋体" w:cs="宋体"/>
                <w:sz w:val="24"/>
                <w:highlight w:val="none"/>
              </w:rPr>
            </w:pPr>
            <w:r>
              <w:rPr>
                <w:rFonts w:hint="eastAsia" w:ascii="宋体" w:hAnsi="宋体" w:cs="宋体"/>
                <w:sz w:val="24"/>
                <w:highlight w:val="none"/>
              </w:rPr>
              <w:t>说明</w:t>
            </w:r>
          </w:p>
        </w:tc>
        <w:tc>
          <w:tcPr>
            <w:tcW w:w="4536" w:type="pct"/>
            <w:gridSpan w:val="2"/>
            <w:noWrap w:val="0"/>
            <w:vAlign w:val="top"/>
          </w:tcPr>
          <w:p>
            <w:pPr>
              <w:spacing w:line="440" w:lineRule="exact"/>
              <w:jc w:val="left"/>
              <w:rPr>
                <w:rFonts w:ascii="宋体" w:hAnsi="宋体" w:cs="宋体"/>
                <w:sz w:val="24"/>
                <w:highlight w:val="none"/>
              </w:rPr>
            </w:pPr>
            <w:r>
              <w:rPr>
                <w:rFonts w:hint="eastAsia" w:ascii="宋体" w:hAnsi="宋体" w:cs="宋体"/>
                <w:sz w:val="24"/>
                <w:highlight w:val="none"/>
              </w:rPr>
              <w:t>打“★”号条款为实质性条款，若有任何一条负偏离或不满足则导致投标（响应）无效。</w:t>
            </w:r>
          </w:p>
          <w:p>
            <w:pPr>
              <w:spacing w:line="440" w:lineRule="exact"/>
              <w:jc w:val="left"/>
              <w:rPr>
                <w:rFonts w:ascii="宋体" w:hAnsi="宋体" w:cs="宋体"/>
                <w:sz w:val="24"/>
                <w:highlight w:val="none"/>
              </w:rPr>
            </w:pPr>
            <w:r>
              <w:rPr>
                <w:rFonts w:hint="eastAsia" w:ascii="宋体" w:hAnsi="宋体" w:cs="宋体"/>
                <w:sz w:val="24"/>
                <w:highlight w:val="none"/>
              </w:rPr>
              <w:t>打“▲”号条款为重要技术参数（如有），若有部分“▲”条款未响应或不满足，将根据评审要求影响其得分，但不作为无效投标（响应）条款。</w:t>
            </w:r>
          </w:p>
        </w:tc>
      </w:tr>
      <w:bookmarkEnd w:id="248"/>
    </w:tbl>
    <w:p>
      <w:pPr>
        <w:outlineLvl w:val="2"/>
        <w:rPr>
          <w:highlight w:val="none"/>
        </w:rPr>
      </w:pPr>
      <w:bookmarkStart w:id="255" w:name="_Toc16249"/>
      <w:bookmarkStart w:id="256" w:name="_Toc22996"/>
      <w:r>
        <w:rPr>
          <w:rFonts w:hint="eastAsia"/>
          <w:b/>
          <w:sz w:val="24"/>
          <w:highlight w:val="none"/>
          <w:lang w:val="en-US" w:eastAsia="zh-CN"/>
        </w:rPr>
        <w:br w:type="textWrapping"/>
      </w:r>
      <w:r>
        <w:rPr>
          <w:rFonts w:hint="eastAsia"/>
          <w:b/>
          <w:sz w:val="24"/>
          <w:highlight w:val="none"/>
          <w:lang w:val="en-US" w:eastAsia="zh-CN"/>
        </w:rPr>
        <w:t>附表五</w:t>
      </w:r>
      <w:r>
        <w:rPr>
          <w:b/>
          <w:sz w:val="24"/>
          <w:highlight w:val="none"/>
        </w:rPr>
        <w:t>：</w:t>
      </w:r>
      <w:r>
        <w:rPr>
          <w:rFonts w:hint="eastAsia"/>
          <w:b/>
          <w:sz w:val="24"/>
          <w:highlight w:val="none"/>
        </w:rPr>
        <w:t>超高速冷冻离心机</w:t>
      </w:r>
      <w:bookmarkEnd w:id="255"/>
      <w:bookmarkEnd w:id="256"/>
    </w:p>
    <w:tbl>
      <w:tblPr>
        <w:tblStyle w:val="29"/>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3"/>
        <w:gridCol w:w="757"/>
        <w:gridCol w:w="7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67" w:type="pct"/>
            <w:vAlign w:val="center"/>
          </w:tcPr>
          <w:p>
            <w:pPr>
              <w:jc w:val="center"/>
              <w:rPr>
                <w:rFonts w:ascii="宋体" w:hAnsi="宋体" w:cs="宋体"/>
                <w:b/>
                <w:bCs/>
                <w:sz w:val="24"/>
                <w:highlight w:val="none"/>
              </w:rPr>
            </w:pPr>
            <w:r>
              <w:rPr>
                <w:rFonts w:hint="eastAsia" w:ascii="宋体" w:hAnsi="宋体" w:cs="宋体"/>
                <w:b/>
                <w:bCs/>
                <w:sz w:val="24"/>
                <w:highlight w:val="none"/>
              </w:rPr>
              <w:t>参数性质</w:t>
            </w:r>
          </w:p>
        </w:tc>
        <w:tc>
          <w:tcPr>
            <w:tcW w:w="410" w:type="pct"/>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4121" w:type="pct"/>
            <w:vAlign w:val="center"/>
          </w:tcPr>
          <w:p>
            <w:pPr>
              <w:jc w:val="center"/>
              <w:rPr>
                <w:rFonts w:ascii="宋体" w:hAnsi="宋体" w:cs="宋体"/>
                <w:b/>
                <w:bCs/>
                <w:sz w:val="24"/>
                <w:highlight w:val="none"/>
              </w:rPr>
            </w:pPr>
            <w:r>
              <w:rPr>
                <w:rFonts w:hint="eastAsia" w:ascii="宋体" w:hAnsi="宋体" w:cs="宋体"/>
                <w:b/>
                <w:bCs/>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numPr>
                <w:ilvl w:val="0"/>
                <w:numId w:val="0"/>
              </w:numPr>
              <w:spacing w:line="440" w:lineRule="exact"/>
              <w:jc w:val="left"/>
              <w:rPr>
                <w:rFonts w:ascii="宋体" w:hAnsi="宋体" w:cs="宋体"/>
                <w:sz w:val="24"/>
                <w:highlight w:val="none"/>
              </w:rPr>
            </w:pPr>
            <w:r>
              <w:rPr>
                <w:rFonts w:hint="eastAsia" w:ascii="宋体" w:hAnsi="宋体" w:cs="宋体"/>
                <w:sz w:val="24"/>
                <w:highlight w:val="none"/>
              </w:rPr>
              <w:t>主要用途</w:t>
            </w:r>
            <w:r>
              <w:rPr>
                <w:rFonts w:hint="eastAsia" w:ascii="宋体" w:hAnsi="宋体" w:cs="宋体"/>
                <w:sz w:val="24"/>
                <w:highlight w:val="none"/>
                <w:lang w:eastAsia="zh-CN"/>
              </w:rPr>
              <w:t>：</w:t>
            </w:r>
            <w:r>
              <w:rPr>
                <w:rFonts w:hint="eastAsia" w:ascii="宋体" w:hAnsi="宋体" w:cs="宋体"/>
                <w:sz w:val="24"/>
                <w:highlight w:val="none"/>
              </w:rPr>
              <w:t>用于样品的病毒及亚细胞组份分离、蛋白梯度分离、脂蛋白分离、RNA梯度沉淀、质粒DNA提纯等；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0" w:type="pct"/>
            <w:vAlign w:val="center"/>
          </w:tcPr>
          <w:p>
            <w:pPr>
              <w:numPr>
                <w:ilvl w:val="0"/>
                <w:numId w:val="76"/>
              </w:numPr>
              <w:jc w:val="center"/>
              <w:rPr>
                <w:rFonts w:ascii="宋体" w:hAnsi="宋体" w:cs="宋体"/>
                <w:sz w:val="24"/>
                <w:szCs w:val="24"/>
                <w:highlight w:val="none"/>
              </w:rPr>
            </w:pPr>
          </w:p>
        </w:tc>
        <w:tc>
          <w:tcPr>
            <w:tcW w:w="4121" w:type="pct"/>
            <w:vAlign w:val="center"/>
          </w:tcPr>
          <w:p>
            <w:pPr>
              <w:numPr>
                <w:ilvl w:val="0"/>
                <w:numId w:val="0"/>
              </w:numPr>
              <w:spacing w:line="440" w:lineRule="exact"/>
              <w:jc w:val="left"/>
              <w:rPr>
                <w:rFonts w:hint="eastAsia" w:ascii="宋体" w:hAnsi="宋体" w:eastAsia="宋体" w:cs="宋体"/>
                <w:sz w:val="24"/>
                <w:szCs w:val="24"/>
                <w:highlight w:val="none"/>
                <w:lang w:eastAsia="zh-CN"/>
              </w:rPr>
            </w:pPr>
            <w:r>
              <w:rPr>
                <w:rFonts w:hint="eastAsia" w:ascii="宋体" w:hAnsi="宋体" w:cs="宋体"/>
                <w:sz w:val="24"/>
                <w:highlight w:val="none"/>
              </w:rPr>
              <w:t>主机最大相对离心力: 801,900×g，最高转速：≥100,000RPM；内置离心专家软件，无需再外接电脑；可拓展定角转头单次离心体积≥1500mL</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7" w:type="pct"/>
            <w:vAlign w:val="center"/>
          </w:tcPr>
          <w:p>
            <w:pPr>
              <w:jc w:val="center"/>
              <w:rPr>
                <w:rFonts w:hint="eastAsia" w:ascii="宋体" w:hAnsi="宋体" w:cs="宋体"/>
                <w:sz w:val="24"/>
                <w:highlight w:val="none"/>
              </w:rPr>
            </w:pPr>
            <w:r>
              <w:rPr>
                <w:rFonts w:hint="eastAsia" w:ascii="宋体" w:hAnsi="宋体" w:cs="宋体"/>
                <w:sz w:val="24"/>
                <w:highlight w:val="none"/>
              </w:rPr>
              <w:t>▲</w:t>
            </w: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numPr>
                <w:ilvl w:val="-1"/>
                <w:numId w:val="0"/>
              </w:numPr>
              <w:spacing w:line="440" w:lineRule="exact"/>
              <w:jc w:val="left"/>
              <w:rPr>
                <w:rFonts w:hint="eastAsia" w:ascii="宋体" w:hAnsi="宋体" w:cs="宋体"/>
                <w:sz w:val="24"/>
                <w:highlight w:val="none"/>
              </w:rPr>
            </w:pPr>
            <w:r>
              <w:rPr>
                <w:rFonts w:hint="eastAsia" w:ascii="宋体" w:hAnsi="宋体" w:cs="宋体"/>
                <w:sz w:val="24"/>
                <w:highlight w:val="none"/>
              </w:rPr>
              <w:t>插入式水平转头最大相对离心力≥175,000×g，最高转速≥32,000rpm,最大容量≥6*38.5mL；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转速控制精度：≤±2RPM；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真空系统：正常运行适时数字化显示真空度数值；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样品不平衡容许度：目视平衡，最大样品容忍度为±5ml或样品体积±10%；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color w:val="FF0000"/>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加速/减速选择：10/11档；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温度控制：范围0～40℃，1℃步进，精度±1℃；</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噪音：≤51dB；</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hint="eastAsia" w:ascii="宋体" w:hAnsi="宋体" w:eastAsia="宋体" w:cs="宋体"/>
                <w:sz w:val="24"/>
                <w:highlight w:val="none"/>
                <w:lang w:eastAsia="zh-CN"/>
              </w:rPr>
            </w:pPr>
            <w:r>
              <w:rPr>
                <w:rFonts w:hint="eastAsia" w:ascii="宋体" w:hAnsi="宋体" w:cs="宋体"/>
                <w:sz w:val="24"/>
                <w:highlight w:val="none"/>
              </w:rPr>
              <w:t>控制：内置微处理器/计算机</w:t>
            </w:r>
            <w:r>
              <w:rPr>
                <w:rFonts w:hint="eastAsia" w:ascii="宋体" w:hAnsi="宋体" w:cs="宋体"/>
                <w:sz w:val="24"/>
                <w:highlight w:val="none"/>
                <w:lang w:eastAsia="zh-CN"/>
              </w:rPr>
              <w:t>，</w:t>
            </w:r>
            <w:r>
              <w:rPr>
                <w:rFonts w:hint="eastAsia" w:ascii="宋体" w:hAnsi="宋体" w:cs="宋体"/>
                <w:sz w:val="24"/>
                <w:highlight w:val="none"/>
              </w:rPr>
              <w:t>主机内置离心专家软件，无需再外接电脑；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控制屏：触摸式液晶显示屏≥15英寸；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color w:val="FF0000"/>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仪器具备中英文操作界</w:t>
            </w:r>
            <w:r>
              <w:rPr>
                <w:rFonts w:hint="eastAsia" w:ascii="宋体" w:hAnsi="宋体" w:cs="宋体"/>
                <w:color w:val="auto"/>
                <w:sz w:val="24"/>
                <w:highlight w:val="none"/>
              </w:rPr>
              <w:t>面</w:t>
            </w:r>
            <w:r>
              <w:rPr>
                <w:rFonts w:hint="eastAsia" w:ascii="宋体" w:hAnsi="宋体" w:cs="宋体"/>
                <w:color w:val="auto"/>
                <w:sz w:val="24"/>
                <w:highlight w:val="none"/>
                <w:lang w:eastAsia="zh-CN"/>
              </w:rPr>
              <w:t>，</w:t>
            </w:r>
            <w:r>
              <w:rPr>
                <w:rFonts w:hint="eastAsia" w:ascii="宋体" w:hAnsi="宋体" w:cs="宋体"/>
                <w:color w:val="auto"/>
                <w:sz w:val="24"/>
                <w:highlight w:val="none"/>
              </w:rPr>
              <w:t>可</w:t>
            </w:r>
            <w:r>
              <w:rPr>
                <w:rFonts w:hint="eastAsia" w:ascii="宋体" w:hAnsi="宋体" w:cs="宋体"/>
                <w:color w:val="auto"/>
                <w:sz w:val="24"/>
                <w:highlight w:val="none"/>
                <w:lang w:val="en-US" w:eastAsia="zh-CN"/>
              </w:rPr>
              <w:t>以</w:t>
            </w:r>
            <w:r>
              <w:rPr>
                <w:rFonts w:hint="eastAsia" w:ascii="宋体" w:hAnsi="宋体" w:cs="宋体"/>
                <w:color w:val="auto"/>
                <w:sz w:val="24"/>
                <w:highlight w:val="none"/>
              </w:rPr>
              <w:t>通过网络远程监控；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color w:val="FF0000"/>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可</w:t>
            </w:r>
            <w:r>
              <w:rPr>
                <w:rFonts w:hint="eastAsia" w:ascii="宋体" w:hAnsi="宋体" w:cs="宋体"/>
                <w:sz w:val="24"/>
                <w:highlight w:val="none"/>
                <w:lang w:val="en-US" w:eastAsia="zh-CN"/>
              </w:rPr>
              <w:t>以</w:t>
            </w:r>
            <w:r>
              <w:rPr>
                <w:rFonts w:hint="eastAsia" w:ascii="宋体" w:hAnsi="宋体" w:cs="宋体"/>
                <w:sz w:val="24"/>
                <w:highlight w:val="none"/>
              </w:rPr>
              <w:t>实时显示运行曲线图，记录运行的转速、时间及温度，可</w:t>
            </w:r>
            <w:r>
              <w:rPr>
                <w:rFonts w:hint="eastAsia" w:ascii="宋体" w:hAnsi="宋体" w:cs="宋体"/>
                <w:sz w:val="24"/>
                <w:highlight w:val="none"/>
                <w:lang w:val="en-US" w:eastAsia="zh-CN"/>
              </w:rPr>
              <w:t>以</w:t>
            </w:r>
            <w:r>
              <w:rPr>
                <w:rFonts w:hint="eastAsia" w:ascii="宋体" w:hAnsi="宋体" w:cs="宋体"/>
                <w:sz w:val="24"/>
                <w:highlight w:val="none"/>
              </w:rPr>
              <w:t>追踪整个实验过程；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color w:val="FF0000"/>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程序存储：≥1000个，每个程序可有不少于30个步骤；用户授权管理：分级密码管理，≥2个分级；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color w:val="FF0000"/>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内置于主机中的离心专家软件：具备本机进行实验模拟的功能，并可将模拟的离心条件直接下载运行；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color w:val="FF0000"/>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化学耐受性：主机内置化学试剂耐受性数据库，便于离心不同样品时离心管的选择；</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7" w:type="pct"/>
            <w:vAlign w:val="center"/>
          </w:tcPr>
          <w:p>
            <w:pPr>
              <w:jc w:val="center"/>
              <w:rPr>
                <w:rFonts w:ascii="宋体" w:hAnsi="宋体" w:cs="宋体"/>
                <w:sz w:val="24"/>
                <w:highlight w:val="none"/>
              </w:rPr>
            </w:pPr>
          </w:p>
        </w:tc>
        <w:tc>
          <w:tcPr>
            <w:tcW w:w="410" w:type="pct"/>
            <w:vAlign w:val="center"/>
          </w:tcPr>
          <w:p>
            <w:pPr>
              <w:numPr>
                <w:ilvl w:val="0"/>
                <w:numId w:val="76"/>
              </w:numPr>
              <w:jc w:val="center"/>
              <w:rPr>
                <w:rFonts w:ascii="宋体" w:hAnsi="宋体" w:cs="宋体"/>
                <w:sz w:val="24"/>
                <w:highlight w:val="none"/>
              </w:rPr>
            </w:pPr>
          </w:p>
        </w:tc>
        <w:tc>
          <w:tcPr>
            <w:tcW w:w="4121" w:type="pct"/>
            <w:vAlign w:val="center"/>
          </w:tcPr>
          <w:p>
            <w:pPr>
              <w:numPr>
                <w:ilvl w:val="0"/>
                <w:numId w:val="77"/>
              </w:numPr>
              <w:spacing w:line="440" w:lineRule="exact"/>
              <w:ind w:left="0" w:hanging="5"/>
              <w:jc w:val="left"/>
              <w:rPr>
                <w:rFonts w:ascii="宋体" w:hAnsi="宋体" w:cs="宋体"/>
                <w:sz w:val="24"/>
                <w:highlight w:val="none"/>
              </w:rPr>
            </w:pPr>
            <w:r>
              <w:rPr>
                <w:rFonts w:hint="eastAsia" w:ascii="宋体" w:hAnsi="宋体" w:cs="宋体"/>
                <w:sz w:val="24"/>
                <w:highlight w:val="none"/>
              </w:rPr>
              <w:t>配置要求：</w:t>
            </w:r>
          </w:p>
          <w:p>
            <w:pPr>
              <w:numPr>
                <w:ilvl w:val="0"/>
                <w:numId w:val="78"/>
              </w:numPr>
              <w:spacing w:line="440" w:lineRule="exact"/>
              <w:ind w:left="0" w:firstLine="0"/>
              <w:rPr>
                <w:rFonts w:ascii="宋体" w:hAnsi="宋体" w:cs="宋体"/>
                <w:sz w:val="24"/>
                <w:highlight w:val="none"/>
              </w:rPr>
            </w:pPr>
            <w:r>
              <w:rPr>
                <w:rFonts w:hint="eastAsia" w:ascii="宋体" w:hAnsi="宋体" w:cs="宋体"/>
                <w:sz w:val="24"/>
                <w:highlight w:val="none"/>
              </w:rPr>
              <w:t>主机1台；</w:t>
            </w:r>
          </w:p>
          <w:p>
            <w:pPr>
              <w:numPr>
                <w:ilvl w:val="0"/>
                <w:numId w:val="78"/>
              </w:numPr>
              <w:spacing w:line="440" w:lineRule="exact"/>
              <w:ind w:left="0" w:firstLine="0"/>
              <w:rPr>
                <w:rFonts w:ascii="宋体" w:hAnsi="宋体" w:cs="宋体"/>
                <w:sz w:val="24"/>
                <w:highlight w:val="none"/>
              </w:rPr>
            </w:pPr>
            <w:r>
              <w:rPr>
                <w:rFonts w:hint="eastAsia" w:ascii="宋体" w:hAnsi="宋体" w:cs="宋体"/>
                <w:sz w:val="24"/>
                <w:highlight w:val="none"/>
              </w:rPr>
              <w:t>离心机主机内置离心专家软件1套</w:t>
            </w:r>
            <w:r>
              <w:rPr>
                <w:rFonts w:hint="eastAsia"/>
                <w:highlight w:val="none"/>
                <w:lang w:eastAsia="zh-CN"/>
              </w:rPr>
              <w:t>；</w:t>
            </w:r>
          </w:p>
          <w:p>
            <w:pPr>
              <w:numPr>
                <w:ilvl w:val="0"/>
                <w:numId w:val="78"/>
              </w:numPr>
              <w:spacing w:line="440" w:lineRule="exact"/>
              <w:ind w:left="0" w:firstLine="0"/>
              <w:rPr>
                <w:rFonts w:ascii="宋体" w:hAnsi="宋体" w:cs="宋体"/>
                <w:sz w:val="24"/>
                <w:highlight w:val="none"/>
              </w:rPr>
            </w:pPr>
            <w:r>
              <w:rPr>
                <w:rFonts w:hint="eastAsia" w:ascii="宋体" w:hAnsi="宋体" w:cs="宋体"/>
                <w:sz w:val="24"/>
                <w:highlight w:val="none"/>
              </w:rPr>
              <w:t>插入式水平转头1个</w:t>
            </w:r>
            <w:r>
              <w:rPr>
                <w:rFonts w:hint="eastAsia" w:ascii="宋体" w:hAnsi="宋体" w:cs="宋体"/>
                <w:sz w:val="24"/>
                <w:highlight w:val="none"/>
                <w:lang w:eastAsia="zh-CN"/>
              </w:rPr>
              <w:t>；</w:t>
            </w:r>
          </w:p>
          <w:p>
            <w:pPr>
              <w:numPr>
                <w:ilvl w:val="0"/>
                <w:numId w:val="78"/>
              </w:numPr>
              <w:spacing w:line="440" w:lineRule="exact"/>
              <w:ind w:left="0" w:firstLine="0"/>
              <w:rPr>
                <w:rFonts w:ascii="宋体" w:hAnsi="宋体" w:cs="宋体"/>
                <w:sz w:val="24"/>
                <w:highlight w:val="none"/>
              </w:rPr>
            </w:pPr>
            <w:r>
              <w:rPr>
                <w:rFonts w:hint="eastAsia" w:ascii="宋体" w:hAnsi="宋体" w:cs="宋体"/>
                <w:sz w:val="24"/>
                <w:highlight w:val="none"/>
              </w:rPr>
              <w:t>定角转头1个1；</w:t>
            </w:r>
          </w:p>
          <w:p>
            <w:pPr>
              <w:numPr>
                <w:ilvl w:val="0"/>
                <w:numId w:val="78"/>
              </w:numPr>
              <w:spacing w:line="440" w:lineRule="exact"/>
              <w:ind w:left="0" w:firstLine="0"/>
              <w:rPr>
                <w:rFonts w:ascii="宋体" w:hAnsi="宋体" w:cs="宋体"/>
                <w:sz w:val="24"/>
                <w:highlight w:val="none"/>
              </w:rPr>
            </w:pPr>
            <w:r>
              <w:rPr>
                <w:rFonts w:hint="eastAsia" w:ascii="宋体" w:hAnsi="宋体" w:cs="宋体"/>
                <w:sz w:val="24"/>
                <w:highlight w:val="none"/>
              </w:rPr>
              <w:t>32,000rpm插入式水平转头用38.5mL PP薄壁管2盒（50支/盒），38.5mL超净管3盒（50支/盒），可多次用32mL离心管2盒（25支/盒），润滑油1支，真空脂1支。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7" w:type="pct"/>
            <w:vAlign w:val="center"/>
          </w:tcPr>
          <w:p>
            <w:pPr>
              <w:jc w:val="center"/>
              <w:rPr>
                <w:rFonts w:ascii="宋体" w:hAnsi="宋体" w:cs="宋体"/>
                <w:sz w:val="24"/>
                <w:highlight w:val="none"/>
              </w:rPr>
            </w:pPr>
            <w:r>
              <w:rPr>
                <w:rFonts w:hint="eastAsia" w:ascii="宋体" w:hAnsi="宋体" w:cs="宋体"/>
                <w:sz w:val="24"/>
                <w:highlight w:val="none"/>
              </w:rPr>
              <w:t>说明</w:t>
            </w:r>
          </w:p>
        </w:tc>
        <w:tc>
          <w:tcPr>
            <w:tcW w:w="4532" w:type="pct"/>
            <w:gridSpan w:val="2"/>
          </w:tcPr>
          <w:p>
            <w:pPr>
              <w:spacing w:line="440" w:lineRule="exact"/>
              <w:jc w:val="left"/>
              <w:rPr>
                <w:rFonts w:ascii="宋体" w:hAnsi="宋体" w:cs="宋体"/>
                <w:sz w:val="24"/>
                <w:highlight w:val="none"/>
              </w:rPr>
            </w:pPr>
            <w:r>
              <w:rPr>
                <w:rFonts w:hint="eastAsia" w:ascii="宋体" w:hAnsi="宋体" w:cs="宋体"/>
                <w:sz w:val="24"/>
                <w:highlight w:val="none"/>
              </w:rPr>
              <w:t>打“★”号条款为实质性条款，若有任何一条负偏离或不满足则导致投标（响应）无效。</w:t>
            </w:r>
          </w:p>
          <w:p>
            <w:pPr>
              <w:spacing w:line="440" w:lineRule="exact"/>
              <w:jc w:val="left"/>
              <w:rPr>
                <w:rFonts w:ascii="宋体" w:hAnsi="宋体" w:cs="宋体"/>
                <w:sz w:val="24"/>
                <w:highlight w:val="none"/>
              </w:rPr>
            </w:pPr>
            <w:r>
              <w:rPr>
                <w:rFonts w:hint="eastAsia" w:ascii="宋体" w:hAnsi="宋体" w:cs="宋体"/>
                <w:sz w:val="24"/>
                <w:highlight w:val="none"/>
              </w:rPr>
              <w:t>打“▲”号条款为重要技术参数（如有），若有部分“▲”条款未响应或不满足，将根据评审要求影响其得分，但不作为无效投标（响应）条款。</w:t>
            </w:r>
          </w:p>
        </w:tc>
      </w:tr>
    </w:tbl>
    <w:p>
      <w:pPr>
        <w:outlineLvl w:val="2"/>
        <w:rPr>
          <w:highlight w:val="none"/>
        </w:rPr>
      </w:pPr>
      <w:bookmarkStart w:id="257" w:name="_Toc24111"/>
      <w:bookmarkStart w:id="258" w:name="_Toc26847"/>
      <w:bookmarkStart w:id="259" w:name="_Toc341558171"/>
      <w:r>
        <w:rPr>
          <w:b/>
          <w:sz w:val="24"/>
          <w:highlight w:val="none"/>
        </w:rPr>
        <w:br w:type="textWrapping"/>
      </w:r>
      <w:r>
        <w:rPr>
          <w:b/>
          <w:sz w:val="24"/>
          <w:highlight w:val="none"/>
        </w:rPr>
        <w:t>附表</w:t>
      </w:r>
      <w:r>
        <w:rPr>
          <w:rFonts w:hint="eastAsia"/>
          <w:b/>
          <w:sz w:val="24"/>
          <w:highlight w:val="none"/>
          <w:lang w:val="en-US" w:eastAsia="zh-CN"/>
        </w:rPr>
        <w:t>六</w:t>
      </w:r>
      <w:r>
        <w:rPr>
          <w:b/>
          <w:sz w:val="24"/>
          <w:highlight w:val="none"/>
        </w:rPr>
        <w:t>：</w:t>
      </w:r>
      <w:r>
        <w:rPr>
          <w:rFonts w:hint="eastAsia"/>
          <w:b/>
          <w:sz w:val="24"/>
          <w:highlight w:val="none"/>
        </w:rPr>
        <w:t>三维立体及样带植物荧光成像系统</w:t>
      </w:r>
      <w:bookmarkEnd w:id="257"/>
      <w:bookmarkEnd w:id="258"/>
      <w:bookmarkEnd w:id="259"/>
    </w:p>
    <w:tbl>
      <w:tblPr>
        <w:tblStyle w:val="2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760"/>
        <w:gridCol w:w="7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70" w:type="pct"/>
            <w:vAlign w:val="center"/>
          </w:tcPr>
          <w:p>
            <w:pPr>
              <w:jc w:val="center"/>
              <w:rPr>
                <w:rFonts w:ascii="宋体" w:hAnsi="宋体" w:cs="宋体"/>
                <w:b/>
                <w:bCs/>
                <w:sz w:val="24"/>
                <w:highlight w:val="none"/>
              </w:rPr>
            </w:pPr>
            <w:r>
              <w:rPr>
                <w:rFonts w:hint="eastAsia" w:ascii="宋体" w:hAnsi="宋体" w:cs="宋体"/>
                <w:b/>
                <w:bCs/>
                <w:sz w:val="24"/>
                <w:highlight w:val="none"/>
              </w:rPr>
              <w:t>参数性质</w:t>
            </w:r>
          </w:p>
        </w:tc>
        <w:tc>
          <w:tcPr>
            <w:tcW w:w="411" w:type="pct"/>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4118" w:type="pct"/>
            <w:vAlign w:val="center"/>
          </w:tcPr>
          <w:p>
            <w:pPr>
              <w:jc w:val="center"/>
              <w:rPr>
                <w:rFonts w:ascii="宋体" w:hAnsi="宋体" w:cs="宋体"/>
                <w:b/>
                <w:bCs/>
                <w:sz w:val="24"/>
                <w:highlight w:val="none"/>
              </w:rPr>
            </w:pPr>
            <w:r>
              <w:rPr>
                <w:rFonts w:hint="eastAsia" w:ascii="宋体" w:hAnsi="宋体" w:cs="宋体"/>
                <w:b/>
                <w:bCs/>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功能：可对木薯单叶及幼苗整株进行叶绿素荧光成像，根据成像结果快速筛选光合、抗逆（抗盐、抗旱、抗病等）等突变株；</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eastAsia="zh-CN"/>
              </w:rPr>
            </w:pPr>
            <w:r>
              <w:rPr>
                <w:rFonts w:hint="eastAsia" w:ascii="宋体" w:hAnsi="宋体" w:cs="宋体"/>
                <w:sz w:val="24"/>
                <w:highlight w:val="none"/>
              </w:rPr>
              <w:t>测量参数：必须能够对Ft、Fo、Fo’</w:t>
            </w:r>
            <w:r>
              <w:rPr>
                <w:rFonts w:hint="eastAsia" w:ascii="宋体" w:hAnsi="宋体" w:cs="宋体"/>
                <w:sz w:val="24"/>
                <w:highlight w:val="none"/>
                <w:lang w:eastAsia="zh-CN"/>
              </w:rPr>
              <w:t>、</w:t>
            </w:r>
            <w:r>
              <w:rPr>
                <w:rFonts w:hint="eastAsia" w:ascii="宋体" w:hAnsi="宋体" w:cs="宋体"/>
                <w:sz w:val="24"/>
                <w:highlight w:val="none"/>
              </w:rPr>
              <w:t>Fm、Fv/Fm、F、Fm、Y(II)、Y(NO)、Y(NPQ)、NPQ、qN、qP、qL、ETR、Abs、NIR、Red、Inh等</w:t>
            </w:r>
            <w:r>
              <w:rPr>
                <w:rFonts w:hint="eastAsia" w:ascii="宋体" w:hAnsi="宋体" w:cs="宋体"/>
                <w:sz w:val="24"/>
                <w:highlight w:val="none"/>
                <w:lang w:val="en-US" w:eastAsia="zh-CN"/>
              </w:rPr>
              <w:t>19</w:t>
            </w:r>
            <w:r>
              <w:rPr>
                <w:rFonts w:hint="eastAsia" w:ascii="宋体" w:hAnsi="宋体" w:cs="宋体"/>
                <w:sz w:val="24"/>
                <w:highlight w:val="none"/>
              </w:rPr>
              <w:t>种参数进行成像分析。2维荧光彩色图更直观显示不同区域光合变化情况。工作距离</w:t>
            </w:r>
            <w:r>
              <w:rPr>
                <w:rFonts w:hint="eastAsia" w:ascii="宋体" w:hAnsi="宋体" w:cs="宋体"/>
                <w:sz w:val="24"/>
                <w:highlight w:val="none"/>
                <w:lang w:val="en-US" w:eastAsia="zh-CN"/>
              </w:rPr>
              <w:t>≥</w:t>
            </w:r>
            <w:r>
              <w:rPr>
                <w:rFonts w:hint="eastAsia" w:ascii="宋体" w:hAnsi="宋体" w:cs="宋体"/>
                <w:sz w:val="24"/>
                <w:highlight w:val="none"/>
              </w:rPr>
              <w:t>18.5cm，成像面积</w:t>
            </w:r>
            <w:r>
              <w:rPr>
                <w:rFonts w:hint="eastAsia" w:ascii="宋体" w:hAnsi="宋体" w:cs="宋体"/>
                <w:sz w:val="24"/>
                <w:highlight w:val="none"/>
                <w:lang w:val="en-US" w:eastAsia="zh-CN"/>
              </w:rPr>
              <w:t>≥</w:t>
            </w:r>
            <w:r>
              <w:rPr>
                <w:rFonts w:hint="eastAsia" w:ascii="宋体" w:hAnsi="宋体" w:cs="宋体"/>
                <w:sz w:val="24"/>
                <w:highlight w:val="none"/>
              </w:rPr>
              <w:t>10x10cm</w:t>
            </w:r>
            <w:r>
              <w:rPr>
                <w:rFonts w:ascii="宋体" w:hAnsi="宋体" w:cs="宋体"/>
                <w:sz w:val="24"/>
                <w:highlight w:val="none"/>
                <w:vertAlign w:val="superscript"/>
              </w:rPr>
              <w:t>2</w:t>
            </w:r>
            <w:r>
              <w:rPr>
                <w:rFonts w:hint="eastAsia" w:ascii="宋体" w:hAnsi="宋体" w:cs="宋体"/>
                <w:sz w:val="24"/>
                <w:highlight w:val="none"/>
              </w:rPr>
              <w:t>，CCD成像镜头，分辨率不低于1280x960，4像素组合（binning）技术</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eastAsia="zh-CN"/>
              </w:rPr>
            </w:pPr>
            <w:r>
              <w:rPr>
                <w:rFonts w:hint="eastAsia" w:ascii="宋体" w:hAnsi="宋体" w:cs="宋体"/>
                <w:sz w:val="24"/>
                <w:highlight w:val="none"/>
              </w:rPr>
              <w:t>程序测量功能：可程序测量荧光诱导曲线、快速光曲线和暗弛豫，也可手动测量；在测量过程中能自动分析所有荧光参数的变化趋势</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eastAsia="zh-CN"/>
              </w:rPr>
            </w:pPr>
            <w:r>
              <w:rPr>
                <w:rFonts w:hint="eastAsia" w:ascii="宋体" w:hAnsi="宋体" w:cs="宋体"/>
                <w:sz w:val="24"/>
                <w:highlight w:val="none"/>
                <w:lang w:val="en-US" w:eastAsia="zh-CN"/>
              </w:rPr>
              <w:t>具备</w:t>
            </w:r>
            <w:r>
              <w:rPr>
                <w:rFonts w:hint="eastAsia" w:ascii="宋体" w:hAnsi="宋体" w:cs="宋体"/>
                <w:sz w:val="24"/>
                <w:highlight w:val="none"/>
              </w:rPr>
              <w:t>AOI功能：可在测量前或测量后任意选择感兴趣的区域（AOI），程序将自动对选择的AOI的数据进行变化趋势分析，并在报告文件中显示相关AOI的数据。所有报告文件中显示的数据都可导出到EXCEL文件中，AOI可增加，删除，编辑，显示/隐藏，填充，重置，AOI类型可选择圆形，矩形，多边形</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eastAsia="zh-CN"/>
              </w:rPr>
            </w:pPr>
            <w:r>
              <w:rPr>
                <w:rFonts w:hint="eastAsia" w:ascii="宋体" w:hAnsi="宋体" w:cs="宋体"/>
                <w:sz w:val="24"/>
                <w:highlight w:val="none"/>
              </w:rPr>
              <w:t>成像异质性分析功能：对任意参数任意时间的成像，可在图像上任意选取两点，软件自动对两点间的数据进行横向异质性分析，并可导出到EXCEL文件中</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eastAsia="zh-CN"/>
              </w:rPr>
            </w:pPr>
            <w:r>
              <w:rPr>
                <w:rFonts w:hint="eastAsia" w:ascii="宋体" w:hAnsi="宋体" w:cs="宋体"/>
                <w:sz w:val="24"/>
                <w:highlight w:val="none"/>
              </w:rPr>
              <w:t>吸光系数测量光源：不少于16个红光（660 nm）和16个近红外（780 nm）LED，测量样品PAR吸光系数，测量区域光强异质性小于±7%</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color w:val="FF0000"/>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eastAsia="zh-CN"/>
              </w:rPr>
            </w:pPr>
            <w:r>
              <w:rPr>
                <w:rFonts w:hint="eastAsia" w:ascii="宋体" w:hAnsi="宋体" w:cs="宋体"/>
                <w:sz w:val="24"/>
                <w:highlight w:val="none"/>
              </w:rPr>
              <w:t>荧光测量光源：不少于44个蓝色LED，450nm，测量光强度0.5μmol m</w:t>
            </w:r>
            <w:r>
              <w:rPr>
                <w:rFonts w:hint="eastAsia" w:ascii="宋体" w:hAnsi="宋体" w:cs="宋体"/>
                <w:sz w:val="24"/>
                <w:highlight w:val="none"/>
                <w:vertAlign w:val="superscript"/>
              </w:rPr>
              <w:t>-2</w:t>
            </w:r>
            <w:r>
              <w:rPr>
                <w:rFonts w:hint="eastAsia" w:ascii="宋体" w:hAnsi="宋体" w:cs="宋体"/>
                <w:sz w:val="24"/>
                <w:highlight w:val="none"/>
              </w:rPr>
              <w:t xml:space="preserve"> s-1PAR，最大光化光强度2300μmol m</w:t>
            </w:r>
            <w:r>
              <w:rPr>
                <w:rFonts w:hint="eastAsia" w:ascii="宋体" w:hAnsi="宋体" w:cs="宋体"/>
                <w:sz w:val="24"/>
                <w:highlight w:val="none"/>
                <w:vertAlign w:val="superscript"/>
              </w:rPr>
              <w:t>-2</w:t>
            </w:r>
            <w:r>
              <w:rPr>
                <w:rFonts w:hint="eastAsia" w:ascii="宋体" w:hAnsi="宋体" w:cs="宋体"/>
                <w:sz w:val="24"/>
                <w:highlight w:val="none"/>
              </w:rPr>
              <w:t xml:space="preserve"> s-1PAR，饱和脉冲强度最大5000μmol m</w:t>
            </w:r>
            <w:r>
              <w:rPr>
                <w:rFonts w:hint="eastAsia" w:ascii="宋体" w:hAnsi="宋体" w:cs="宋体"/>
                <w:sz w:val="24"/>
                <w:highlight w:val="none"/>
                <w:vertAlign w:val="superscript"/>
              </w:rPr>
              <w:t>-2</w:t>
            </w:r>
            <w:r>
              <w:rPr>
                <w:rFonts w:hint="eastAsia" w:ascii="宋体" w:hAnsi="宋体" w:cs="宋体"/>
                <w:sz w:val="24"/>
                <w:highlight w:val="none"/>
              </w:rPr>
              <w:t xml:space="preserve"> s-1PARm</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环境温度：-5～+45℃</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植株表型数据测量功能：包含但不限于株高，叶片数量，叶面积，叶倾角，不同水平面叶片的叶绿素荧光，同时还能获取角度，常态，形状，面积，莲座形态，结构，总面积，莲座周长</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eastAsia="zh-CN"/>
              </w:rPr>
            </w:pPr>
            <w:r>
              <w:rPr>
                <w:rFonts w:hint="eastAsia" w:ascii="宋体" w:hAnsi="宋体" w:cs="宋体"/>
                <w:sz w:val="24"/>
                <w:highlight w:val="none"/>
              </w:rPr>
              <w:t>成像数据范围分析功能：对任意参数任意时间的成像，可分析任意两个荧光数值之间的像素点数量及面积（cm</w:t>
            </w:r>
            <w:r>
              <w:rPr>
                <w:rFonts w:ascii="宋体" w:hAnsi="宋体" w:cs="宋体"/>
                <w:sz w:val="24"/>
                <w:highlight w:val="none"/>
                <w:vertAlign w:val="superscript"/>
              </w:rPr>
              <w:t>2</w:t>
            </w:r>
            <w:r>
              <w:rPr>
                <w:rFonts w:hint="eastAsia" w:ascii="宋体" w:hAnsi="宋体" w:cs="宋体"/>
                <w:sz w:val="24"/>
                <w:highlight w:val="none"/>
              </w:rPr>
              <w:t>）</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图形工作站不低于以下性能：Intel Core i5 5xx以上版本处理器，8 GB RAM，GigE千兆以太网接口，HDMI高清接口，NVIDIA® GeForc显卡，2G显存，Win10操作系统。</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79"/>
              </w:numPr>
              <w:jc w:val="center"/>
              <w:rPr>
                <w:rFonts w:ascii="宋体" w:hAnsi="宋体" w:cs="宋体"/>
                <w:sz w:val="24"/>
                <w:highlight w:val="none"/>
              </w:rPr>
            </w:pPr>
          </w:p>
        </w:tc>
        <w:tc>
          <w:tcPr>
            <w:tcW w:w="4118" w:type="pct"/>
            <w:vAlign w:val="center"/>
          </w:tcPr>
          <w:p>
            <w:pPr>
              <w:numPr>
                <w:ilvl w:val="0"/>
                <w:numId w:val="80"/>
              </w:numPr>
              <w:spacing w:line="440" w:lineRule="exact"/>
              <w:ind w:left="5" w:hanging="5"/>
              <w:jc w:val="left"/>
              <w:rPr>
                <w:rFonts w:ascii="宋体" w:hAnsi="宋体" w:cs="宋体"/>
                <w:sz w:val="24"/>
                <w:highlight w:val="none"/>
              </w:rPr>
            </w:pPr>
            <w:r>
              <w:rPr>
                <w:rFonts w:hint="eastAsia" w:ascii="宋体" w:hAnsi="宋体" w:cs="宋体"/>
                <w:sz w:val="24"/>
                <w:highlight w:val="none"/>
              </w:rPr>
              <w:t>配置要求：</w:t>
            </w:r>
          </w:p>
          <w:p>
            <w:pPr>
              <w:numPr>
                <w:ilvl w:val="0"/>
                <w:numId w:val="81"/>
              </w:numPr>
              <w:spacing w:line="440" w:lineRule="exact"/>
              <w:rPr>
                <w:rFonts w:ascii="宋体" w:hAnsi="宋体" w:cs="宋体"/>
                <w:sz w:val="24"/>
                <w:highlight w:val="none"/>
              </w:rPr>
            </w:pPr>
            <w:r>
              <w:rPr>
                <w:rFonts w:ascii="宋体" w:hAnsi="宋体" w:cs="宋体"/>
                <w:sz w:val="24"/>
                <w:highlight w:val="none"/>
              </w:rPr>
              <w:t>主机</w:t>
            </w:r>
            <w:r>
              <w:rPr>
                <w:rFonts w:hint="eastAsia" w:ascii="宋体" w:hAnsi="宋体" w:cs="宋体"/>
                <w:sz w:val="24"/>
                <w:highlight w:val="none"/>
              </w:rPr>
              <w:t>1台；</w:t>
            </w:r>
          </w:p>
          <w:p>
            <w:pPr>
              <w:numPr>
                <w:ilvl w:val="0"/>
                <w:numId w:val="81"/>
              </w:numPr>
              <w:spacing w:line="440" w:lineRule="exact"/>
              <w:rPr>
                <w:rFonts w:ascii="宋体" w:hAnsi="宋体" w:cs="宋体"/>
                <w:sz w:val="24"/>
                <w:highlight w:val="none"/>
              </w:rPr>
            </w:pPr>
            <w:r>
              <w:rPr>
                <w:rFonts w:ascii="宋体" w:hAnsi="宋体" w:cs="宋体"/>
                <w:sz w:val="24"/>
                <w:highlight w:val="none"/>
              </w:rPr>
              <w:t>测量室</w:t>
            </w:r>
            <w:r>
              <w:rPr>
                <w:rFonts w:hint="eastAsia" w:ascii="宋体" w:hAnsi="宋体" w:cs="宋体"/>
                <w:sz w:val="24"/>
                <w:highlight w:val="none"/>
              </w:rPr>
              <w:t>1个；</w:t>
            </w:r>
          </w:p>
          <w:p>
            <w:pPr>
              <w:numPr>
                <w:ilvl w:val="0"/>
                <w:numId w:val="81"/>
              </w:numPr>
              <w:spacing w:line="440" w:lineRule="exact"/>
              <w:rPr>
                <w:rFonts w:ascii="宋体" w:hAnsi="宋体" w:cs="宋体"/>
                <w:sz w:val="24"/>
                <w:highlight w:val="none"/>
              </w:rPr>
            </w:pPr>
            <w:r>
              <w:rPr>
                <w:rFonts w:ascii="宋体" w:hAnsi="宋体" w:cs="宋体"/>
                <w:sz w:val="24"/>
                <w:highlight w:val="none"/>
              </w:rPr>
              <w:t>成像镜头</w:t>
            </w:r>
            <w:r>
              <w:rPr>
                <w:rFonts w:hint="eastAsia" w:ascii="宋体" w:hAnsi="宋体" w:cs="宋体"/>
                <w:sz w:val="24"/>
                <w:highlight w:val="none"/>
              </w:rPr>
              <w:t>1个；</w:t>
            </w:r>
          </w:p>
          <w:p>
            <w:pPr>
              <w:numPr>
                <w:ilvl w:val="0"/>
                <w:numId w:val="81"/>
              </w:numPr>
              <w:spacing w:line="440" w:lineRule="exact"/>
              <w:rPr>
                <w:rFonts w:ascii="宋体" w:hAnsi="宋体" w:cs="宋体"/>
                <w:sz w:val="24"/>
                <w:highlight w:val="none"/>
              </w:rPr>
            </w:pPr>
            <w:r>
              <w:rPr>
                <w:rFonts w:ascii="宋体" w:hAnsi="宋体" w:cs="宋体"/>
                <w:sz w:val="24"/>
                <w:highlight w:val="none"/>
              </w:rPr>
              <w:t>软件</w:t>
            </w:r>
            <w:r>
              <w:rPr>
                <w:rFonts w:hint="eastAsia" w:ascii="宋体" w:hAnsi="宋体" w:cs="宋体"/>
                <w:sz w:val="24"/>
                <w:highlight w:val="none"/>
              </w:rPr>
              <w:t>1套；</w:t>
            </w:r>
          </w:p>
          <w:p>
            <w:pPr>
              <w:numPr>
                <w:ilvl w:val="0"/>
                <w:numId w:val="81"/>
              </w:numPr>
              <w:spacing w:line="440" w:lineRule="exact"/>
              <w:rPr>
                <w:rFonts w:ascii="宋体" w:hAnsi="宋体" w:cs="宋体"/>
                <w:sz w:val="24"/>
                <w:highlight w:val="none"/>
              </w:rPr>
            </w:pPr>
            <w:r>
              <w:rPr>
                <w:rFonts w:ascii="宋体" w:hAnsi="宋体" w:cs="宋体"/>
                <w:sz w:val="24"/>
                <w:highlight w:val="none"/>
              </w:rPr>
              <w:t>运输箱</w:t>
            </w:r>
            <w:r>
              <w:rPr>
                <w:rFonts w:hint="eastAsia" w:ascii="宋体" w:hAnsi="宋体" w:cs="宋体"/>
                <w:sz w:val="24"/>
                <w:highlight w:val="none"/>
              </w:rPr>
              <w:t>1个；</w:t>
            </w:r>
          </w:p>
          <w:p>
            <w:pPr>
              <w:numPr>
                <w:ilvl w:val="0"/>
                <w:numId w:val="81"/>
              </w:numPr>
              <w:spacing w:line="440" w:lineRule="exact"/>
              <w:rPr>
                <w:rFonts w:ascii="宋体" w:hAnsi="宋体" w:cs="宋体"/>
                <w:sz w:val="24"/>
                <w:highlight w:val="none"/>
              </w:rPr>
            </w:pPr>
            <w:r>
              <w:rPr>
                <w:rFonts w:hint="eastAsia" w:ascii="宋体" w:hAnsi="宋体" w:cs="宋体"/>
                <w:sz w:val="24"/>
                <w:highlight w:val="none"/>
              </w:rPr>
              <w:t>图形工作站</w:t>
            </w:r>
            <w:r>
              <w:rPr>
                <w:rFonts w:ascii="宋体" w:hAnsi="宋体" w:cs="宋体"/>
                <w:sz w:val="24"/>
                <w:highlight w:val="none"/>
              </w:rPr>
              <w:t>1台</w:t>
            </w:r>
            <w:r>
              <w:rPr>
                <w:rFonts w:hint="eastAsia" w:ascii="宋体" w:hAnsi="宋体" w:cs="宋体"/>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ascii="宋体" w:hAnsi="宋体" w:cs="宋体"/>
                <w:sz w:val="24"/>
                <w:highlight w:val="none"/>
              </w:rPr>
            </w:pPr>
            <w:r>
              <w:rPr>
                <w:rFonts w:hint="eastAsia" w:ascii="宋体" w:hAnsi="宋体" w:cs="宋体"/>
                <w:sz w:val="24"/>
                <w:highlight w:val="none"/>
              </w:rPr>
              <w:t>说明</w:t>
            </w:r>
          </w:p>
        </w:tc>
        <w:tc>
          <w:tcPr>
            <w:tcW w:w="4529" w:type="pct"/>
            <w:gridSpan w:val="2"/>
          </w:tcPr>
          <w:p>
            <w:pPr>
              <w:spacing w:line="440" w:lineRule="exact"/>
              <w:jc w:val="left"/>
              <w:rPr>
                <w:rFonts w:ascii="宋体" w:hAnsi="宋体" w:cs="宋体"/>
                <w:sz w:val="24"/>
                <w:highlight w:val="none"/>
              </w:rPr>
            </w:pPr>
            <w:r>
              <w:rPr>
                <w:rFonts w:hint="eastAsia" w:ascii="宋体" w:hAnsi="宋体" w:cs="宋体"/>
                <w:sz w:val="24"/>
                <w:highlight w:val="none"/>
              </w:rPr>
              <w:t>打“★”号条款为实质性条款，若有任何一条负偏离或不满足则导致投标（响应）无效。</w:t>
            </w:r>
          </w:p>
          <w:p>
            <w:pPr>
              <w:spacing w:line="440" w:lineRule="exact"/>
              <w:jc w:val="left"/>
              <w:rPr>
                <w:rFonts w:ascii="宋体" w:hAnsi="宋体" w:cs="宋体"/>
                <w:sz w:val="24"/>
                <w:highlight w:val="none"/>
              </w:rPr>
            </w:pPr>
            <w:r>
              <w:rPr>
                <w:rFonts w:hint="eastAsia" w:ascii="宋体" w:hAnsi="宋体" w:cs="宋体"/>
                <w:sz w:val="24"/>
                <w:highlight w:val="none"/>
              </w:rPr>
              <w:t>打“▲”号条款为重要技术参数（如有），若有部分“▲”条款未响应或不满足，将根据评审要求影响其得分，但不作为无效投标（响应）条款。</w:t>
            </w:r>
          </w:p>
        </w:tc>
      </w:tr>
    </w:tbl>
    <w:p>
      <w:pPr>
        <w:outlineLvl w:val="2"/>
        <w:rPr>
          <w:highlight w:val="none"/>
        </w:rPr>
      </w:pPr>
      <w:bookmarkStart w:id="260" w:name="_Toc17318"/>
      <w:bookmarkStart w:id="261" w:name="_Toc16905"/>
      <w:bookmarkStart w:id="262" w:name="_Toc107322361"/>
      <w:bookmarkStart w:id="263" w:name="_Toc28141"/>
      <w:bookmarkStart w:id="264" w:name="_Toc8803"/>
      <w:r>
        <w:rPr>
          <w:rFonts w:hint="eastAsia"/>
          <w:b/>
          <w:sz w:val="24"/>
          <w:highlight w:val="none"/>
          <w:lang w:val="en-US" w:eastAsia="zh-CN"/>
        </w:rPr>
        <w:br w:type="textWrapping"/>
      </w:r>
      <w:r>
        <w:rPr>
          <w:rFonts w:hint="eastAsia"/>
          <w:b/>
          <w:sz w:val="24"/>
          <w:highlight w:val="none"/>
          <w:lang w:val="en-US" w:eastAsia="zh-CN"/>
        </w:rPr>
        <w:t>附表七：</w:t>
      </w:r>
      <w:r>
        <w:rPr>
          <w:rFonts w:hint="eastAsia"/>
          <w:b/>
          <w:sz w:val="24"/>
          <w:highlight w:val="none"/>
        </w:rPr>
        <w:t>荧光定量PCR仪</w:t>
      </w:r>
      <w:bookmarkEnd w:id="260"/>
      <w:bookmarkEnd w:id="261"/>
    </w:p>
    <w:tbl>
      <w:tblPr>
        <w:tblStyle w:val="2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760"/>
        <w:gridCol w:w="7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blHeader/>
        </w:trPr>
        <w:tc>
          <w:tcPr>
            <w:tcW w:w="470" w:type="pct"/>
            <w:vAlign w:val="center"/>
          </w:tcPr>
          <w:p>
            <w:pPr>
              <w:jc w:val="center"/>
              <w:rPr>
                <w:rFonts w:ascii="宋体" w:hAnsi="宋体" w:cs="宋体"/>
                <w:b/>
                <w:bCs/>
                <w:sz w:val="24"/>
                <w:highlight w:val="none"/>
              </w:rPr>
            </w:pPr>
            <w:r>
              <w:rPr>
                <w:rFonts w:hint="eastAsia" w:ascii="宋体" w:hAnsi="宋体" w:cs="宋体"/>
                <w:b/>
                <w:bCs/>
                <w:sz w:val="24"/>
                <w:highlight w:val="none"/>
              </w:rPr>
              <w:t>参数性质</w:t>
            </w:r>
          </w:p>
        </w:tc>
        <w:tc>
          <w:tcPr>
            <w:tcW w:w="411" w:type="pct"/>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4118" w:type="pct"/>
            <w:vAlign w:val="center"/>
          </w:tcPr>
          <w:p>
            <w:pPr>
              <w:jc w:val="center"/>
              <w:rPr>
                <w:rFonts w:ascii="宋体" w:hAnsi="宋体" w:cs="宋体"/>
                <w:b/>
                <w:bCs/>
                <w:sz w:val="24"/>
                <w:highlight w:val="none"/>
              </w:rPr>
            </w:pPr>
            <w:r>
              <w:rPr>
                <w:rFonts w:hint="eastAsia" w:ascii="宋体" w:hAnsi="宋体" w:cs="宋体"/>
                <w:b/>
                <w:bCs/>
                <w:sz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样</w:t>
            </w:r>
            <w:r>
              <w:rPr>
                <w:rFonts w:hint="eastAsia" w:ascii="宋体" w:hAnsi="宋体" w:cs="宋体"/>
                <w:sz w:val="24"/>
                <w:highlight w:val="none"/>
              </w:rPr>
              <w:t>品容量：96孔，单孔容量</w:t>
            </w:r>
            <w:r>
              <w:rPr>
                <w:rFonts w:hint="eastAsia"/>
                <w:highlight w:val="none"/>
              </w:rPr>
              <w:t>≥</w:t>
            </w:r>
            <w:r>
              <w:rPr>
                <w:rFonts w:hint="eastAsia" w:ascii="宋体" w:hAnsi="宋体" w:cs="宋体"/>
                <w:sz w:val="24"/>
                <w:highlight w:val="none"/>
              </w:rPr>
              <w:t>0.1ml，可</w:t>
            </w:r>
            <w:r>
              <w:rPr>
                <w:rFonts w:hint="eastAsia" w:ascii="宋体" w:hAnsi="宋体" w:cs="宋体"/>
                <w:sz w:val="24"/>
                <w:highlight w:val="none"/>
              </w:rPr>
              <w:t>使用单管、八联管、96孔板等；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反应体系：5-100ul；</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采用金属反应模块；控温范围：4-99℃；</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加热/冷却技术(温控方式)：半导体；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最高升降温速率：≥8℃/s；控温准确性：≤±0.25℃；控温均一性：≤±0.4℃；</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带有温度梯度功能；可同时设置≥6个独立温度点；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热盖：最高温度可达105℃；</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color w:val="FF0000"/>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光源：LED光源；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color w:val="FF0000"/>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检测器：通道式光电倍增管、CMOS或光电二极管；</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color w:val="FF0000"/>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光路传输无光程差；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光学系统：不少于6通道检测系统，可同时进行不少于6色荧光检测；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检测灵敏度：能检测到单拷贝DNA模板；相对定量精密度：≤1.5倍拷贝数差异；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检测线性范围：≥10个数量级，置信度为≥99.7%；</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具有光学颜色补偿功能；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多重数据分析：软件可同时分析的检测通道数：≥6个检测通道；</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数据分析模式：标准曲线定量、融解曲线、ΔCT或ΔΔCT基因表达分析、等位基因分析、基于扩增效率的数据分析模式等数据分析功能；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ascii="宋体" w:hAnsi="宋体" w:cs="宋体"/>
                <w:sz w:val="24"/>
                <w:highlight w:val="none"/>
              </w:rPr>
            </w:pPr>
            <w:r>
              <w:rPr>
                <w:rFonts w:hint="eastAsia" w:ascii="宋体" w:hAnsi="宋体" w:cs="宋体"/>
                <w:sz w:val="24"/>
                <w:highlight w:val="none"/>
              </w:rPr>
              <w:t>控制软件标配带有中文操作界面；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highlight w:val="none"/>
                <w:lang w:val="en-US" w:eastAsia="zh-CN"/>
              </w:rPr>
            </w:pPr>
            <w:r>
              <w:rPr>
                <w:rFonts w:hint="eastAsia" w:ascii="宋体" w:hAnsi="宋体" w:cs="宋体"/>
                <w:sz w:val="24"/>
                <w:highlight w:val="none"/>
              </w:rPr>
              <w:t>图形工作站性能参数：CPU:不低于Core i7；内存：不小于16GB;硬盘：不小于2*500GB；显示器：不小于19寸</w:t>
            </w:r>
            <w:r>
              <w:rPr>
                <w:rFonts w:hint="eastAsia" w:ascii="宋体" w:hAnsi="宋体" w:cs="宋体"/>
                <w:sz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p>
        </w:tc>
        <w:tc>
          <w:tcPr>
            <w:tcW w:w="411" w:type="pct"/>
            <w:vAlign w:val="center"/>
          </w:tcPr>
          <w:p>
            <w:pPr>
              <w:numPr>
                <w:ilvl w:val="0"/>
                <w:numId w:val="82"/>
              </w:numPr>
              <w:jc w:val="center"/>
              <w:rPr>
                <w:rFonts w:ascii="宋体" w:hAnsi="宋体" w:cs="宋体"/>
                <w:sz w:val="24"/>
                <w:highlight w:val="none"/>
              </w:rPr>
            </w:pPr>
          </w:p>
        </w:tc>
        <w:tc>
          <w:tcPr>
            <w:tcW w:w="4118" w:type="pct"/>
            <w:vAlign w:val="center"/>
          </w:tcPr>
          <w:p>
            <w:pPr>
              <w:numPr>
                <w:ilvl w:val="0"/>
                <w:numId w:val="0"/>
              </w:numPr>
              <w:spacing w:line="440" w:lineRule="exact"/>
              <w:ind w:leftChars="0"/>
              <w:jc w:val="left"/>
              <w:rPr>
                <w:rFonts w:ascii="宋体" w:hAnsi="宋体" w:cs="宋体"/>
                <w:sz w:val="24"/>
                <w:highlight w:val="none"/>
              </w:rPr>
            </w:pPr>
            <w:r>
              <w:rPr>
                <w:rFonts w:hint="eastAsia" w:ascii="宋体" w:hAnsi="宋体" w:cs="宋体"/>
                <w:sz w:val="24"/>
                <w:highlight w:val="none"/>
              </w:rPr>
              <w:t>配置要求：</w:t>
            </w:r>
          </w:p>
          <w:p>
            <w:pPr>
              <w:numPr>
                <w:ilvl w:val="0"/>
                <w:numId w:val="83"/>
              </w:numPr>
              <w:spacing w:line="440" w:lineRule="exact"/>
              <w:rPr>
                <w:rFonts w:ascii="宋体" w:hAnsi="宋体" w:cs="宋体"/>
                <w:sz w:val="24"/>
                <w:highlight w:val="none"/>
              </w:rPr>
            </w:pPr>
            <w:r>
              <w:rPr>
                <w:rFonts w:ascii="宋体" w:hAnsi="宋体" w:cs="宋体"/>
                <w:sz w:val="24"/>
                <w:highlight w:val="none"/>
              </w:rPr>
              <w:t>96孔槽荧光定量主机</w:t>
            </w:r>
            <w:r>
              <w:rPr>
                <w:rFonts w:hint="eastAsia" w:ascii="宋体" w:hAnsi="宋体" w:cs="宋体"/>
                <w:sz w:val="24"/>
                <w:highlight w:val="none"/>
              </w:rPr>
              <w:t>1</w:t>
            </w:r>
            <w:r>
              <w:rPr>
                <w:rFonts w:ascii="宋体" w:hAnsi="宋体" w:cs="宋体"/>
                <w:sz w:val="24"/>
                <w:highlight w:val="none"/>
              </w:rPr>
              <w:t>台</w:t>
            </w:r>
            <w:r>
              <w:rPr>
                <w:rFonts w:hint="eastAsia" w:ascii="宋体" w:hAnsi="宋体" w:cs="宋体"/>
                <w:sz w:val="24"/>
                <w:highlight w:val="none"/>
              </w:rPr>
              <w:t>；</w:t>
            </w:r>
          </w:p>
          <w:p>
            <w:pPr>
              <w:numPr>
                <w:ilvl w:val="0"/>
                <w:numId w:val="83"/>
              </w:numPr>
              <w:spacing w:line="440" w:lineRule="exact"/>
              <w:rPr>
                <w:rFonts w:ascii="宋体" w:hAnsi="宋体" w:cs="宋体"/>
                <w:sz w:val="24"/>
                <w:highlight w:val="none"/>
              </w:rPr>
            </w:pPr>
            <w:r>
              <w:rPr>
                <w:rFonts w:ascii="宋体" w:hAnsi="宋体" w:cs="宋体"/>
                <w:sz w:val="24"/>
                <w:highlight w:val="none"/>
              </w:rPr>
              <w:t>带中文的控制分析软件</w:t>
            </w:r>
            <w:r>
              <w:rPr>
                <w:rFonts w:hint="eastAsia" w:ascii="宋体" w:hAnsi="宋体" w:cs="宋体"/>
                <w:sz w:val="24"/>
                <w:highlight w:val="none"/>
              </w:rPr>
              <w:t>1</w:t>
            </w:r>
            <w:r>
              <w:rPr>
                <w:rFonts w:hint="eastAsia" w:ascii="宋体" w:hAnsi="宋体" w:cs="宋体"/>
                <w:sz w:val="24"/>
                <w:highlight w:val="none"/>
                <w:lang w:val="en-US" w:eastAsia="zh-CN"/>
              </w:rPr>
              <w:t>套</w:t>
            </w:r>
            <w:r>
              <w:rPr>
                <w:rFonts w:hint="eastAsia" w:ascii="宋体" w:hAnsi="宋体" w:cs="宋体"/>
                <w:sz w:val="24"/>
                <w:highlight w:val="none"/>
              </w:rPr>
              <w:t>；</w:t>
            </w:r>
          </w:p>
          <w:p>
            <w:pPr>
              <w:numPr>
                <w:ilvl w:val="0"/>
                <w:numId w:val="83"/>
              </w:numPr>
              <w:spacing w:line="440" w:lineRule="exact"/>
              <w:rPr>
                <w:rFonts w:ascii="宋体" w:hAnsi="宋体" w:cs="宋体"/>
                <w:sz w:val="24"/>
                <w:highlight w:val="none"/>
              </w:rPr>
            </w:pPr>
            <w:r>
              <w:rPr>
                <w:rFonts w:ascii="宋体" w:hAnsi="宋体" w:cs="宋体"/>
                <w:sz w:val="24"/>
                <w:highlight w:val="none"/>
              </w:rPr>
              <w:t>说明资料</w:t>
            </w:r>
            <w:r>
              <w:rPr>
                <w:rFonts w:hint="eastAsia" w:ascii="宋体" w:hAnsi="宋体" w:cs="宋体"/>
                <w:sz w:val="24"/>
                <w:highlight w:val="none"/>
              </w:rPr>
              <w:t>1</w:t>
            </w:r>
            <w:r>
              <w:rPr>
                <w:rFonts w:ascii="宋体" w:hAnsi="宋体" w:cs="宋体"/>
                <w:sz w:val="24"/>
                <w:highlight w:val="none"/>
              </w:rPr>
              <w:t>份</w:t>
            </w:r>
            <w:r>
              <w:rPr>
                <w:rFonts w:hint="eastAsia" w:ascii="宋体" w:hAnsi="宋体" w:cs="宋体"/>
                <w:sz w:val="24"/>
                <w:highlight w:val="none"/>
              </w:rPr>
              <w:t>；</w:t>
            </w:r>
          </w:p>
          <w:p>
            <w:pPr>
              <w:numPr>
                <w:ilvl w:val="0"/>
                <w:numId w:val="83"/>
              </w:numPr>
              <w:spacing w:line="440" w:lineRule="exact"/>
              <w:rPr>
                <w:rFonts w:ascii="宋体" w:hAnsi="宋体" w:cs="宋体"/>
                <w:sz w:val="24"/>
                <w:highlight w:val="none"/>
              </w:rPr>
            </w:pPr>
            <w:r>
              <w:rPr>
                <w:rFonts w:ascii="宋体" w:hAnsi="宋体" w:cs="宋体"/>
                <w:sz w:val="24"/>
                <w:highlight w:val="none"/>
              </w:rPr>
              <w:t>数据线和电源线</w:t>
            </w:r>
            <w:r>
              <w:rPr>
                <w:rFonts w:hint="eastAsia" w:ascii="宋体" w:hAnsi="宋体" w:cs="宋体"/>
                <w:sz w:val="24"/>
                <w:highlight w:val="none"/>
              </w:rPr>
              <w:t>1</w:t>
            </w:r>
            <w:r>
              <w:rPr>
                <w:rFonts w:ascii="宋体" w:hAnsi="宋体" w:cs="宋体"/>
                <w:sz w:val="24"/>
                <w:highlight w:val="none"/>
              </w:rPr>
              <w:t>套</w:t>
            </w:r>
            <w:r>
              <w:rPr>
                <w:rFonts w:hint="eastAsia" w:ascii="宋体" w:hAnsi="宋体" w:cs="宋体"/>
                <w:sz w:val="24"/>
                <w:highlight w:val="none"/>
              </w:rPr>
              <w:t>；</w:t>
            </w:r>
          </w:p>
          <w:p>
            <w:pPr>
              <w:numPr>
                <w:ilvl w:val="0"/>
                <w:numId w:val="83"/>
              </w:numPr>
              <w:spacing w:line="440" w:lineRule="exact"/>
              <w:rPr>
                <w:rFonts w:ascii="宋体" w:hAnsi="宋体" w:cs="宋体"/>
                <w:sz w:val="24"/>
                <w:highlight w:val="none"/>
              </w:rPr>
            </w:pPr>
            <w:r>
              <w:rPr>
                <w:rFonts w:hint="eastAsia" w:ascii="宋体" w:hAnsi="宋体" w:cs="宋体"/>
                <w:sz w:val="24"/>
                <w:highlight w:val="none"/>
              </w:rPr>
              <w:t>图形工作站</w:t>
            </w:r>
            <w:r>
              <w:rPr>
                <w:rFonts w:ascii="宋体" w:hAnsi="宋体" w:cs="宋体"/>
                <w:sz w:val="24"/>
                <w:highlight w:val="none"/>
              </w:rPr>
              <w:t>1台</w:t>
            </w:r>
            <w:r>
              <w:rPr>
                <w:rFonts w:hint="eastAsia" w:ascii="宋体" w:hAnsi="宋体" w:cs="宋体"/>
                <w:sz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trPr>
        <w:tc>
          <w:tcPr>
            <w:tcW w:w="470" w:type="pct"/>
            <w:vAlign w:val="center"/>
          </w:tcPr>
          <w:p>
            <w:pPr>
              <w:jc w:val="center"/>
              <w:rPr>
                <w:rFonts w:ascii="宋体" w:hAnsi="宋体" w:cs="宋体"/>
                <w:sz w:val="24"/>
                <w:highlight w:val="none"/>
              </w:rPr>
            </w:pPr>
            <w:r>
              <w:rPr>
                <w:rFonts w:hint="eastAsia" w:ascii="宋体" w:hAnsi="宋体" w:cs="宋体"/>
                <w:sz w:val="24"/>
                <w:highlight w:val="none"/>
              </w:rPr>
              <w:t>说明</w:t>
            </w:r>
          </w:p>
        </w:tc>
        <w:tc>
          <w:tcPr>
            <w:tcW w:w="4529" w:type="pct"/>
            <w:gridSpan w:val="2"/>
          </w:tcPr>
          <w:p>
            <w:pPr>
              <w:spacing w:line="440" w:lineRule="exact"/>
              <w:jc w:val="left"/>
              <w:rPr>
                <w:rFonts w:ascii="宋体" w:hAnsi="宋体" w:cs="宋体"/>
                <w:sz w:val="24"/>
                <w:highlight w:val="none"/>
              </w:rPr>
            </w:pPr>
            <w:r>
              <w:rPr>
                <w:rFonts w:hint="eastAsia" w:ascii="宋体" w:hAnsi="宋体" w:cs="宋体"/>
                <w:sz w:val="24"/>
                <w:highlight w:val="none"/>
              </w:rPr>
              <w:t>打“★”号条款为实质性条款，若有任何一条负偏离或不满足则导致投标（响应）无效。</w:t>
            </w:r>
          </w:p>
          <w:p>
            <w:pPr>
              <w:spacing w:line="440" w:lineRule="exact"/>
              <w:jc w:val="left"/>
              <w:rPr>
                <w:rFonts w:ascii="宋体" w:hAnsi="宋体" w:cs="宋体"/>
                <w:sz w:val="24"/>
                <w:highlight w:val="none"/>
              </w:rPr>
            </w:pPr>
            <w:r>
              <w:rPr>
                <w:rFonts w:hint="eastAsia" w:ascii="宋体" w:hAnsi="宋体" w:cs="宋体"/>
                <w:sz w:val="24"/>
                <w:highlight w:val="none"/>
              </w:rPr>
              <w:t>打“▲”号条款为重要技术参数（如有），若有部分“▲”条款未响应或不满足，将根据评审要求影响其得分，但不作为无效投标（响应）条款。</w:t>
            </w:r>
          </w:p>
        </w:tc>
      </w:tr>
    </w:tbl>
    <w:p>
      <w:pPr>
        <w:outlineLvl w:val="2"/>
        <w:rPr>
          <w:highlight w:val="none"/>
        </w:rPr>
      </w:pPr>
      <w:bookmarkStart w:id="265" w:name="_Toc720621097"/>
      <w:bookmarkStart w:id="266" w:name="_Toc27566"/>
      <w:bookmarkStart w:id="267" w:name="_Toc1489"/>
      <w:r>
        <w:rPr>
          <w:b/>
          <w:sz w:val="24"/>
          <w:highlight w:val="none"/>
        </w:rPr>
        <w:br w:type="textWrapping"/>
      </w:r>
      <w:r>
        <w:rPr>
          <w:b/>
          <w:sz w:val="24"/>
          <w:highlight w:val="none"/>
        </w:rPr>
        <w:t>附表</w:t>
      </w:r>
      <w:r>
        <w:rPr>
          <w:rFonts w:hint="eastAsia"/>
          <w:b/>
          <w:sz w:val="24"/>
          <w:highlight w:val="none"/>
          <w:lang w:val="en-US" w:eastAsia="zh-CN"/>
        </w:rPr>
        <w:t>八</w:t>
      </w:r>
      <w:r>
        <w:rPr>
          <w:b/>
          <w:sz w:val="24"/>
          <w:highlight w:val="none"/>
        </w:rPr>
        <w:t>：</w:t>
      </w:r>
      <w:r>
        <w:rPr>
          <w:rFonts w:hint="eastAsia"/>
          <w:b/>
          <w:sz w:val="24"/>
          <w:highlight w:val="none"/>
        </w:rPr>
        <w:t>遗传分析系统</w:t>
      </w:r>
      <w:bookmarkEnd w:id="265"/>
      <w:bookmarkEnd w:id="266"/>
      <w:bookmarkEnd w:id="267"/>
    </w:p>
    <w:tbl>
      <w:tblPr>
        <w:tblStyle w:val="2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9"/>
        <w:gridCol w:w="760"/>
        <w:gridCol w:w="761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blHeader/>
        </w:trPr>
        <w:tc>
          <w:tcPr>
            <w:tcW w:w="470" w:type="pct"/>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参数性质</w:t>
            </w:r>
          </w:p>
        </w:tc>
        <w:tc>
          <w:tcPr>
            <w:tcW w:w="411" w:type="pct"/>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118" w:type="pct"/>
            <w:vAlign w:val="center"/>
          </w:tcPr>
          <w:p>
            <w:pPr>
              <w:jc w:val="center"/>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动态温度控制从18℃到70℃；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具备</w:t>
            </w:r>
            <w:r>
              <w:rPr>
                <w:rFonts w:hint="eastAsia" w:ascii="宋体" w:hAnsi="宋体" w:eastAsia="宋体" w:cs="宋体"/>
                <w:sz w:val="24"/>
                <w:szCs w:val="24"/>
                <w:highlight w:val="none"/>
              </w:rPr>
              <w:t>多色荧光分析能力，六色荧光系统，可同时检测</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8种不同的荧光染料；</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cs="宋体"/>
                <w:sz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24道毛细管，电泳电压≥20KV；</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采用标准电源供电的固态长寿命505nm激光，单一高强度固态激光双侧同时激发多根毛细管。单一波长激光束可以保证荧光检测灵敏度，双侧同时激发保证不同毛细管间均一性高度一致；</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分光系统采用光栅全波长分光；</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低温CCD 彩色成像系统，连续波长检测；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70" w:type="pct"/>
            <w:vAlign w:val="center"/>
          </w:tcPr>
          <w:p>
            <w:pPr>
              <w:jc w:val="center"/>
              <w:rPr>
                <w:rFonts w:hint="eastAsia" w:ascii="宋体" w:hAnsi="宋体" w:eastAsia="宋体" w:cs="宋体"/>
                <w:color w:val="FF0000"/>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支持快速测序(≤35min/run)，支持六色荧光，灵敏度高；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更新荧光化学时无需更换任何硬件设备；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内径50uM的毛细管，灌胶时自动内涂层，真空包装，贮存时间</w:t>
            </w:r>
            <w:r>
              <w:rPr>
                <w:rFonts w:hint="eastAsia" w:ascii="宋体" w:hAnsi="宋体" w:eastAsia="宋体" w:cs="宋体"/>
                <w:sz w:val="24"/>
                <w:szCs w:val="24"/>
                <w:highlight w:val="none"/>
                <w:lang w:val="en-US" w:eastAsia="zh-CN"/>
              </w:rPr>
              <w:t>≥3年</w:t>
            </w:r>
            <w:r>
              <w:rPr>
                <w:rFonts w:hint="eastAsia" w:ascii="宋体" w:hAnsi="宋体" w:eastAsia="宋体" w:cs="宋体"/>
                <w:sz w:val="24"/>
                <w:szCs w:val="24"/>
                <w:highlight w:val="none"/>
              </w:rPr>
              <w:t>。不少于两种长度的毛细管，36cm和50cm，针对不同应用提供更灵活的选择方式；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支持的分离胶（POP）性能稳定,保质期</w:t>
            </w:r>
            <w:r>
              <w:rPr>
                <w:rFonts w:hint="eastAsia" w:ascii="宋体" w:hAnsi="宋体" w:eastAsia="宋体" w:cs="宋体"/>
                <w:sz w:val="24"/>
                <w:szCs w:val="24"/>
                <w:highlight w:val="none"/>
                <w:lang w:val="en-US" w:eastAsia="zh-CN"/>
              </w:rPr>
              <w:t>≥8个月</w:t>
            </w:r>
            <w:r>
              <w:rPr>
                <w:rFonts w:hint="eastAsia" w:ascii="宋体" w:hAnsi="宋体" w:eastAsia="宋体" w:cs="宋体"/>
                <w:sz w:val="24"/>
                <w:szCs w:val="24"/>
                <w:highlight w:val="none"/>
              </w:rPr>
              <w:t>；胶黏度低,易于灌注,易于分装。不易损坏毛细管,有自动涂层功能；机上常温放置</w:t>
            </w:r>
            <w:r>
              <w:rPr>
                <w:rFonts w:hint="eastAsia" w:ascii="宋体" w:hAnsi="宋体" w:eastAsia="宋体" w:cs="宋体"/>
                <w:sz w:val="24"/>
                <w:szCs w:val="24"/>
                <w:highlight w:val="none"/>
                <w:lang w:val="en-US" w:eastAsia="zh-CN"/>
              </w:rPr>
              <w:t>≥14天</w:t>
            </w:r>
            <w:r>
              <w:rPr>
                <w:rFonts w:hint="eastAsia" w:ascii="宋体" w:hAnsi="宋体" w:eastAsia="宋体" w:cs="宋体"/>
                <w:sz w:val="24"/>
                <w:szCs w:val="24"/>
                <w:highlight w:val="none"/>
              </w:rPr>
              <w:t>；三种不同分离度的POP胶可更好的支持于测序和片段分析多种应用；分离胶含量可支持不少于960个样本的检测；</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支持机上耗材，毛细管，阴阳极缓冲液，POP胶等采用无线射频识别（RFID）技术，用以追踪关键消耗品数据并记录管理信息；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color w:val="FF0000"/>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光栅分光全波长范围检测，可选择四色或五色或六色的荧光标记进行片段分析的应用；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color w:val="FF0000"/>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支持多种测序模式：超快速——读长：500bp；快速——读长：700bp；标准——读长：850bp；以上读长均为QV＞20的连续最大读长；</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color w:val="FF0000"/>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支持8联管，96孔板，384孔板上机；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可进行亲子鉴定，连锁分析，SNP分析等实验。对于快速的短片段读序实验，平均每天通量≥350个样品；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片段分析准确度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全部等位基因，超过90%的样品达到</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0.15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50-400bp</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测序性能</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按标准测序模式，平均每天通量≥88个样品，90%样品中收集的碱基中间值≥1000bp，90%样品中的KB QV20 CRL≥850bp；</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根据GB∕T 39914-2021、GB∕T 39917-2021等主要农作物品种真实性和纯度SSR分子标记检测 玉米和稻等标准，能开展植物品种分子指纹采集（标准品种指纹验证）工作，采集目标位点误差≤0.15bp；提供具有第三方检测机构采用GB∕T 39914-2021、GB∕T 39917-2021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利用本设备完成的报告各5份。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单次装载≥</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块反应板，支持实验进程中（除电进样阶段）连续装板和样品重新排序；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仪器</w:t>
            </w:r>
            <w:r>
              <w:rPr>
                <w:rFonts w:hint="eastAsia" w:ascii="宋体" w:hAnsi="宋体" w:eastAsia="宋体" w:cs="宋体"/>
                <w:sz w:val="24"/>
                <w:szCs w:val="24"/>
                <w:highlight w:val="none"/>
                <w:lang w:val="en-US" w:eastAsia="zh-CN"/>
              </w:rPr>
              <w:t>包括一个</w:t>
            </w:r>
            <w:r>
              <w:rPr>
                <w:rFonts w:hint="eastAsia" w:ascii="宋体" w:hAnsi="宋体" w:eastAsia="宋体" w:cs="宋体"/>
                <w:sz w:val="24"/>
                <w:szCs w:val="24"/>
                <w:highlight w:val="none"/>
              </w:rPr>
              <w:t>可直接启动仪器的触摸屏界面，可脱机运行，无需连接计算机；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具备原厂配备的安全、审查和电子签名功能；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具有</w:t>
            </w:r>
            <w:r>
              <w:rPr>
                <w:rFonts w:hint="eastAsia" w:ascii="宋体" w:hAnsi="宋体" w:eastAsia="宋体" w:cs="宋体"/>
                <w:sz w:val="24"/>
                <w:szCs w:val="24"/>
                <w:highlight w:val="none"/>
              </w:rPr>
              <w:t>数据采集和初步分析软件，具有自动化碱基判读及质量评分(QV)功能，可提供数据质量的实时评估</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1"/>
                <w:numId w:val="0"/>
              </w:numPr>
              <w:spacing w:line="440" w:lineRule="exact"/>
              <w:ind w:left="0" w:firstLine="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具有远程故障排除功能；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shd w:val="clear" w:color="auto" w:fill="auto"/>
            <w:vAlign w:val="center"/>
          </w:tcPr>
          <w:p>
            <w:pPr>
              <w:numPr>
                <w:ilvl w:val="255"/>
                <w:numId w:val="0"/>
              </w:numPr>
              <w:spacing w:line="440" w:lineRule="exact"/>
              <w:ind w:left="0" w:leftChars="0" w:firstLine="0" w:firstLineChars="0"/>
              <w:jc w:val="left"/>
              <w:rPr>
                <w:rFonts w:hint="eastAsia" w:ascii="宋体" w:hAnsi="宋体" w:eastAsia="宋体" w:cs="宋体"/>
                <w:kern w:val="2"/>
                <w:sz w:val="24"/>
                <w:szCs w:val="24"/>
                <w:highlight w:val="none"/>
                <w:lang w:val="en-US" w:eastAsia="zh-CN" w:bidi="ar-SA"/>
              </w:rPr>
            </w:pPr>
            <w:r>
              <w:rPr>
                <w:rFonts w:hint="eastAsia" w:ascii="宋体" w:hAnsi="宋体" w:eastAsia="宋体" w:cs="宋体"/>
                <w:sz w:val="24"/>
                <w:szCs w:val="24"/>
                <w:highlight w:val="none"/>
              </w:rPr>
              <w:t>提供原厂研发的稀有突变检测软件；提供原厂研发的序列比较软件；提供原厂研发的片段分析软件。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shd w:val="clear" w:color="auto" w:fill="auto"/>
            <w:vAlign w:val="center"/>
          </w:tcPr>
          <w:p>
            <w:pPr>
              <w:numPr>
                <w:ilvl w:val="255"/>
                <w:numId w:val="0"/>
              </w:numPr>
              <w:spacing w:line="440" w:lineRule="exact"/>
              <w:ind w:left="0" w:leftChars="0" w:firstLine="0" w:firstLineChars="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图形工作站性能不低于：CPU</w:t>
            </w:r>
            <w:r>
              <w:rPr>
                <w:rFonts w:hint="eastAsia" w:ascii="宋体" w:hAnsi="宋体" w:cs="宋体"/>
                <w:sz w:val="24"/>
                <w:szCs w:val="24"/>
                <w:highlight w:val="none"/>
                <w:lang w:val="en-US" w:eastAsia="zh-CN"/>
              </w:rPr>
              <w:t>为</w:t>
            </w:r>
            <w:r>
              <w:rPr>
                <w:rFonts w:hint="eastAsia" w:ascii="宋体" w:hAnsi="宋体" w:eastAsia="宋体" w:cs="宋体"/>
                <w:sz w:val="24"/>
                <w:szCs w:val="24"/>
                <w:highlight w:val="none"/>
              </w:rPr>
              <w:t>i</w:t>
            </w:r>
            <w:r>
              <w:rPr>
                <w:rFonts w:hint="eastAsia" w:ascii="宋体" w:hAnsi="宋体" w:cs="宋体"/>
                <w:sz w:val="24"/>
                <w:szCs w:val="24"/>
                <w:highlight w:val="none"/>
                <w:lang w:val="en-US" w:eastAsia="zh-CN"/>
              </w:rPr>
              <w:t>7处理器</w:t>
            </w:r>
            <w:r>
              <w:rPr>
                <w:rFonts w:hint="eastAsia" w:ascii="宋体" w:hAnsi="宋体" w:eastAsia="宋体" w:cs="宋体"/>
                <w:sz w:val="24"/>
                <w:szCs w:val="24"/>
                <w:highlight w:val="none"/>
              </w:rPr>
              <w:t>，RAM：16GB以上，SSD：1T以上，操作系统：WIN 10，屏幕：24寸以上；</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70" w:type="pct"/>
            <w:vAlign w:val="center"/>
          </w:tcPr>
          <w:p>
            <w:pPr>
              <w:jc w:val="center"/>
              <w:rPr>
                <w:rFonts w:hint="eastAsia" w:ascii="宋体" w:hAnsi="宋体" w:eastAsia="宋体" w:cs="宋体"/>
                <w:sz w:val="24"/>
                <w:szCs w:val="24"/>
                <w:highlight w:val="none"/>
              </w:rPr>
            </w:pPr>
          </w:p>
        </w:tc>
        <w:tc>
          <w:tcPr>
            <w:tcW w:w="411" w:type="pct"/>
            <w:vAlign w:val="center"/>
          </w:tcPr>
          <w:p>
            <w:pPr>
              <w:numPr>
                <w:ilvl w:val="0"/>
                <w:numId w:val="84"/>
              </w:numPr>
              <w:jc w:val="center"/>
              <w:rPr>
                <w:rFonts w:hint="eastAsia" w:ascii="宋体" w:hAnsi="宋体" w:eastAsia="宋体" w:cs="宋体"/>
                <w:sz w:val="24"/>
                <w:szCs w:val="24"/>
                <w:highlight w:val="none"/>
              </w:rPr>
            </w:pPr>
          </w:p>
        </w:tc>
        <w:tc>
          <w:tcPr>
            <w:tcW w:w="4118" w:type="pct"/>
            <w:vAlign w:val="center"/>
          </w:tcPr>
          <w:p>
            <w:pPr>
              <w:numPr>
                <w:ilvl w:val="0"/>
                <w:numId w:val="0"/>
              </w:numPr>
              <w:spacing w:line="440" w:lineRule="exact"/>
              <w:ind w:leftChars="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配置要求：</w:t>
            </w:r>
          </w:p>
          <w:p>
            <w:pPr>
              <w:numPr>
                <w:ilvl w:val="0"/>
                <w:numId w:val="85"/>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遗传分析仪1台；</w:t>
            </w:r>
          </w:p>
          <w:p>
            <w:pPr>
              <w:numPr>
                <w:ilvl w:val="0"/>
                <w:numId w:val="85"/>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图形</w:t>
            </w:r>
            <w:r>
              <w:rPr>
                <w:rFonts w:hint="eastAsia" w:ascii="宋体" w:hAnsi="宋体" w:eastAsia="宋体" w:cs="宋体"/>
                <w:sz w:val="24"/>
                <w:szCs w:val="24"/>
                <w:highlight w:val="none"/>
              </w:rPr>
              <w:t>工作站1台；</w:t>
            </w:r>
          </w:p>
          <w:p>
            <w:pPr>
              <w:numPr>
                <w:ilvl w:val="0"/>
                <w:numId w:val="85"/>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分析软件1套；</w:t>
            </w:r>
          </w:p>
          <w:p>
            <w:pPr>
              <w:numPr>
                <w:ilvl w:val="0"/>
                <w:numId w:val="85"/>
              </w:numPr>
              <w:spacing w:line="440" w:lineRule="exact"/>
              <w:rPr>
                <w:rFonts w:hint="eastAsia" w:ascii="宋体" w:hAnsi="宋体" w:eastAsia="宋体" w:cs="宋体"/>
                <w:sz w:val="24"/>
                <w:szCs w:val="24"/>
                <w:highlight w:val="none"/>
              </w:rPr>
            </w:pPr>
            <w:r>
              <w:rPr>
                <w:rFonts w:hint="eastAsia" w:ascii="宋体" w:hAnsi="宋体" w:eastAsia="宋体" w:cs="宋体"/>
                <w:sz w:val="24"/>
                <w:szCs w:val="24"/>
                <w:highlight w:val="none"/>
              </w:rPr>
              <w:t>装机试剂1套。</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70" w:type="pct"/>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c>
          <w:tcPr>
            <w:tcW w:w="4529" w:type="pct"/>
            <w:gridSpan w:val="2"/>
          </w:tcPr>
          <w:p>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打“★”号条款为实质性条款，若有任何一条负偏离或不满足则导致投标（响应）无效。</w:t>
            </w:r>
          </w:p>
          <w:p>
            <w:pPr>
              <w:spacing w:line="440" w:lineRule="exact"/>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打“▲”号条款为重要技术参数（如有），若有部分“▲”条款未响应或不满足，将根据评审要求影响其得分，但不作为无效投标（响应）条款。</w:t>
            </w:r>
          </w:p>
        </w:tc>
      </w:tr>
    </w:tbl>
    <w:p>
      <w:pPr>
        <w:outlineLvl w:val="2"/>
        <w:rPr>
          <w:b/>
          <w:sz w:val="24"/>
          <w:highlight w:val="none"/>
        </w:rPr>
      </w:pPr>
      <w:bookmarkStart w:id="268" w:name="_Toc19633"/>
      <w:bookmarkStart w:id="269" w:name="_Toc14161"/>
      <w:r>
        <w:rPr>
          <w:b/>
          <w:sz w:val="24"/>
          <w:highlight w:val="none"/>
        </w:rPr>
        <w:br w:type="textWrapping"/>
      </w:r>
      <w:r>
        <w:rPr>
          <w:b/>
          <w:sz w:val="24"/>
          <w:highlight w:val="none"/>
        </w:rPr>
        <w:t>附表</w:t>
      </w:r>
      <w:r>
        <w:rPr>
          <w:rFonts w:hint="eastAsia"/>
          <w:b/>
          <w:sz w:val="24"/>
          <w:highlight w:val="none"/>
          <w:lang w:val="en-US" w:eastAsia="zh-CN"/>
        </w:rPr>
        <w:t>九</w:t>
      </w:r>
      <w:r>
        <w:rPr>
          <w:b/>
          <w:sz w:val="24"/>
          <w:highlight w:val="none"/>
        </w:rPr>
        <w:t>：电感耦合等离子体质谱仪</w:t>
      </w:r>
      <w:bookmarkEnd w:id="268"/>
      <w:bookmarkEnd w:id="269"/>
    </w:p>
    <w:tbl>
      <w:tblPr>
        <w:tblStyle w:val="29"/>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7"/>
        <w:gridCol w:w="760"/>
        <w:gridCol w:w="7615"/>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blHeader/>
        </w:trPr>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参数性质</w:t>
            </w:r>
          </w:p>
        </w:tc>
        <w:tc>
          <w:tcPr>
            <w:tcW w:w="411"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411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具体技术(参数)要求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雾化器：耐高盐、同心雾化器；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雾室：双通道石英雾室</w:t>
            </w:r>
            <w:r>
              <w:rPr>
                <w:rFonts w:hint="eastAsia" w:ascii="宋体" w:hAnsi="宋体" w:eastAsia="宋体" w:cs="宋体"/>
                <w:sz w:val="24"/>
                <w:szCs w:val="24"/>
                <w:highlight w:val="none"/>
                <w:lang w:eastAsia="zh-CN"/>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炬管：一体式石英炬管，无〇型圈设计，炬管(位)X/Y/Z定位可由步进电机控制自动完成；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接口：样品锥和截取锥组成的接口，要求锥数量≥2个，采样锥孔径≥1.0mm，截取锥孔径≥0.45mm；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tabs>
                <w:tab w:val="left" w:pos="180"/>
                <w:tab w:val="left" w:pos="525"/>
              </w:tabs>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离子源：数控式、固态射频发生器或高频率自激式全固态射频发生器，频率≤27.12MHz，功率：</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00－1</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00W。</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二次放电消除技术：具备屏蔽矩物理接地技术；</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离子透镜：由离子提取和离子偏转双系统组成，≥2个提取透镜，离子透镜彻底免维护，如果使用离子透镜技术公司需承诺终身免费清洗离子透镜，并且提供耗材。</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碰撞/反应池：要求具备八极杆设计，具有最佳离子聚焦及传输效率；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质量分析器：MO材质双曲面四级杆； </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w:t>
            </w: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质量数范围：2~258 amu</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kinsoku/>
              <w:wordWrap/>
              <w:overflowPunct/>
              <w:topLinePunct w:val="0"/>
              <w:autoSpaceDE/>
              <w:autoSpaceDN/>
              <w:bidi w:val="0"/>
              <w:adjustRightInd/>
              <w:spacing w:line="440" w:lineRule="exact"/>
              <w:ind w:left="5"/>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四极杆驱动频率大于2.8 MHz；</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color w:val="auto"/>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检测器：检测器离子技术范围不小于0.1~109 cps</w:t>
            </w:r>
            <w:r>
              <w:rPr>
                <w:rFonts w:hint="eastAsia" w:ascii="宋体" w:hAnsi="宋体" w:eastAsia="宋体" w:cs="宋体"/>
                <w:color w:val="auto"/>
                <w:sz w:val="24"/>
                <w:szCs w:val="24"/>
                <w:highlight w:val="none"/>
              </w:rPr>
              <w:t>，动态范围≥9个数量级</w:t>
            </w:r>
            <w:r>
              <w:rPr>
                <w:rFonts w:hint="eastAsia" w:ascii="宋体" w:hAnsi="宋体" w:eastAsia="宋体" w:cs="宋体"/>
                <w:bCs/>
                <w:color w:val="auto"/>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自动进样器：不少于200个样品位的样品架，不少于4个大瓶清洗位；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图形工作站性能不低于：配置要求：Intel® 四核3.2 GHz； 8G内存；500G HDD；16倍速DVD；22吋液晶显示器；配激光打印机；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操作软件：</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(1)操作系统：Windows 10操作系统及在此系统下运行的仪器控制软件；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(2)全自动工作条件调谐 (AutoTuning)；</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w:t>
            </w: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灵敏度【cps/ppm】：</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低质量数：Li或 Be (7)≥50M；</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中质量数：Y 或In (89)≥240M；</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高质量数：Tl或 U (205)≥200M；</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w:t>
            </w: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检测限【3*sigma，ppt】：</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Be≤0.5ppt；</w:t>
            </w:r>
          </w:p>
          <w:p>
            <w:pPr>
              <w:keepNext w:val="0"/>
              <w:keepLines w:val="0"/>
              <w:pageBreakBefore w:val="0"/>
              <w:widowControl w:val="0"/>
              <w:tabs>
                <w:tab w:val="left" w:pos="4616"/>
              </w:tabs>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In≤0.2ppt；</w:t>
            </w:r>
            <w:r>
              <w:rPr>
                <w:rFonts w:hint="eastAsia" w:ascii="宋体" w:hAnsi="宋体" w:eastAsia="宋体" w:cs="宋体"/>
                <w:sz w:val="24"/>
                <w:szCs w:val="24"/>
                <w:highlight w:val="none"/>
                <w:lang w:eastAsia="zh-CN"/>
              </w:rPr>
              <w:tab/>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Bi≤0.1ppt；</w:t>
            </w:r>
          </w:p>
          <w:p>
            <w:pPr>
              <w:keepNext w:val="0"/>
              <w:keepLines w:val="0"/>
              <w:pageBreakBefore w:val="0"/>
              <w:widowControl w:val="0"/>
              <w:kinsoku/>
              <w:wordWrap/>
              <w:overflowPunct/>
              <w:topLinePunct w:val="0"/>
              <w:autoSpaceDE/>
              <w:autoSpaceDN/>
              <w:bidi w:val="0"/>
              <w:adjustRightInd/>
              <w:snapToGrid w:val="0"/>
              <w:spacing w:line="44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检测限作为仪器验收指标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r>
              <w:rPr>
                <w:rFonts w:hint="eastAsia" w:ascii="宋体" w:hAnsi="宋体" w:eastAsia="宋体" w:cs="宋体"/>
                <w:sz w:val="24"/>
                <w:szCs w:val="24"/>
                <w:highlight w:val="none"/>
              </w:rPr>
              <w:t>▲</w:t>
            </w: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氧化物产率(CeO+/Ce+) ：≤2.</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双电荷产率(Ce2+/Ce+)：≤5.0%；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color w:val="FF0000"/>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短期稳定性(RSD)：≤2%(20 min) (须在1ppb 标准溶液中测定)；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长期稳定性(RSD)：≤3%(2 hrs) (须在1ppb 标准溶液中测定)；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 w:type="pct"/>
            <w:vAlign w:val="center"/>
          </w:tcPr>
          <w:p>
            <w:pPr>
              <w:keepNext w:val="0"/>
              <w:keepLines w:val="0"/>
              <w:pageBreakBefore w:val="0"/>
              <w:widowControl w:val="0"/>
              <w:numPr>
                <w:ilvl w:val="0"/>
                <w:numId w:val="86"/>
              </w:numPr>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p>
        </w:tc>
        <w:tc>
          <w:tcPr>
            <w:tcW w:w="4119" w:type="pct"/>
            <w:vAlign w:val="center"/>
          </w:tcPr>
          <w:p>
            <w:pPr>
              <w:keepNext w:val="0"/>
              <w:keepLines w:val="0"/>
              <w:pageBreakBefore w:val="0"/>
              <w:widowControl w:val="0"/>
              <w:numPr>
                <w:ilvl w:val="0"/>
                <w:numId w:val="0"/>
              </w:numPr>
              <w:kinsoku/>
              <w:wordWrap/>
              <w:overflowPunct/>
              <w:topLinePunct w:val="0"/>
              <w:autoSpaceDE/>
              <w:autoSpaceDN/>
              <w:bidi w:val="0"/>
              <w:adjustRightInd/>
              <w:spacing w:line="440" w:lineRule="exact"/>
              <w:ind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配置要求：</w:t>
            </w:r>
          </w:p>
          <w:p>
            <w:pPr>
              <w:keepNext w:val="0"/>
              <w:keepLines w:val="0"/>
              <w:pageBreakBefore w:val="0"/>
              <w:widowControl w:val="0"/>
              <w:numPr>
                <w:ilvl w:val="0"/>
                <w:numId w:val="87"/>
              </w:numPr>
              <w:kinsoku/>
              <w:wordWrap/>
              <w:overflowPunct/>
              <w:topLinePunct w:val="0"/>
              <w:autoSpaceDE/>
              <w:autoSpaceDN/>
              <w:bidi w:val="0"/>
              <w:adjustRightInd/>
              <w:spacing w:line="440" w:lineRule="exact"/>
              <w:ind w:left="14" w:hanging="14"/>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ICP-MS 主机1台 (含半导体控温、高盐进样系统、碰撞反应池系统)；</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ICP-MS 原装操作软件1套；</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循环冷却水机1台；</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201位自动进样器1台；</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原装ICP-MS调谐液、多元素标准溶液、内标溶液各1套；</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镍采样锥1套；</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镍截取锥1套；</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一体式石英炬管1根；</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蠕动泵进样管2根；</w:t>
            </w:r>
          </w:p>
          <w:p>
            <w:pPr>
              <w:keepNext w:val="0"/>
              <w:keepLines w:val="0"/>
              <w:pageBreakBefore w:val="0"/>
              <w:widowControl w:val="0"/>
              <w:numPr>
                <w:ilvl w:val="0"/>
                <w:numId w:val="87"/>
              </w:numPr>
              <w:kinsoku/>
              <w:wordWrap/>
              <w:overflowPunct/>
              <w:topLinePunct w:val="0"/>
              <w:autoSpaceDE/>
              <w:autoSpaceDN/>
              <w:bidi w:val="0"/>
              <w:adjustRightInd/>
              <w:spacing w:line="44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超纯机械泵油1升。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69" w:type="pct"/>
            <w:vAlign w:val="center"/>
          </w:tcPr>
          <w:p>
            <w:pPr>
              <w:keepNext w:val="0"/>
              <w:keepLines w:val="0"/>
              <w:pageBreakBefore w:val="0"/>
              <w:widowControl w:val="0"/>
              <w:kinsoku/>
              <w:wordWrap/>
              <w:overflowPunct/>
              <w:topLinePunct w:val="0"/>
              <w:autoSpaceDE/>
              <w:autoSpaceDN/>
              <w:bidi w:val="0"/>
              <w:adjustRightInd/>
              <w:spacing w:line="440" w:lineRule="exact"/>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说明</w:t>
            </w:r>
          </w:p>
        </w:tc>
        <w:tc>
          <w:tcPr>
            <w:tcW w:w="4530" w:type="pct"/>
            <w:gridSpan w:val="2"/>
          </w:tcPr>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打“★”号条款为实质性条款，若有任何一条负偏离或不满足则导致投标（响应）无效。</w:t>
            </w:r>
          </w:p>
          <w:p>
            <w:pPr>
              <w:keepNext w:val="0"/>
              <w:keepLines w:val="0"/>
              <w:pageBreakBefore w:val="0"/>
              <w:widowControl w:val="0"/>
              <w:kinsoku/>
              <w:wordWrap/>
              <w:overflowPunct/>
              <w:topLinePunct w:val="0"/>
              <w:autoSpaceDE/>
              <w:autoSpaceDN/>
              <w:bidi w:val="0"/>
              <w:adjustRightInd/>
              <w:spacing w:line="440" w:lineRule="exact"/>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打“▲”号条款为重要技术参数（如有），若有部分“▲”条款未响应或不满足，将根据评审要求影响其得分，但不作为无效投标（响应）条款。</w:t>
            </w:r>
          </w:p>
        </w:tc>
      </w:tr>
    </w:tbl>
    <w:p>
      <w:pPr>
        <w:numPr>
          <w:ilvl w:val="0"/>
          <w:numId w:val="64"/>
        </w:numPr>
        <w:tabs>
          <w:tab w:val="left" w:pos="567"/>
        </w:tabs>
        <w:autoSpaceDE w:val="0"/>
        <w:autoSpaceDN w:val="0"/>
        <w:adjustRightInd w:val="0"/>
        <w:snapToGrid w:val="0"/>
        <w:spacing w:before="120" w:beforeLines="50" w:line="360" w:lineRule="auto"/>
        <w:ind w:left="839"/>
        <w:outlineLvl w:val="1"/>
        <w:rPr>
          <w:rFonts w:ascii="宋体" w:hAnsi="宋体" w:cs="宋体"/>
          <w:b/>
          <w:bCs/>
          <w:color w:val="auto"/>
          <w:sz w:val="24"/>
          <w:highlight w:val="none"/>
        </w:rPr>
      </w:pPr>
      <w:bookmarkStart w:id="270" w:name="_Toc29853"/>
      <w:bookmarkStart w:id="271" w:name="_Toc25119"/>
      <w:r>
        <w:rPr>
          <w:rFonts w:hint="eastAsia" w:ascii="宋体" w:hAnsi="宋体" w:cs="宋体"/>
          <w:b/>
          <w:bCs/>
          <w:sz w:val="24"/>
          <w:highlight w:val="none"/>
        </w:rPr>
        <w:t>供货要求</w:t>
      </w:r>
      <w:bookmarkEnd w:id="262"/>
      <w:bookmarkEnd w:id="263"/>
      <w:bookmarkEnd w:id="264"/>
      <w:bookmarkEnd w:id="270"/>
      <w:bookmarkEnd w:id="271"/>
    </w:p>
    <w:p>
      <w:pPr>
        <w:widowControl/>
        <w:numPr>
          <w:ilvl w:val="0"/>
          <w:numId w:val="88"/>
        </w:numPr>
        <w:tabs>
          <w:tab w:val="left" w:pos="426"/>
        </w:tabs>
        <w:spacing w:line="360" w:lineRule="auto"/>
        <w:ind w:left="-60" w:firstLine="480"/>
        <w:rPr>
          <w:rFonts w:ascii="宋体" w:cs="宋体"/>
          <w:bCs/>
          <w:color w:val="auto"/>
          <w:sz w:val="24"/>
          <w:highlight w:val="none"/>
        </w:rPr>
      </w:pPr>
      <w:r>
        <w:rPr>
          <w:rFonts w:hint="eastAsia" w:ascii="宋体" w:cs="宋体"/>
          <w:bCs/>
          <w:color w:val="auto"/>
          <w:sz w:val="24"/>
          <w:highlight w:val="none"/>
        </w:rPr>
        <w:t>交货期：</w:t>
      </w:r>
      <w:r>
        <w:rPr>
          <w:rFonts w:hint="eastAsia" w:ascii="宋体" w:hAnsi="宋体" w:cs="宋体"/>
          <w:color w:val="auto"/>
          <w:sz w:val="24"/>
          <w:highlight w:val="none"/>
        </w:rPr>
        <w:t>自合同签订之日起90个日历天内完成供货并交付验收。</w:t>
      </w:r>
    </w:p>
    <w:p>
      <w:pPr>
        <w:widowControl/>
        <w:numPr>
          <w:ilvl w:val="0"/>
          <w:numId w:val="88"/>
        </w:numPr>
        <w:tabs>
          <w:tab w:val="left" w:pos="426"/>
        </w:tabs>
        <w:spacing w:line="360" w:lineRule="auto"/>
        <w:ind w:left="-60" w:firstLine="480"/>
        <w:rPr>
          <w:rFonts w:ascii="宋体" w:cs="宋体"/>
          <w:bCs/>
          <w:color w:val="auto"/>
          <w:sz w:val="24"/>
          <w:highlight w:val="none"/>
        </w:rPr>
      </w:pPr>
      <w:r>
        <w:rPr>
          <w:rFonts w:hint="eastAsia" w:ascii="宋体" w:cs="宋体"/>
          <w:bCs/>
          <w:color w:val="auto"/>
          <w:sz w:val="24"/>
          <w:highlight w:val="none"/>
        </w:rPr>
        <w:t>交货地点：采购人指定地点。</w:t>
      </w:r>
    </w:p>
    <w:p>
      <w:pPr>
        <w:numPr>
          <w:ilvl w:val="0"/>
          <w:numId w:val="64"/>
        </w:numPr>
        <w:tabs>
          <w:tab w:val="left" w:pos="567"/>
        </w:tabs>
        <w:autoSpaceDE w:val="0"/>
        <w:autoSpaceDN w:val="0"/>
        <w:adjustRightInd w:val="0"/>
        <w:snapToGrid w:val="0"/>
        <w:spacing w:line="360" w:lineRule="auto"/>
        <w:outlineLvl w:val="1"/>
        <w:rPr>
          <w:rFonts w:ascii="宋体" w:hAnsi="宋体" w:cs="宋体"/>
          <w:b/>
          <w:bCs/>
          <w:sz w:val="24"/>
          <w:highlight w:val="none"/>
        </w:rPr>
      </w:pPr>
      <w:bookmarkStart w:id="272" w:name="_Toc2028141494"/>
      <w:bookmarkStart w:id="273" w:name="_Toc23947"/>
      <w:bookmarkStart w:id="274" w:name="_Toc6161"/>
      <w:bookmarkStart w:id="275" w:name="_Toc22821"/>
      <w:bookmarkStart w:id="276" w:name="_Toc16960"/>
      <w:r>
        <w:rPr>
          <w:rFonts w:hint="eastAsia" w:ascii="宋体" w:hAnsi="宋体" w:cs="宋体"/>
          <w:b/>
          <w:bCs/>
          <w:sz w:val="24"/>
          <w:highlight w:val="none"/>
          <w:lang w:val="zh-CN"/>
        </w:rPr>
        <w:t>安装与调试</w:t>
      </w:r>
      <w:bookmarkEnd w:id="272"/>
      <w:bookmarkEnd w:id="273"/>
      <w:bookmarkEnd w:id="274"/>
      <w:bookmarkEnd w:id="275"/>
      <w:bookmarkEnd w:id="276"/>
    </w:p>
    <w:p>
      <w:pPr>
        <w:numPr>
          <w:ilvl w:val="0"/>
          <w:numId w:val="89"/>
        </w:numPr>
        <w:spacing w:line="360" w:lineRule="auto"/>
        <w:ind w:left="0" w:firstLine="480" w:firstLineChars="200"/>
        <w:rPr>
          <w:rFonts w:ascii="宋体" w:hAnsi="宋体" w:cs="宋体"/>
          <w:bCs/>
          <w:sz w:val="24"/>
          <w:highlight w:val="none"/>
          <w:lang w:val="zh-CN"/>
        </w:rPr>
      </w:pPr>
      <w:r>
        <w:rPr>
          <w:rFonts w:hint="eastAsia" w:ascii="宋体" w:hAnsi="宋体" w:cs="宋体"/>
          <w:bCs/>
          <w:sz w:val="24"/>
          <w:highlight w:val="none"/>
          <w:lang w:val="zh-CN"/>
        </w:rPr>
        <w:t>包装：</w:t>
      </w:r>
      <w:r>
        <w:rPr>
          <w:rFonts w:hint="eastAsia" w:ascii="宋体" w:hAnsi="宋体"/>
          <w:color w:val="000000"/>
          <w:sz w:val="24"/>
          <w:highlight w:val="none"/>
        </w:rPr>
        <w:t>货物为原厂制造商未启封全新包装，序列号、包装箱号与出厂批号一致，并可追索查阅。</w:t>
      </w:r>
    </w:p>
    <w:p>
      <w:pPr>
        <w:numPr>
          <w:ilvl w:val="0"/>
          <w:numId w:val="89"/>
        </w:numPr>
        <w:spacing w:line="360" w:lineRule="auto"/>
        <w:ind w:left="0" w:firstLine="480" w:firstLineChars="200"/>
        <w:rPr>
          <w:rFonts w:ascii="宋体" w:hAnsi="宋体" w:cs="宋体"/>
          <w:bCs/>
          <w:sz w:val="24"/>
          <w:highlight w:val="none"/>
          <w:lang w:val="zh-CN"/>
        </w:rPr>
      </w:pPr>
      <w:r>
        <w:rPr>
          <w:rFonts w:hint="eastAsia" w:ascii="宋体" w:hAnsi="宋体" w:cs="宋体"/>
          <w:bCs/>
          <w:sz w:val="24"/>
          <w:highlight w:val="none"/>
          <w:lang w:val="zh-CN"/>
        </w:rPr>
        <w:t>运输：中标人根据采购人指定的安装地点，负责将货物材料运送到现场，在此过程中的全部运输（包括但不限于装卸车、货物现场的搬运）所产生的全部费用由中标人负责。</w:t>
      </w:r>
    </w:p>
    <w:p>
      <w:pPr>
        <w:numPr>
          <w:ilvl w:val="0"/>
          <w:numId w:val="89"/>
        </w:numPr>
        <w:spacing w:line="360" w:lineRule="auto"/>
        <w:ind w:left="0" w:firstLine="480" w:firstLineChars="200"/>
        <w:rPr>
          <w:rFonts w:ascii="宋体" w:hAnsi="宋体" w:cs="宋体"/>
          <w:bCs/>
          <w:sz w:val="24"/>
          <w:highlight w:val="none"/>
          <w:lang w:val="zh-CN"/>
        </w:rPr>
      </w:pPr>
      <w:r>
        <w:rPr>
          <w:rFonts w:hint="eastAsia" w:ascii="宋体" w:hAnsi="宋体" w:cs="宋体"/>
          <w:bCs/>
          <w:sz w:val="24"/>
          <w:highlight w:val="none"/>
          <w:lang w:val="zh-CN"/>
        </w:rPr>
        <w:t>装卸：各种货物必须提供装箱清单，按装箱清单验收货物。</w:t>
      </w:r>
    </w:p>
    <w:p>
      <w:pPr>
        <w:numPr>
          <w:ilvl w:val="0"/>
          <w:numId w:val="89"/>
        </w:numPr>
        <w:spacing w:line="360" w:lineRule="auto"/>
        <w:ind w:left="0" w:firstLine="480" w:firstLineChars="200"/>
        <w:rPr>
          <w:rFonts w:ascii="宋体" w:hAnsi="宋体" w:cs="宋体"/>
          <w:bCs/>
          <w:sz w:val="24"/>
          <w:highlight w:val="none"/>
          <w:lang w:val="zh-CN"/>
        </w:rPr>
      </w:pPr>
      <w:r>
        <w:rPr>
          <w:rFonts w:hint="eastAsia" w:ascii="宋体" w:hAnsi="宋体" w:cs="宋体"/>
          <w:bCs/>
          <w:sz w:val="24"/>
          <w:highlight w:val="none"/>
          <w:lang w:val="zh-CN"/>
        </w:rPr>
        <w:t>保管：货物在现场的保管由中标人负责，直至项目安装、验收完毕。</w:t>
      </w:r>
    </w:p>
    <w:p>
      <w:pPr>
        <w:numPr>
          <w:ilvl w:val="0"/>
          <w:numId w:val="89"/>
        </w:numPr>
        <w:spacing w:line="360" w:lineRule="auto"/>
        <w:ind w:left="0" w:firstLine="480" w:firstLineChars="200"/>
        <w:rPr>
          <w:rFonts w:ascii="宋体" w:cs="宋体"/>
          <w:bCs/>
          <w:sz w:val="24"/>
          <w:highlight w:val="none"/>
        </w:rPr>
      </w:pPr>
      <w:r>
        <w:rPr>
          <w:rFonts w:hint="eastAsia" w:ascii="宋体" w:hAnsi="宋体" w:cs="宋体"/>
          <w:bCs/>
          <w:sz w:val="24"/>
          <w:highlight w:val="none"/>
          <w:lang w:val="zh-CN"/>
        </w:rPr>
        <w:t>中标人必须派出适当的技术人员到安装现场负责安装和调试工作。在安装期间，严格遵守采购人的有关规定。</w:t>
      </w:r>
    </w:p>
    <w:p>
      <w:pPr>
        <w:numPr>
          <w:ilvl w:val="0"/>
          <w:numId w:val="89"/>
        </w:numPr>
        <w:spacing w:line="360" w:lineRule="auto"/>
        <w:ind w:left="0" w:firstLine="480" w:firstLineChars="200"/>
        <w:rPr>
          <w:rFonts w:ascii="宋体" w:cs="宋体"/>
          <w:bCs/>
          <w:sz w:val="24"/>
          <w:highlight w:val="none"/>
        </w:rPr>
      </w:pPr>
      <w:r>
        <w:rPr>
          <w:rFonts w:hint="eastAsia" w:ascii="宋体" w:hAnsi="宋体" w:cs="宋体"/>
          <w:bCs/>
          <w:sz w:val="24"/>
          <w:highlight w:val="none"/>
          <w:lang w:val="zh-CN"/>
        </w:rPr>
        <w:t>中标人必须依照招标文件的要求和</w:t>
      </w:r>
      <w:r>
        <w:rPr>
          <w:rFonts w:hint="eastAsia" w:ascii="宋体" w:hAnsi="宋体" w:cs="宋体"/>
          <w:bCs/>
          <w:sz w:val="24"/>
          <w:highlight w:val="none"/>
        </w:rPr>
        <w:t>投标</w:t>
      </w:r>
      <w:r>
        <w:rPr>
          <w:rFonts w:hint="eastAsia" w:ascii="宋体" w:hAnsi="宋体" w:cs="宋体"/>
          <w:bCs/>
          <w:sz w:val="24"/>
          <w:highlight w:val="none"/>
          <w:lang w:val="zh-CN"/>
        </w:rPr>
        <w:t>文件的承诺，将设备、系统安装并调试至正常运行的最佳状态。</w:t>
      </w:r>
    </w:p>
    <w:p>
      <w:pPr>
        <w:numPr>
          <w:ilvl w:val="0"/>
          <w:numId w:val="64"/>
        </w:numPr>
        <w:tabs>
          <w:tab w:val="left" w:pos="567"/>
        </w:tabs>
        <w:autoSpaceDE w:val="0"/>
        <w:autoSpaceDN w:val="0"/>
        <w:adjustRightInd w:val="0"/>
        <w:snapToGrid w:val="0"/>
        <w:spacing w:line="360" w:lineRule="auto"/>
        <w:outlineLvl w:val="1"/>
        <w:rPr>
          <w:rFonts w:ascii="宋体" w:hAnsi="宋体" w:cs="宋体"/>
          <w:b/>
          <w:bCs/>
          <w:sz w:val="24"/>
          <w:highlight w:val="none"/>
          <w:lang w:val="zh-CN"/>
        </w:rPr>
      </w:pPr>
      <w:bookmarkStart w:id="277" w:name="_Toc13237"/>
      <w:bookmarkStart w:id="278" w:name="_Toc9002"/>
      <w:bookmarkStart w:id="279" w:name="_Toc24790"/>
      <w:bookmarkStart w:id="280" w:name="_Toc2494"/>
      <w:bookmarkStart w:id="281" w:name="_Toc2113644474"/>
      <w:r>
        <w:rPr>
          <w:rFonts w:hint="eastAsia" w:ascii="宋体" w:hAnsi="宋体" w:cs="宋体"/>
          <w:b/>
          <w:bCs/>
          <w:sz w:val="24"/>
          <w:highlight w:val="none"/>
          <w:lang w:val="zh-CN"/>
        </w:rPr>
        <w:t>验收要求</w:t>
      </w:r>
      <w:bookmarkEnd w:id="277"/>
      <w:bookmarkEnd w:id="278"/>
      <w:bookmarkEnd w:id="279"/>
      <w:bookmarkEnd w:id="280"/>
      <w:bookmarkEnd w:id="281"/>
    </w:p>
    <w:p>
      <w:pPr>
        <w:keepNext w:val="0"/>
        <w:keepLines w:val="0"/>
        <w:pageBreakBefore w:val="0"/>
        <w:widowControl w:val="0"/>
        <w:numPr>
          <w:ilvl w:val="0"/>
          <w:numId w:val="90"/>
        </w:numPr>
        <w:kinsoku/>
        <w:wordWrap/>
        <w:overflowPunct/>
        <w:topLinePunct w:val="0"/>
        <w:autoSpaceDE/>
        <w:autoSpaceDN/>
        <w:bidi w:val="0"/>
        <w:spacing w:line="360" w:lineRule="auto"/>
        <w:ind w:left="0" w:firstLine="482" w:firstLineChars="200"/>
        <w:textAlignment w:val="auto"/>
        <w:rPr>
          <w:rFonts w:ascii="宋体"/>
          <w:b/>
          <w:color w:val="000000"/>
          <w:sz w:val="24"/>
          <w:szCs w:val="24"/>
          <w:highlight w:val="none"/>
        </w:rPr>
      </w:pPr>
      <w:r>
        <w:rPr>
          <w:rFonts w:hint="eastAsia" w:ascii="宋体" w:hAnsi="宋体"/>
          <w:b/>
          <w:color w:val="000000"/>
          <w:sz w:val="24"/>
          <w:szCs w:val="24"/>
          <w:highlight w:val="none"/>
        </w:rPr>
        <w:t>到货检验</w:t>
      </w:r>
    </w:p>
    <w:p>
      <w:pPr>
        <w:keepNext w:val="0"/>
        <w:keepLines w:val="0"/>
        <w:pageBreakBefore w:val="0"/>
        <w:widowControl w:val="0"/>
        <w:numPr>
          <w:ilvl w:val="0"/>
          <w:numId w:val="9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买卖双方将依据有关规定，对到货进行表面（型</w:t>
      </w:r>
      <w:r>
        <w:rPr>
          <w:rFonts w:hint="eastAsia" w:ascii="宋体" w:hAnsi="宋体"/>
          <w:color w:val="000000"/>
          <w:sz w:val="24"/>
          <w:szCs w:val="24"/>
          <w:highlight w:val="none"/>
        </w:rPr>
        <w:t>号、规格、数量、外型、外观、包装及资料、文件等）检验。</w:t>
      </w:r>
    </w:p>
    <w:p>
      <w:pPr>
        <w:keepNext w:val="0"/>
        <w:keepLines w:val="0"/>
        <w:pageBreakBefore w:val="0"/>
        <w:widowControl w:val="0"/>
        <w:numPr>
          <w:ilvl w:val="0"/>
          <w:numId w:val="9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当货物运抵</w:t>
      </w:r>
      <w:r>
        <w:rPr>
          <w:rFonts w:hint="eastAsia" w:ascii="宋体" w:hAnsi="宋体"/>
          <w:color w:val="000000"/>
          <w:sz w:val="24"/>
          <w:szCs w:val="24"/>
          <w:highlight w:val="none"/>
          <w:lang w:val="en-US" w:eastAsia="zh-CN"/>
        </w:rPr>
        <w:t>采购人</w:t>
      </w:r>
      <w:r>
        <w:rPr>
          <w:rFonts w:hint="eastAsia" w:ascii="宋体" w:hAnsi="宋体"/>
          <w:color w:val="000000"/>
          <w:sz w:val="24"/>
          <w:szCs w:val="24"/>
          <w:highlight w:val="none"/>
        </w:rPr>
        <w:t>的现场后发现有缺陷或与合同不符，</w:t>
      </w:r>
      <w:r>
        <w:rPr>
          <w:rFonts w:hint="eastAsia" w:ascii="宋体" w:hAnsi="宋体"/>
          <w:color w:val="000000"/>
          <w:sz w:val="24"/>
          <w:szCs w:val="24"/>
          <w:highlight w:val="none"/>
          <w:lang w:val="en-US" w:eastAsia="zh-CN"/>
        </w:rPr>
        <w:t>中标人</w:t>
      </w:r>
      <w:r>
        <w:rPr>
          <w:rFonts w:hint="eastAsia" w:ascii="宋体" w:hAnsi="宋体"/>
          <w:color w:val="000000"/>
          <w:sz w:val="24"/>
          <w:szCs w:val="24"/>
          <w:highlight w:val="none"/>
        </w:rPr>
        <w:t>应及时进行更换或修复，并自行承担有关费用。</w:t>
      </w:r>
    </w:p>
    <w:p>
      <w:pPr>
        <w:keepNext w:val="0"/>
        <w:keepLines w:val="0"/>
        <w:pageBreakBefore w:val="0"/>
        <w:widowControl w:val="0"/>
        <w:numPr>
          <w:ilvl w:val="0"/>
          <w:numId w:val="9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到货检验仅仅属于预防性检验，设备是否合格应以最后整</w:t>
      </w:r>
      <w:r>
        <w:rPr>
          <w:rFonts w:hint="eastAsia" w:ascii="宋体" w:hAnsi="宋体"/>
          <w:color w:val="000000"/>
          <w:sz w:val="24"/>
          <w:szCs w:val="24"/>
          <w:highlight w:val="none"/>
        </w:rPr>
        <w:t>体验收的结论为准。</w:t>
      </w:r>
    </w:p>
    <w:p>
      <w:pPr>
        <w:keepNext w:val="0"/>
        <w:keepLines w:val="0"/>
        <w:pageBreakBefore w:val="0"/>
        <w:widowControl w:val="0"/>
        <w:numPr>
          <w:ilvl w:val="0"/>
          <w:numId w:val="90"/>
        </w:numPr>
        <w:kinsoku/>
        <w:wordWrap/>
        <w:overflowPunct/>
        <w:topLinePunct w:val="0"/>
        <w:autoSpaceDE/>
        <w:autoSpaceDN/>
        <w:bidi w:val="0"/>
        <w:spacing w:line="360" w:lineRule="auto"/>
        <w:ind w:left="0"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验收</w:t>
      </w:r>
    </w:p>
    <w:p>
      <w:pPr>
        <w:keepNext w:val="0"/>
        <w:keepLines w:val="0"/>
        <w:pageBreakBefore w:val="0"/>
        <w:widowControl w:val="0"/>
        <w:numPr>
          <w:ilvl w:val="0"/>
          <w:numId w:val="9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整体验收按国家有关的规定、规范进行。中标人按照采购人总项目的总体调试、验收的要求，对本项目单台设备进安装调试，设备正常试运行15天以上，再组织双方进行整体验收，验收合格后双方签署验收报告。</w:t>
      </w:r>
    </w:p>
    <w:p>
      <w:pPr>
        <w:keepNext w:val="0"/>
        <w:keepLines w:val="0"/>
        <w:pageBreakBefore w:val="0"/>
        <w:widowControl w:val="0"/>
        <w:numPr>
          <w:ilvl w:val="0"/>
          <w:numId w:val="9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中标人应在项目验收后将系统的全部有关产品说明书、原厂家安装及使用手册、技术文件、资料、及安装、调试、验收报告等文档汇集成册交付采购人。</w:t>
      </w:r>
    </w:p>
    <w:p>
      <w:pPr>
        <w:keepNext w:val="0"/>
        <w:keepLines w:val="0"/>
        <w:pageBreakBefore w:val="0"/>
        <w:widowControl w:val="0"/>
        <w:numPr>
          <w:ilvl w:val="0"/>
          <w:numId w:val="9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单台设备在安装调试过程中，如功能、配置、参数等不符合合同要求，中标人应负责及时整改或更换，整改或更换时间超过20天仍然不符合要求的，采购人有权要求退货退钱。</w:t>
      </w:r>
    </w:p>
    <w:p>
      <w:pPr>
        <w:keepNext w:val="0"/>
        <w:keepLines w:val="0"/>
        <w:pageBreakBefore w:val="0"/>
        <w:widowControl w:val="0"/>
        <w:numPr>
          <w:ilvl w:val="0"/>
          <w:numId w:val="9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整体验收不能通过的，中标人应负责及时整改或更换。若整改后，设备仍未能达标的，采购人可要求中标人进行更换，整改及更换超过20日的，按每日该设备价格2‰支付违约金，超过60日的，采购人有单方面解除合同的权利，并同时保留依法追究其经济及法律责任的权利。</w:t>
      </w:r>
    </w:p>
    <w:p>
      <w:pPr>
        <w:keepNext w:val="0"/>
        <w:keepLines w:val="0"/>
        <w:pageBreakBefore w:val="0"/>
        <w:widowControl w:val="0"/>
        <w:numPr>
          <w:ilvl w:val="0"/>
          <w:numId w:val="9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中标人保证合同项下提供的设备不侵犯任何第三方的专利、商标或版权。否则，中标人须承担对第三方的专利或版权的</w:t>
      </w:r>
      <w:r>
        <w:rPr>
          <w:rFonts w:hint="eastAsia" w:ascii="宋体" w:hAnsi="宋体"/>
          <w:color w:val="000000"/>
          <w:sz w:val="24"/>
          <w:szCs w:val="24"/>
          <w:highlight w:val="none"/>
        </w:rPr>
        <w:t>侵权责任并承担因此而发生的所有费用。</w:t>
      </w:r>
    </w:p>
    <w:p>
      <w:pPr>
        <w:numPr>
          <w:ilvl w:val="0"/>
          <w:numId w:val="64"/>
        </w:numPr>
        <w:tabs>
          <w:tab w:val="left" w:pos="567"/>
        </w:tabs>
        <w:autoSpaceDE w:val="0"/>
        <w:autoSpaceDN w:val="0"/>
        <w:adjustRightInd w:val="0"/>
        <w:snapToGrid w:val="0"/>
        <w:spacing w:line="360" w:lineRule="auto"/>
        <w:outlineLvl w:val="1"/>
        <w:rPr>
          <w:rFonts w:ascii="宋体" w:hAnsi="宋体" w:cs="宋体"/>
          <w:b/>
          <w:bCs/>
          <w:sz w:val="24"/>
          <w:highlight w:val="none"/>
          <w:lang w:val="zh-CN"/>
        </w:rPr>
      </w:pPr>
      <w:bookmarkStart w:id="282" w:name="_Toc26703"/>
      <w:bookmarkStart w:id="283" w:name="_Toc2902"/>
      <w:bookmarkStart w:id="284" w:name="_Toc22769"/>
      <w:bookmarkStart w:id="285" w:name="_Toc348185844"/>
      <w:bookmarkStart w:id="286" w:name="_Toc21434"/>
      <w:r>
        <w:rPr>
          <w:rFonts w:hint="eastAsia" w:ascii="宋体" w:hAnsi="宋体" w:cs="宋体"/>
          <w:b/>
          <w:bCs/>
          <w:sz w:val="24"/>
          <w:highlight w:val="none"/>
          <w:lang w:val="zh-CN"/>
        </w:rPr>
        <w:t>质保及售后服务要求</w:t>
      </w:r>
      <w:bookmarkEnd w:id="282"/>
      <w:bookmarkEnd w:id="283"/>
      <w:bookmarkEnd w:id="284"/>
      <w:bookmarkEnd w:id="285"/>
      <w:bookmarkEnd w:id="286"/>
    </w:p>
    <w:p>
      <w:pPr>
        <w:keepNext w:val="0"/>
        <w:keepLines w:val="0"/>
        <w:pageBreakBefore w:val="0"/>
        <w:widowControl w:val="0"/>
        <w:numPr>
          <w:ilvl w:val="0"/>
          <w:numId w:val="9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投标人应确保其所供设备的完整性，包括合同文件遗漏的一切事项，只要这些事项可以确定为是保证货物整体的安全、稳定、可靠所必须的，都应该被认为包括在合同价格之内。</w:t>
      </w:r>
    </w:p>
    <w:p>
      <w:pPr>
        <w:keepNext w:val="0"/>
        <w:keepLines w:val="0"/>
        <w:pageBreakBefore w:val="0"/>
        <w:widowControl w:val="0"/>
        <w:numPr>
          <w:ilvl w:val="0"/>
          <w:numId w:val="9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投标时，应提交拟提供货物的产品介绍</w:t>
      </w:r>
      <w:r>
        <w:rPr>
          <w:rFonts w:hint="eastAsia" w:ascii="宋体" w:hAnsi="宋体"/>
          <w:b w:val="0"/>
          <w:bCs/>
          <w:color w:val="000000"/>
          <w:sz w:val="24"/>
          <w:szCs w:val="24"/>
          <w:highlight w:val="none"/>
          <w:lang w:eastAsia="zh-CN"/>
        </w:rPr>
        <w:t>，</w:t>
      </w:r>
      <w:r>
        <w:rPr>
          <w:rFonts w:hint="eastAsia" w:ascii="宋体" w:hAnsi="宋体"/>
          <w:b w:val="0"/>
          <w:bCs/>
          <w:color w:val="000000"/>
          <w:sz w:val="24"/>
          <w:szCs w:val="24"/>
          <w:highlight w:val="none"/>
          <w:lang w:val="en-US" w:eastAsia="zh-CN"/>
        </w:rPr>
        <w:t>若用户需求书中要求提供</w:t>
      </w:r>
      <w:r>
        <w:rPr>
          <w:rFonts w:hint="eastAsia" w:ascii="宋体" w:hAnsi="宋体"/>
          <w:b w:val="0"/>
          <w:bCs/>
          <w:color w:val="000000"/>
          <w:sz w:val="24"/>
          <w:szCs w:val="24"/>
          <w:highlight w:val="none"/>
        </w:rPr>
        <w:t>有关测试、试验、检测报告</w:t>
      </w:r>
      <w:r>
        <w:rPr>
          <w:rFonts w:hint="eastAsia" w:ascii="宋体" w:hAnsi="宋体"/>
          <w:b w:val="0"/>
          <w:bCs/>
          <w:color w:val="000000"/>
          <w:sz w:val="24"/>
          <w:szCs w:val="24"/>
          <w:highlight w:val="none"/>
          <w:lang w:val="en-US" w:eastAsia="zh-CN"/>
        </w:rPr>
        <w:t>的，应按用户需求要求提供</w:t>
      </w:r>
      <w:r>
        <w:rPr>
          <w:rFonts w:hint="eastAsia" w:ascii="宋体" w:hAnsi="宋体"/>
          <w:b w:val="0"/>
          <w:bCs/>
          <w:color w:val="000000"/>
          <w:sz w:val="24"/>
          <w:szCs w:val="24"/>
          <w:highlight w:val="none"/>
        </w:rPr>
        <w:t>。</w:t>
      </w:r>
    </w:p>
    <w:p>
      <w:pPr>
        <w:keepNext w:val="0"/>
        <w:keepLines w:val="0"/>
        <w:pageBreakBefore w:val="0"/>
        <w:widowControl w:val="0"/>
        <w:numPr>
          <w:ilvl w:val="0"/>
          <w:numId w:val="93"/>
        </w:numPr>
        <w:kinsoku/>
        <w:wordWrap/>
        <w:overflowPunct/>
        <w:topLinePunct w:val="0"/>
        <w:autoSpaceDE/>
        <w:autoSpaceDN/>
        <w:bidi w:val="0"/>
        <w:spacing w:line="360" w:lineRule="auto"/>
        <w:ind w:left="0" w:firstLine="482" w:firstLineChars="200"/>
        <w:textAlignment w:val="auto"/>
        <w:rPr>
          <w:rFonts w:hint="eastAsia" w:ascii="宋体" w:hAnsi="宋体"/>
          <w:b/>
          <w:bCs w:val="0"/>
          <w:color w:val="000000"/>
          <w:sz w:val="24"/>
          <w:szCs w:val="24"/>
          <w:highlight w:val="none"/>
        </w:rPr>
      </w:pPr>
      <w:r>
        <w:rPr>
          <w:rFonts w:hint="eastAsia" w:ascii="宋体" w:hAnsi="宋体"/>
          <w:b/>
          <w:bCs w:val="0"/>
          <w:color w:val="000000"/>
          <w:sz w:val="24"/>
          <w:szCs w:val="24"/>
          <w:highlight w:val="none"/>
        </w:rPr>
        <w:t>★本项目的质保期最低为 24个月（如设备详细需求中另外约定的从其约定），质保期从整体验收合格之日起计算。在质保期内，供货商应提供12小时响应服务，提供并完成货物正常使用情况下的维修及保养服务；如果</w:t>
      </w:r>
      <w:r>
        <w:rPr>
          <w:rFonts w:hint="eastAsia" w:ascii="宋体" w:hAnsi="宋体"/>
          <w:b/>
          <w:bCs w:val="0"/>
          <w:color w:val="000000"/>
          <w:sz w:val="24"/>
          <w:szCs w:val="24"/>
          <w:highlight w:val="none"/>
        </w:rPr>
        <w:t>有部件损坏，中标人应在三日内予以更换、维修，新更换的零部件的质保期则从更换日起计；质保</w:t>
      </w:r>
      <w:r>
        <w:rPr>
          <w:rFonts w:hint="eastAsia" w:ascii="宋体" w:hAnsi="宋体"/>
          <w:b/>
          <w:bCs w:val="0"/>
          <w:color w:val="000000"/>
          <w:sz w:val="24"/>
          <w:szCs w:val="24"/>
          <w:highlight w:val="none"/>
        </w:rPr>
        <w:t>期内全部服务费和更换零部件的费用由</w:t>
      </w:r>
      <w:r>
        <w:rPr>
          <w:rFonts w:hint="eastAsia" w:ascii="宋体" w:hAnsi="宋体"/>
          <w:b/>
          <w:bCs w:val="0"/>
          <w:color w:val="000000"/>
          <w:sz w:val="24"/>
          <w:szCs w:val="24"/>
          <w:highlight w:val="none"/>
        </w:rPr>
        <w:t>中标人</w:t>
      </w:r>
      <w:r>
        <w:rPr>
          <w:rFonts w:hint="eastAsia" w:ascii="宋体" w:hAnsi="宋体"/>
          <w:b/>
          <w:bCs w:val="0"/>
          <w:color w:val="000000"/>
          <w:sz w:val="24"/>
          <w:szCs w:val="24"/>
          <w:highlight w:val="none"/>
        </w:rPr>
        <w:t>承担。质保期内供货商须提供质量“三包”服务。</w:t>
      </w:r>
    </w:p>
    <w:p>
      <w:pPr>
        <w:keepNext w:val="0"/>
        <w:keepLines w:val="0"/>
        <w:pageBreakBefore w:val="0"/>
        <w:widowControl w:val="0"/>
        <w:numPr>
          <w:ilvl w:val="0"/>
          <w:numId w:val="9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rPr>
        <w:t>在质保期结束前，须由</w:t>
      </w:r>
      <w:r>
        <w:rPr>
          <w:rFonts w:hint="eastAsia" w:ascii="宋体" w:hAnsi="宋体"/>
          <w:color w:val="000000"/>
          <w:sz w:val="24"/>
          <w:szCs w:val="24"/>
          <w:highlight w:val="none"/>
        </w:rPr>
        <w:t>中标人</w:t>
      </w:r>
      <w:r>
        <w:rPr>
          <w:rFonts w:hint="eastAsia" w:ascii="宋体" w:hAnsi="宋体"/>
          <w:b w:val="0"/>
          <w:bCs/>
          <w:color w:val="000000"/>
          <w:sz w:val="24"/>
          <w:szCs w:val="24"/>
          <w:highlight w:val="none"/>
        </w:rPr>
        <w:t>专业工程师和</w:t>
      </w:r>
      <w:r>
        <w:rPr>
          <w:rFonts w:hint="eastAsia" w:ascii="宋体" w:hAnsi="宋体"/>
          <w:b w:val="0"/>
          <w:bCs/>
          <w:color w:val="000000"/>
          <w:sz w:val="24"/>
          <w:szCs w:val="24"/>
          <w:highlight w:val="none"/>
          <w:lang w:val="en-US" w:eastAsia="zh-CN"/>
        </w:rPr>
        <w:t>采购人</w:t>
      </w:r>
      <w:r>
        <w:rPr>
          <w:rFonts w:hint="eastAsia" w:ascii="宋体" w:hAnsi="宋体"/>
          <w:b w:val="0"/>
          <w:bCs/>
          <w:color w:val="000000"/>
          <w:sz w:val="24"/>
          <w:szCs w:val="24"/>
          <w:highlight w:val="none"/>
        </w:rPr>
        <w:t>代表对设备进行一次全面检查，任何缺陷必须由</w:t>
      </w:r>
      <w:r>
        <w:rPr>
          <w:rFonts w:hint="eastAsia" w:ascii="宋体" w:hAnsi="宋体"/>
          <w:color w:val="000000"/>
          <w:sz w:val="24"/>
          <w:szCs w:val="24"/>
          <w:highlight w:val="none"/>
        </w:rPr>
        <w:t>中标人</w:t>
      </w:r>
      <w:r>
        <w:rPr>
          <w:rFonts w:hint="eastAsia" w:ascii="宋体" w:hAnsi="宋体"/>
          <w:b w:val="0"/>
          <w:bCs/>
          <w:color w:val="000000"/>
          <w:sz w:val="24"/>
          <w:szCs w:val="24"/>
          <w:highlight w:val="none"/>
        </w:rPr>
        <w:t>负责修理、并得到</w:t>
      </w:r>
      <w:r>
        <w:rPr>
          <w:rFonts w:hint="eastAsia" w:ascii="宋体" w:hAnsi="宋体"/>
          <w:b w:val="0"/>
          <w:bCs/>
          <w:color w:val="000000"/>
          <w:sz w:val="24"/>
          <w:szCs w:val="24"/>
          <w:highlight w:val="none"/>
          <w:lang w:val="en-US" w:eastAsia="zh-CN"/>
        </w:rPr>
        <w:t>采购人</w:t>
      </w:r>
      <w:r>
        <w:rPr>
          <w:rFonts w:hint="eastAsia" w:ascii="宋体" w:hAnsi="宋体"/>
          <w:b w:val="0"/>
          <w:bCs/>
          <w:color w:val="000000"/>
          <w:sz w:val="24"/>
          <w:szCs w:val="24"/>
          <w:highlight w:val="none"/>
        </w:rPr>
        <w:t>代表认可。在修理之后，</w:t>
      </w:r>
      <w:r>
        <w:rPr>
          <w:rFonts w:hint="eastAsia" w:ascii="宋体" w:hAnsi="宋体"/>
          <w:color w:val="000000"/>
          <w:sz w:val="24"/>
          <w:szCs w:val="24"/>
          <w:highlight w:val="none"/>
        </w:rPr>
        <w:t>中标人</w:t>
      </w:r>
      <w:r>
        <w:rPr>
          <w:rFonts w:hint="eastAsia" w:ascii="宋体" w:hAnsi="宋体"/>
          <w:b w:val="0"/>
          <w:bCs/>
          <w:color w:val="000000"/>
          <w:sz w:val="24"/>
          <w:szCs w:val="24"/>
          <w:highlight w:val="none"/>
        </w:rPr>
        <w:t>应将缺陷成因、修理内容、完成修理及恢复正常的时间和日期等报告给</w:t>
      </w:r>
      <w:r>
        <w:rPr>
          <w:rFonts w:hint="eastAsia" w:ascii="宋体" w:hAnsi="宋体"/>
          <w:b w:val="0"/>
          <w:bCs/>
          <w:color w:val="000000"/>
          <w:sz w:val="24"/>
          <w:szCs w:val="24"/>
          <w:highlight w:val="none"/>
          <w:lang w:val="en-US" w:eastAsia="zh-CN"/>
        </w:rPr>
        <w:t>采购人</w:t>
      </w:r>
      <w:r>
        <w:rPr>
          <w:rFonts w:hint="eastAsia" w:ascii="宋体" w:hAnsi="宋体"/>
          <w:b w:val="0"/>
          <w:bCs/>
          <w:color w:val="000000"/>
          <w:sz w:val="24"/>
          <w:szCs w:val="24"/>
          <w:highlight w:val="none"/>
        </w:rPr>
        <w:t>。报告一式</w:t>
      </w:r>
      <w:r>
        <w:rPr>
          <w:rFonts w:hint="eastAsia" w:ascii="宋体" w:hAnsi="宋体"/>
          <w:b w:val="0"/>
          <w:bCs/>
          <w:color w:val="000000"/>
          <w:sz w:val="24"/>
          <w:szCs w:val="24"/>
          <w:highlight w:val="none"/>
        </w:rPr>
        <w:t>两份。</w:t>
      </w:r>
    </w:p>
    <w:p>
      <w:pPr>
        <w:keepNext w:val="0"/>
        <w:keepLines w:val="0"/>
        <w:pageBreakBefore w:val="0"/>
        <w:widowControl w:val="0"/>
        <w:numPr>
          <w:ilvl w:val="0"/>
          <w:numId w:val="9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rPr>
        <w:t>质保期满后承诺：</w:t>
      </w:r>
    </w:p>
    <w:p>
      <w:pPr>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以优惠价格提供零配件；</w:t>
      </w:r>
    </w:p>
    <w:p>
      <w:pPr>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维修费将以最优惠方式收费；</w:t>
      </w:r>
    </w:p>
    <w:p>
      <w:pPr>
        <w:keepNext w:val="0"/>
        <w:keepLines w:val="0"/>
        <w:pageBreakBefore w:val="0"/>
        <w:widowControl w:val="0"/>
        <w:numPr>
          <w:ilvl w:val="0"/>
          <w:numId w:val="9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专业维修人员可72小时内到现场维修。</w:t>
      </w:r>
    </w:p>
    <w:p>
      <w:pPr>
        <w:numPr>
          <w:ilvl w:val="0"/>
          <w:numId w:val="64"/>
        </w:numPr>
        <w:tabs>
          <w:tab w:val="left" w:pos="567"/>
        </w:tabs>
        <w:autoSpaceDE w:val="0"/>
        <w:autoSpaceDN w:val="0"/>
        <w:adjustRightInd w:val="0"/>
        <w:snapToGrid w:val="0"/>
        <w:spacing w:line="360" w:lineRule="auto"/>
        <w:outlineLvl w:val="1"/>
        <w:rPr>
          <w:rFonts w:ascii="宋体" w:hAnsi="宋体" w:cs="宋体"/>
          <w:b/>
          <w:bCs/>
          <w:sz w:val="24"/>
          <w:highlight w:val="none"/>
          <w:lang w:val="zh-CN"/>
        </w:rPr>
      </w:pPr>
      <w:bookmarkStart w:id="287" w:name="_Toc25293"/>
      <w:bookmarkStart w:id="288" w:name="_Toc662"/>
      <w:bookmarkStart w:id="289" w:name="_Toc24872"/>
      <w:bookmarkStart w:id="290" w:name="_Toc66542033"/>
      <w:bookmarkStart w:id="291" w:name="_Toc1852"/>
      <w:bookmarkStart w:id="292" w:name="_Toc13712"/>
      <w:r>
        <w:rPr>
          <w:rFonts w:hint="eastAsia" w:ascii="宋体" w:hAnsi="宋体" w:cs="宋体"/>
          <w:b/>
          <w:bCs/>
          <w:sz w:val="24"/>
          <w:highlight w:val="none"/>
          <w:lang w:val="zh-CN"/>
        </w:rPr>
        <w:t>投标报价要求</w:t>
      </w:r>
      <w:bookmarkEnd w:id="287"/>
      <w:bookmarkEnd w:id="288"/>
      <w:bookmarkEnd w:id="289"/>
      <w:bookmarkEnd w:id="290"/>
      <w:bookmarkEnd w:id="291"/>
    </w:p>
    <w:p>
      <w:pPr>
        <w:keepNext w:val="0"/>
        <w:keepLines w:val="0"/>
        <w:pageBreakBefore w:val="0"/>
        <w:widowControl/>
        <w:numPr>
          <w:ilvl w:val="0"/>
          <w:numId w:val="95"/>
        </w:numPr>
        <w:tabs>
          <w:tab w:val="left" w:pos="426"/>
          <w:tab w:val="left" w:pos="8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sz w:val="24"/>
          <w:highlight w:val="none"/>
          <w:lang w:val="zh-CN"/>
        </w:rPr>
      </w:pPr>
      <w:r>
        <w:rPr>
          <w:rFonts w:hint="eastAsia" w:ascii="宋体" w:hAnsi="宋体"/>
          <w:color w:val="000000"/>
          <w:sz w:val="24"/>
          <w:highlight w:val="none"/>
          <w:lang w:val="zh-CN"/>
        </w:rPr>
        <w:t>投标报价包含但不限于货物的设计、制造、包装、仓储、运输、保险、备件、配件（以达到招标文件的技术要求为准）以及供应商进行的安装、调试、试运行、计量、验收、培训、技术服务〔包括但不限于技术说明书、使用说明书、仪器原理图、操作规程、自校规程（仅限自校设备）、保养细则的提供（文字版及电子版）〕、质保期保障服务、采购需求中列明所需的备品备件（若有）等的全部含税费用。</w:t>
      </w:r>
      <w:bookmarkEnd w:id="292"/>
      <w:bookmarkStart w:id="293" w:name="_Toc21378"/>
      <w:bookmarkStart w:id="294" w:name="_Toc10436"/>
      <w:bookmarkStart w:id="295" w:name="_Toc12381"/>
    </w:p>
    <w:p>
      <w:pPr>
        <w:keepNext w:val="0"/>
        <w:keepLines w:val="0"/>
        <w:pageBreakBefore w:val="0"/>
        <w:widowControl/>
        <w:numPr>
          <w:ilvl w:val="0"/>
          <w:numId w:val="95"/>
        </w:numPr>
        <w:tabs>
          <w:tab w:val="left" w:pos="426"/>
          <w:tab w:val="left" w:pos="840"/>
        </w:tabs>
        <w:kinsoku/>
        <w:wordWrap/>
        <w:overflowPunct/>
        <w:topLinePunct w:val="0"/>
        <w:autoSpaceDE/>
        <w:autoSpaceDN/>
        <w:bidi w:val="0"/>
        <w:adjustRightInd/>
        <w:snapToGrid/>
        <w:spacing w:line="360" w:lineRule="auto"/>
        <w:ind w:left="0" w:leftChars="0" w:firstLine="480" w:firstLineChars="200"/>
        <w:textAlignment w:val="auto"/>
        <w:rPr>
          <w:rFonts w:ascii="宋体" w:hAnsi="宋体"/>
          <w:color w:val="000000"/>
          <w:sz w:val="24"/>
          <w:highlight w:val="none"/>
          <w:lang w:val="zh-CN"/>
        </w:rPr>
      </w:pPr>
      <w:r>
        <w:rPr>
          <w:rFonts w:hint="eastAsia" w:ascii="宋体" w:hAnsi="宋体"/>
          <w:color w:val="000000"/>
          <w:sz w:val="24"/>
          <w:highlight w:val="none"/>
          <w:lang w:val="zh-CN"/>
        </w:rPr>
        <w:t>中华人民共和国关境外货物还须包括但不限于：（1）货物从进口口岸至最终目的地的关境内运输、保险和其他当地发生的伴随费用。（2）进口有关的一切费用（如外贸公司代理费用、清关费用、银行手续费、海关监管手续费、报关费用、商检费用、申办机电批文费用、机场码头费等）。注：根据国务院关税税则委员会关于对原产于境外进口商品加征关税的系列公告，中标人提供的货物原产地如来自境外，且该货物在公告的商品清单内的，加征的关税由中标人支付，采购人不负责加征的关税。</w:t>
      </w:r>
    </w:p>
    <w:p>
      <w:pPr>
        <w:numPr>
          <w:ilvl w:val="0"/>
          <w:numId w:val="64"/>
        </w:numPr>
        <w:tabs>
          <w:tab w:val="left" w:pos="567"/>
        </w:tabs>
        <w:autoSpaceDE w:val="0"/>
        <w:autoSpaceDN w:val="0"/>
        <w:adjustRightInd w:val="0"/>
        <w:snapToGrid w:val="0"/>
        <w:spacing w:line="360" w:lineRule="auto"/>
        <w:outlineLvl w:val="1"/>
        <w:rPr>
          <w:rFonts w:hint="eastAsia" w:ascii="宋体" w:hAnsi="宋体" w:cs="宋体"/>
          <w:b/>
          <w:bCs/>
          <w:sz w:val="24"/>
          <w:highlight w:val="none"/>
          <w:lang w:val="zh-CN"/>
        </w:rPr>
      </w:pPr>
      <w:bookmarkStart w:id="296" w:name="_Toc105084892"/>
      <w:bookmarkStart w:id="297" w:name="_Toc228438079"/>
      <w:bookmarkStart w:id="298" w:name="_Toc209258287"/>
      <w:bookmarkStart w:id="299" w:name="_Toc228270166"/>
      <w:bookmarkStart w:id="300" w:name="_Toc17525"/>
      <w:bookmarkStart w:id="301" w:name="_Toc100568920"/>
      <w:bookmarkStart w:id="302" w:name="_Toc143871283"/>
      <w:bookmarkStart w:id="303" w:name="_Toc70255235"/>
      <w:bookmarkStart w:id="304" w:name="_Toc17676"/>
      <w:bookmarkStart w:id="305" w:name="_Toc346088917"/>
      <w:bookmarkStart w:id="306" w:name="_Toc226521708"/>
      <w:bookmarkStart w:id="307" w:name="_Toc136363756"/>
      <w:bookmarkStart w:id="308" w:name="_Toc226966696"/>
      <w:bookmarkStart w:id="309" w:name="_Toc101870813"/>
      <w:bookmarkStart w:id="310" w:name="_Toc511673178"/>
      <w:r>
        <w:rPr>
          <w:rFonts w:hint="eastAsia" w:ascii="宋体" w:hAnsi="宋体" w:cs="宋体"/>
          <w:b/>
          <w:bCs/>
          <w:sz w:val="24"/>
          <w:highlight w:val="none"/>
          <w:lang w:val="zh-CN"/>
        </w:rPr>
        <w:t>伴随服务</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pPr>
        <w:keepNext w:val="0"/>
        <w:keepLines w:val="0"/>
        <w:pageBreakBefore w:val="0"/>
        <w:widowControl/>
        <w:numPr>
          <w:ilvl w:val="0"/>
          <w:numId w:val="96"/>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bCs/>
          <w:color w:val="000000"/>
          <w:sz w:val="24"/>
          <w:highlight w:val="none"/>
          <w:lang w:val="zh-CN"/>
        </w:rPr>
      </w:pPr>
      <w:r>
        <w:rPr>
          <w:rFonts w:hint="eastAsia" w:ascii="宋体" w:hAnsi="宋体"/>
          <w:b/>
          <w:bCs/>
          <w:color w:val="000000"/>
          <w:sz w:val="24"/>
          <w:highlight w:val="none"/>
          <w:lang w:val="zh-CN"/>
        </w:rPr>
        <w:t>货物保管</w:t>
      </w:r>
    </w:p>
    <w:p>
      <w:pPr>
        <w:adjustRightInd w:val="0"/>
        <w:snapToGrid w:val="0"/>
        <w:spacing w:line="360" w:lineRule="auto"/>
        <w:ind w:firstLine="480" w:firstLineChars="200"/>
        <w:jc w:val="both"/>
        <w:rPr>
          <w:rFonts w:ascii="宋体"/>
          <w:color w:val="000000"/>
          <w:sz w:val="24"/>
          <w:szCs w:val="24"/>
          <w:highlight w:val="none"/>
        </w:rPr>
      </w:pPr>
      <w:r>
        <w:rPr>
          <w:rFonts w:hint="eastAsia" w:ascii="宋体" w:hAnsi="宋体"/>
          <w:color w:val="000000"/>
          <w:sz w:val="24"/>
          <w:szCs w:val="24"/>
          <w:highlight w:val="none"/>
        </w:rPr>
        <w:t>货物应按品种，规格，级别分别整齐堆放在指定存放地，应有在室外堆放时防雨淋和防水淹设施。</w:t>
      </w:r>
    </w:p>
    <w:p>
      <w:pPr>
        <w:keepNext w:val="0"/>
        <w:keepLines w:val="0"/>
        <w:pageBreakBefore w:val="0"/>
        <w:widowControl/>
        <w:numPr>
          <w:ilvl w:val="0"/>
          <w:numId w:val="96"/>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bCs/>
          <w:color w:val="000000"/>
          <w:sz w:val="24"/>
          <w:highlight w:val="none"/>
          <w:lang w:val="zh-CN"/>
        </w:rPr>
      </w:pPr>
      <w:r>
        <w:rPr>
          <w:rFonts w:hint="eastAsia" w:ascii="宋体" w:hAnsi="宋体"/>
          <w:b/>
          <w:bCs/>
          <w:color w:val="000000"/>
          <w:sz w:val="24"/>
          <w:highlight w:val="none"/>
          <w:lang w:val="zh-CN"/>
        </w:rPr>
        <w:t>培训</w:t>
      </w:r>
    </w:p>
    <w:p>
      <w:pPr>
        <w:keepNext w:val="0"/>
        <w:keepLines w:val="0"/>
        <w:pageBreakBefore w:val="0"/>
        <w:widowControl w:val="0"/>
        <w:numPr>
          <w:ilvl w:val="0"/>
          <w:numId w:val="9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中标人免费为采购人提供操作及维护培训，主要内容为设备的基本结构、性能、主要部件的构造及原理，日常使用操作、保养与管理，常见故障的排除，紧急情况的处理等。</w:t>
      </w:r>
    </w:p>
    <w:p>
      <w:pPr>
        <w:keepNext w:val="0"/>
        <w:keepLines w:val="0"/>
        <w:pageBreakBefore w:val="0"/>
        <w:widowControl w:val="0"/>
        <w:numPr>
          <w:ilvl w:val="0"/>
          <w:numId w:val="9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大型仪器设备（40万元以上）的，中标人应及时通知采购人派出人员参加中标人组织或所代理公司举办的相关培训，并不再收取任何培训费用。培训人员数量不少于2人。</w:t>
      </w:r>
      <w:r>
        <w:rPr>
          <w:rFonts w:hint="eastAsia" w:ascii="宋体" w:hAnsi="宋体"/>
          <w:color w:val="auto"/>
          <w:sz w:val="24"/>
          <w:szCs w:val="24"/>
          <w:highlight w:val="none"/>
        </w:rPr>
        <w:t>除现场免费使用培训以外，3年内</w:t>
      </w:r>
      <w:r>
        <w:rPr>
          <w:rFonts w:hint="eastAsia" w:ascii="宋体" w:hAnsi="宋体"/>
          <w:color w:val="auto"/>
          <w:sz w:val="24"/>
          <w:szCs w:val="24"/>
          <w:highlight w:val="none"/>
          <w:lang w:val="en-US" w:eastAsia="zh-CN"/>
        </w:rPr>
        <w:t>须</w:t>
      </w:r>
      <w:r>
        <w:rPr>
          <w:rFonts w:hint="eastAsia" w:ascii="宋体" w:hAnsi="宋体"/>
          <w:color w:val="auto"/>
          <w:sz w:val="24"/>
          <w:szCs w:val="24"/>
          <w:highlight w:val="none"/>
        </w:rPr>
        <w:t>提供相关免费培训2次以上。</w:t>
      </w:r>
    </w:p>
    <w:p>
      <w:pPr>
        <w:keepNext w:val="0"/>
        <w:keepLines w:val="0"/>
        <w:pageBreakBefore w:val="0"/>
        <w:widowControl w:val="0"/>
        <w:numPr>
          <w:ilvl w:val="0"/>
          <w:numId w:val="9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培训地点和时间主要在设备安装现场或按双方协商安排。</w:t>
      </w:r>
    </w:p>
    <w:p>
      <w:pPr>
        <w:numPr>
          <w:ilvl w:val="0"/>
          <w:numId w:val="64"/>
        </w:numPr>
        <w:tabs>
          <w:tab w:val="left" w:pos="567"/>
        </w:tabs>
        <w:autoSpaceDE w:val="0"/>
        <w:autoSpaceDN w:val="0"/>
        <w:adjustRightInd w:val="0"/>
        <w:snapToGrid w:val="0"/>
        <w:spacing w:line="360" w:lineRule="auto"/>
        <w:outlineLvl w:val="1"/>
        <w:rPr>
          <w:rFonts w:hint="eastAsia" w:ascii="宋体" w:hAnsi="宋体" w:cs="宋体"/>
          <w:b/>
          <w:bCs/>
          <w:sz w:val="24"/>
          <w:highlight w:val="none"/>
          <w:lang w:val="zh-CN"/>
        </w:rPr>
      </w:pPr>
      <w:bookmarkStart w:id="311" w:name="_Toc24710"/>
      <w:bookmarkStart w:id="312" w:name="_Toc101870814"/>
      <w:bookmarkStart w:id="313" w:name="_Toc105084893"/>
      <w:bookmarkStart w:id="314" w:name="_Toc226966697"/>
      <w:bookmarkStart w:id="315" w:name="_Toc7803"/>
      <w:bookmarkStart w:id="316" w:name="_Toc209258288"/>
      <w:bookmarkStart w:id="317" w:name="_Toc226521709"/>
      <w:bookmarkStart w:id="318" w:name="_Toc228270167"/>
      <w:bookmarkStart w:id="319" w:name="_Toc70255236"/>
      <w:bookmarkStart w:id="320" w:name="_Toc136363757"/>
      <w:bookmarkStart w:id="321" w:name="_Toc143871285"/>
      <w:bookmarkStart w:id="322" w:name="_Toc511673179"/>
      <w:bookmarkStart w:id="323" w:name="_Toc100568921"/>
      <w:bookmarkStart w:id="324" w:name="_Toc228438080"/>
      <w:bookmarkStart w:id="325" w:name="_Toc346088918"/>
      <w:r>
        <w:rPr>
          <w:rFonts w:hint="eastAsia" w:ascii="宋体" w:hAnsi="宋体" w:cs="宋体"/>
          <w:b/>
          <w:bCs/>
          <w:sz w:val="24"/>
          <w:highlight w:val="none"/>
          <w:lang w:val="zh-CN"/>
        </w:rPr>
        <w:t>资料提供</w:t>
      </w:r>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p>
    <w:p>
      <w:pPr>
        <w:keepNext w:val="0"/>
        <w:keepLines w:val="0"/>
        <w:pageBreakBefore w:val="0"/>
        <w:widowControl/>
        <w:numPr>
          <w:ilvl w:val="0"/>
          <w:numId w:val="9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ascii="宋体"/>
          <w:b/>
          <w:color w:val="000000"/>
          <w:sz w:val="24"/>
          <w:szCs w:val="24"/>
          <w:highlight w:val="none"/>
        </w:rPr>
      </w:pPr>
      <w:r>
        <w:rPr>
          <w:rFonts w:hint="eastAsia" w:ascii="宋体" w:hAnsi="宋体"/>
          <w:b/>
          <w:color w:val="000000"/>
          <w:sz w:val="24"/>
          <w:szCs w:val="24"/>
          <w:highlight w:val="none"/>
        </w:rPr>
        <w:t>设备说明（包括第三方设备）：</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设备及部件说明（含第三方部件），包括：设备的供货范围；结构、原理、详细性能特性、参数及控制接口等，电器控制原理图。</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设备的安装总图，安装说明，设备调试说明。</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设备及部件性能试验报告。</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设备制造质量资料及质量保证书。</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授权质量监督部门的各种检测报告、材料检验报告等，并列出检验内容、检验标准、测试数据、标定数据、相关计算以及最终检验结果。检验证书应以手册形式提交。</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装卸、运输及储放说明。</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特殊工具和备品备件。</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合格证，包括产品合格证，部件合格证，材料合格证。</w:t>
      </w:r>
    </w:p>
    <w:p>
      <w:pPr>
        <w:keepNext w:val="0"/>
        <w:keepLines w:val="0"/>
        <w:pageBreakBefore w:val="0"/>
        <w:widowControl w:val="0"/>
        <w:numPr>
          <w:ilvl w:val="0"/>
          <w:numId w:val="9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调试及试运行报告，及在调试期间投标人的其它所有报告。</w:t>
      </w:r>
    </w:p>
    <w:p>
      <w:pPr>
        <w:keepNext w:val="0"/>
        <w:keepLines w:val="0"/>
        <w:pageBreakBefore w:val="0"/>
        <w:widowControl/>
        <w:numPr>
          <w:ilvl w:val="0"/>
          <w:numId w:val="9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ascii="宋体"/>
          <w:b/>
          <w:color w:val="000000"/>
          <w:sz w:val="24"/>
          <w:szCs w:val="24"/>
          <w:highlight w:val="none"/>
        </w:rPr>
      </w:pPr>
      <w:r>
        <w:rPr>
          <w:rFonts w:hint="eastAsia" w:ascii="宋体" w:hAnsi="宋体"/>
          <w:b/>
          <w:color w:val="000000"/>
          <w:sz w:val="24"/>
          <w:szCs w:val="24"/>
          <w:highlight w:val="none"/>
        </w:rPr>
        <w:t>中文版的设备操作维修手册（包括第三方设备和部件）：</w:t>
      </w:r>
    </w:p>
    <w:p>
      <w:pPr>
        <w:keepNext w:val="0"/>
        <w:keepLines w:val="0"/>
        <w:pageBreakBefore w:val="0"/>
        <w:widowControl w:val="0"/>
        <w:numPr>
          <w:ilvl w:val="0"/>
          <w:numId w:val="10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所有设备的规格。</w:t>
      </w:r>
    </w:p>
    <w:p>
      <w:pPr>
        <w:keepNext w:val="0"/>
        <w:keepLines w:val="0"/>
        <w:pageBreakBefore w:val="0"/>
        <w:widowControl w:val="0"/>
        <w:numPr>
          <w:ilvl w:val="0"/>
          <w:numId w:val="10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所有设备的调试手册，操作方法及程序。</w:t>
      </w:r>
    </w:p>
    <w:p>
      <w:pPr>
        <w:keepNext w:val="0"/>
        <w:keepLines w:val="0"/>
        <w:pageBreakBefore w:val="0"/>
        <w:widowControl w:val="0"/>
        <w:numPr>
          <w:ilvl w:val="0"/>
          <w:numId w:val="10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维护保养，包括：总的要求及安全措施；投标人建议的定期保养时间及项目；投标人的设备系列号、地址及服务联系电话。</w:t>
      </w:r>
    </w:p>
    <w:p>
      <w:pPr>
        <w:keepNext w:val="0"/>
        <w:keepLines w:val="0"/>
        <w:pageBreakBefore w:val="0"/>
        <w:widowControl w:val="0"/>
        <w:numPr>
          <w:ilvl w:val="0"/>
          <w:numId w:val="10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维修，包括：设备和部件常见故障说明；建议的紧急安全程序；国内紧急维修中心的电话、地址及与负责人的联系方式；维修项目及方法；特殊工具和备品备件清单；维修图册及有关资料。</w:t>
      </w:r>
    </w:p>
    <w:p>
      <w:pPr>
        <w:keepNext w:val="0"/>
        <w:keepLines w:val="0"/>
        <w:pageBreakBefore w:val="0"/>
        <w:widowControl w:val="0"/>
        <w:numPr>
          <w:ilvl w:val="0"/>
          <w:numId w:val="10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安全技术。</w:t>
      </w:r>
    </w:p>
    <w:p>
      <w:pPr>
        <w:keepNext w:val="0"/>
        <w:keepLines w:val="0"/>
        <w:pageBreakBefore w:val="0"/>
        <w:widowControl/>
        <w:numPr>
          <w:ilvl w:val="0"/>
          <w:numId w:val="9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技术人员培训手册及培训所需的所有资料。</w:t>
      </w:r>
    </w:p>
    <w:p>
      <w:pPr>
        <w:keepNext w:val="0"/>
        <w:keepLines w:val="0"/>
        <w:pageBreakBefore w:val="0"/>
        <w:widowControl/>
        <w:numPr>
          <w:ilvl w:val="0"/>
          <w:numId w:val="9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本</w:t>
      </w:r>
      <w:r>
        <w:rPr>
          <w:rFonts w:hint="eastAsia" w:ascii="宋体" w:hAnsi="宋体"/>
          <w:b/>
          <w:color w:val="000000"/>
          <w:sz w:val="24"/>
          <w:szCs w:val="24"/>
          <w:highlight w:val="none"/>
          <w:lang w:val="en-US" w:eastAsia="zh-CN"/>
        </w:rPr>
        <w:t>招标文件</w:t>
      </w:r>
      <w:r>
        <w:rPr>
          <w:rFonts w:hint="eastAsia" w:ascii="宋体" w:hAnsi="宋体"/>
          <w:b/>
          <w:color w:val="000000"/>
          <w:sz w:val="24"/>
          <w:szCs w:val="24"/>
          <w:highlight w:val="none"/>
        </w:rPr>
        <w:t>要求的其它资料</w:t>
      </w:r>
      <w:r>
        <w:rPr>
          <w:rFonts w:hint="eastAsia" w:ascii="宋体" w:hAnsi="宋体"/>
          <w:b/>
          <w:color w:val="000000"/>
          <w:sz w:val="24"/>
          <w:szCs w:val="24"/>
          <w:highlight w:val="none"/>
          <w:lang w:eastAsia="zh-CN"/>
        </w:rPr>
        <w:t>。</w:t>
      </w:r>
    </w:p>
    <w:p>
      <w:pPr>
        <w:numPr>
          <w:ilvl w:val="0"/>
          <w:numId w:val="64"/>
        </w:numPr>
        <w:tabs>
          <w:tab w:val="left" w:pos="567"/>
        </w:tabs>
        <w:autoSpaceDE w:val="0"/>
        <w:autoSpaceDN w:val="0"/>
        <w:adjustRightInd w:val="0"/>
        <w:snapToGrid w:val="0"/>
        <w:spacing w:line="360" w:lineRule="auto"/>
        <w:outlineLvl w:val="1"/>
        <w:rPr>
          <w:rFonts w:ascii="宋体" w:hAnsi="宋体" w:cs="宋体"/>
          <w:b/>
          <w:bCs/>
          <w:sz w:val="24"/>
          <w:highlight w:val="none"/>
          <w:lang w:val="zh-CN"/>
        </w:rPr>
      </w:pPr>
      <w:bookmarkStart w:id="326" w:name="_Toc1680452191"/>
      <w:bookmarkStart w:id="327" w:name="_Toc7589"/>
      <w:bookmarkStart w:id="328" w:name="_Toc9384"/>
      <w:bookmarkStart w:id="329" w:name="_Toc12740"/>
      <w:r>
        <w:rPr>
          <w:rFonts w:hint="eastAsia" w:ascii="宋体" w:hAnsi="宋体" w:cs="宋体"/>
          <w:b/>
          <w:bCs/>
          <w:sz w:val="24"/>
          <w:highlight w:val="none"/>
          <w:lang w:val="zh-CN"/>
        </w:rPr>
        <w:t>违约责任条款</w:t>
      </w:r>
      <w:bookmarkEnd w:id="293"/>
      <w:bookmarkEnd w:id="294"/>
      <w:bookmarkEnd w:id="295"/>
      <w:bookmarkEnd w:id="326"/>
      <w:bookmarkEnd w:id="327"/>
      <w:bookmarkEnd w:id="328"/>
      <w:bookmarkEnd w:id="329"/>
    </w:p>
    <w:p>
      <w:pPr>
        <w:widowControl/>
        <w:numPr>
          <w:ilvl w:val="0"/>
          <w:numId w:val="101"/>
        </w:numPr>
        <w:tabs>
          <w:tab w:val="left" w:pos="426"/>
          <w:tab w:val="left" w:pos="840"/>
          <w:tab w:val="clear" w:pos="420"/>
        </w:tabs>
        <w:spacing w:line="360" w:lineRule="auto"/>
        <w:ind w:left="0" w:firstLine="480" w:firstLineChars="200"/>
        <w:rPr>
          <w:rFonts w:ascii="宋体" w:hAnsi="宋体"/>
          <w:color w:val="000000"/>
          <w:sz w:val="24"/>
          <w:highlight w:val="none"/>
        </w:rPr>
      </w:pPr>
      <w:r>
        <w:rPr>
          <w:rFonts w:hint="eastAsia" w:ascii="宋体" w:hAnsi="宋体"/>
          <w:color w:val="000000"/>
          <w:sz w:val="24"/>
          <w:highlight w:val="none"/>
        </w:rPr>
        <w:t>中标人未按要求履行合同义务时，</w:t>
      </w:r>
      <w:r>
        <w:rPr>
          <w:rFonts w:hint="eastAsia" w:ascii="宋体" w:hAnsi="宋体" w:cs="宋体"/>
          <w:bCs/>
          <w:sz w:val="24"/>
          <w:highlight w:val="none"/>
          <w:lang w:val="zh-CN"/>
        </w:rPr>
        <w:t>采购人</w:t>
      </w:r>
      <w:r>
        <w:rPr>
          <w:rFonts w:hint="eastAsia" w:ascii="宋体" w:hAnsi="宋体"/>
          <w:color w:val="000000"/>
          <w:sz w:val="24"/>
          <w:highlight w:val="none"/>
        </w:rPr>
        <w:t>有权拒</w:t>
      </w:r>
      <w:r>
        <w:rPr>
          <w:rFonts w:hint="eastAsia" w:ascii="宋体" w:hAnsi="宋体" w:cs="宋体"/>
          <w:color w:val="000000"/>
          <w:sz w:val="24"/>
          <w:highlight w:val="none"/>
        </w:rPr>
        <w:t>绝验收，且中标人须向</w:t>
      </w:r>
      <w:r>
        <w:rPr>
          <w:rFonts w:hint="eastAsia" w:ascii="宋体" w:hAnsi="宋体" w:cs="宋体"/>
          <w:bCs/>
          <w:sz w:val="24"/>
          <w:highlight w:val="none"/>
          <w:lang w:val="zh-CN"/>
        </w:rPr>
        <w:t>采购人</w:t>
      </w:r>
      <w:r>
        <w:rPr>
          <w:rFonts w:hint="eastAsia" w:ascii="宋体" w:hAnsi="宋体" w:cs="宋体"/>
          <w:color w:val="000000"/>
          <w:sz w:val="24"/>
          <w:highlight w:val="none"/>
        </w:rPr>
        <w:t>支付合同总额10%的违约金；逾期交付的货物，从逾期之日起每日按合同总额2‰的数额向</w:t>
      </w:r>
      <w:r>
        <w:rPr>
          <w:rFonts w:hint="eastAsia" w:ascii="宋体" w:hAnsi="宋体" w:cs="宋体"/>
          <w:bCs/>
          <w:sz w:val="24"/>
          <w:highlight w:val="none"/>
          <w:lang w:val="zh-CN"/>
        </w:rPr>
        <w:t>采购人</w:t>
      </w:r>
      <w:r>
        <w:rPr>
          <w:rFonts w:hint="eastAsia" w:ascii="宋体" w:hAnsi="宋体" w:cs="宋体"/>
          <w:color w:val="000000"/>
          <w:sz w:val="24"/>
          <w:highlight w:val="none"/>
        </w:rPr>
        <w:t>另加付违约金；设备交付逾期15日（进口仪器设备逾期30日）以上时，</w:t>
      </w:r>
      <w:r>
        <w:rPr>
          <w:rFonts w:hint="eastAsia" w:ascii="宋体" w:hAnsi="宋体" w:cs="宋体"/>
          <w:bCs/>
          <w:sz w:val="24"/>
          <w:highlight w:val="none"/>
          <w:lang w:val="zh-CN"/>
        </w:rPr>
        <w:t>采购人</w:t>
      </w:r>
      <w:r>
        <w:rPr>
          <w:rFonts w:hint="eastAsia" w:ascii="宋体" w:hAnsi="宋体" w:cs="宋体"/>
          <w:color w:val="000000"/>
          <w:sz w:val="24"/>
          <w:highlight w:val="none"/>
        </w:rPr>
        <w:t>有权终止合同，如</w:t>
      </w:r>
      <w:r>
        <w:rPr>
          <w:rFonts w:hint="eastAsia" w:ascii="宋体" w:hAnsi="宋体" w:cs="宋体"/>
          <w:bCs/>
          <w:sz w:val="24"/>
          <w:highlight w:val="none"/>
          <w:lang w:val="zh-CN"/>
        </w:rPr>
        <w:t>采购人</w:t>
      </w:r>
      <w:r>
        <w:rPr>
          <w:rFonts w:hint="eastAsia" w:ascii="宋体" w:hAnsi="宋体" w:cs="宋体"/>
          <w:color w:val="000000"/>
          <w:sz w:val="24"/>
          <w:highlight w:val="none"/>
        </w:rPr>
        <w:t>损失超过违约金数额则中标人应按实际</w:t>
      </w:r>
      <w:r>
        <w:rPr>
          <w:rFonts w:hint="eastAsia" w:ascii="宋体" w:hAnsi="宋体"/>
          <w:color w:val="000000"/>
          <w:sz w:val="24"/>
          <w:highlight w:val="none"/>
        </w:rPr>
        <w:t>损失额赔偿；在货到验收之日起</w:t>
      </w:r>
      <w:r>
        <w:rPr>
          <w:rFonts w:ascii="宋体" w:hAnsi="宋体"/>
          <w:color w:val="000000"/>
          <w:sz w:val="24"/>
          <w:highlight w:val="none"/>
        </w:rPr>
        <w:t>15</w:t>
      </w:r>
      <w:r>
        <w:rPr>
          <w:rFonts w:hint="eastAsia" w:ascii="宋体" w:hAnsi="宋体"/>
          <w:color w:val="000000"/>
          <w:sz w:val="24"/>
          <w:highlight w:val="none"/>
        </w:rPr>
        <w:t>日内仍不能按约定提供发票的，每日按未开具发票总额的</w:t>
      </w:r>
      <w:r>
        <w:rPr>
          <w:rFonts w:ascii="宋体" w:hAnsi="宋体"/>
          <w:color w:val="000000"/>
          <w:sz w:val="24"/>
          <w:highlight w:val="none"/>
        </w:rPr>
        <w:t>2</w:t>
      </w:r>
      <w:r>
        <w:rPr>
          <w:rFonts w:hint="eastAsia" w:ascii="宋体" w:hAnsi="宋体"/>
          <w:color w:val="000000"/>
          <w:sz w:val="24"/>
          <w:highlight w:val="none"/>
        </w:rPr>
        <w:t>‰支付违约金，并且中标人仍然负提供发票的责任。</w:t>
      </w:r>
    </w:p>
    <w:p>
      <w:pPr>
        <w:widowControl/>
        <w:numPr>
          <w:ilvl w:val="0"/>
          <w:numId w:val="101"/>
        </w:numPr>
        <w:tabs>
          <w:tab w:val="left" w:pos="426"/>
          <w:tab w:val="left" w:pos="840"/>
          <w:tab w:val="clear" w:pos="420"/>
        </w:tabs>
        <w:spacing w:line="360" w:lineRule="auto"/>
        <w:ind w:left="0" w:firstLine="480" w:firstLineChars="200"/>
        <w:rPr>
          <w:rFonts w:ascii="宋体" w:hAnsi="宋体"/>
          <w:color w:val="000000"/>
          <w:sz w:val="24"/>
          <w:highlight w:val="none"/>
        </w:rPr>
      </w:pPr>
      <w:r>
        <w:rPr>
          <w:rFonts w:hint="eastAsia" w:ascii="宋体" w:hAnsi="宋体"/>
          <w:color w:val="000000"/>
          <w:sz w:val="24"/>
          <w:highlight w:val="none"/>
        </w:rPr>
        <w:t>中标人未按照招标文件、投标文件等文件规定的相关义务，包括各类伴随责任等，</w:t>
      </w:r>
      <w:r>
        <w:rPr>
          <w:rFonts w:hint="eastAsia" w:ascii="宋体" w:hAnsi="宋体" w:cs="宋体"/>
          <w:bCs/>
          <w:sz w:val="24"/>
          <w:highlight w:val="none"/>
          <w:lang w:val="zh-CN"/>
        </w:rPr>
        <w:t>采购人</w:t>
      </w:r>
      <w:r>
        <w:rPr>
          <w:rFonts w:hint="eastAsia" w:ascii="宋体" w:hAnsi="宋体"/>
          <w:color w:val="000000"/>
          <w:sz w:val="24"/>
          <w:highlight w:val="none"/>
        </w:rPr>
        <w:t>有权</w:t>
      </w:r>
      <w:r>
        <w:rPr>
          <w:rFonts w:hint="eastAsia" w:ascii="宋体" w:hAnsi="宋体"/>
          <w:color w:val="000000"/>
          <w:sz w:val="24"/>
          <w:szCs w:val="24"/>
          <w:highlight w:val="none"/>
        </w:rPr>
        <w:t>扣留</w:t>
      </w:r>
      <w:r>
        <w:rPr>
          <w:rFonts w:hint="eastAsia" w:ascii="宋体" w:hAnsi="宋体"/>
          <w:color w:val="000000"/>
          <w:sz w:val="24"/>
          <w:szCs w:val="24"/>
          <w:highlight w:val="none"/>
          <w:lang w:val="en-US" w:eastAsia="zh-CN"/>
        </w:rPr>
        <w:t>履约保证金</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并</w:t>
      </w:r>
      <w:r>
        <w:rPr>
          <w:rFonts w:hint="eastAsia" w:ascii="宋体" w:hAnsi="宋体"/>
          <w:color w:val="000000"/>
          <w:sz w:val="24"/>
          <w:highlight w:val="none"/>
        </w:rPr>
        <w:t>依法追究经济责任。</w:t>
      </w:r>
    </w:p>
    <w:p>
      <w:pPr>
        <w:widowControl/>
        <w:numPr>
          <w:ilvl w:val="0"/>
          <w:numId w:val="101"/>
        </w:numPr>
        <w:tabs>
          <w:tab w:val="left" w:pos="426"/>
          <w:tab w:val="left" w:pos="840"/>
          <w:tab w:val="clear" w:pos="420"/>
        </w:tabs>
        <w:spacing w:line="360" w:lineRule="auto"/>
        <w:ind w:left="0" w:firstLine="480" w:firstLineChars="200"/>
        <w:rPr>
          <w:rFonts w:ascii="宋体" w:hAnsi="宋体"/>
          <w:color w:val="000000"/>
          <w:sz w:val="24"/>
          <w:highlight w:val="none"/>
        </w:rPr>
      </w:pPr>
      <w:r>
        <w:rPr>
          <w:rFonts w:hint="eastAsia" w:ascii="宋体" w:hAnsi="宋体" w:cs="宋体"/>
          <w:bCs/>
          <w:sz w:val="24"/>
          <w:highlight w:val="none"/>
          <w:lang w:val="zh-CN"/>
        </w:rPr>
        <w:t>采购人</w:t>
      </w:r>
      <w:r>
        <w:rPr>
          <w:rFonts w:hint="eastAsia" w:ascii="宋体" w:hAnsi="宋体"/>
          <w:color w:val="000000"/>
          <w:sz w:val="24"/>
          <w:highlight w:val="none"/>
        </w:rPr>
        <w:t>未按要求履行合同义务时，且无正当理由拖延付款时，</w:t>
      </w:r>
      <w:r>
        <w:rPr>
          <w:rFonts w:hint="eastAsia" w:ascii="宋体" w:hAnsi="宋体" w:cs="宋体"/>
          <w:bCs/>
          <w:sz w:val="24"/>
          <w:highlight w:val="none"/>
          <w:lang w:val="zh-CN"/>
        </w:rPr>
        <w:t>采购人</w:t>
      </w:r>
      <w:r>
        <w:rPr>
          <w:rFonts w:hint="eastAsia" w:ascii="宋体" w:hAnsi="宋体"/>
          <w:color w:val="000000"/>
          <w:sz w:val="24"/>
          <w:highlight w:val="none"/>
        </w:rPr>
        <w:t>须向中标人支付滞纳金，标准为每日按违约总额的</w:t>
      </w:r>
      <w:r>
        <w:rPr>
          <w:rFonts w:ascii="宋体" w:hAnsi="宋体"/>
          <w:color w:val="000000"/>
          <w:sz w:val="24"/>
          <w:highlight w:val="none"/>
        </w:rPr>
        <w:t>2</w:t>
      </w:r>
      <w:r>
        <w:rPr>
          <w:rFonts w:hint="eastAsia" w:ascii="宋体" w:hAnsi="宋体"/>
          <w:color w:val="000000"/>
          <w:sz w:val="24"/>
          <w:highlight w:val="none"/>
        </w:rPr>
        <w:t>‰计算。因国家财政要求从国库直接支付的，</w:t>
      </w:r>
      <w:r>
        <w:rPr>
          <w:rFonts w:hint="eastAsia" w:ascii="宋体" w:hAnsi="宋体" w:cs="宋体"/>
          <w:bCs/>
          <w:sz w:val="24"/>
          <w:highlight w:val="none"/>
          <w:lang w:val="zh-CN"/>
        </w:rPr>
        <w:t>采购人</w:t>
      </w:r>
      <w:r>
        <w:rPr>
          <w:rFonts w:hint="eastAsia" w:ascii="宋体" w:hAnsi="宋体"/>
          <w:color w:val="000000"/>
          <w:sz w:val="24"/>
          <w:highlight w:val="none"/>
        </w:rPr>
        <w:t>应在</w:t>
      </w:r>
      <w:r>
        <w:rPr>
          <w:rFonts w:hint="eastAsia" w:ascii="宋体" w:hAnsi="宋体"/>
          <w:color w:val="000000"/>
          <w:sz w:val="24"/>
          <w:highlight w:val="none"/>
          <w:lang w:val="en-US" w:eastAsia="zh-CN"/>
        </w:rPr>
        <w:t>30</w:t>
      </w:r>
      <w:r>
        <w:rPr>
          <w:rFonts w:hint="eastAsia" w:ascii="宋体" w:hAnsi="宋体"/>
          <w:color w:val="000000"/>
          <w:sz w:val="24"/>
          <w:highlight w:val="none"/>
        </w:rPr>
        <w:t>个工作日内办妥转移支付申请。</w:t>
      </w:r>
    </w:p>
    <w:p>
      <w:pPr>
        <w:numPr>
          <w:ilvl w:val="0"/>
          <w:numId w:val="64"/>
        </w:numPr>
        <w:tabs>
          <w:tab w:val="left" w:pos="567"/>
        </w:tabs>
        <w:autoSpaceDE w:val="0"/>
        <w:autoSpaceDN w:val="0"/>
        <w:adjustRightInd w:val="0"/>
        <w:snapToGrid w:val="0"/>
        <w:spacing w:line="360" w:lineRule="auto"/>
        <w:outlineLvl w:val="1"/>
        <w:rPr>
          <w:rFonts w:ascii="宋体" w:hAnsi="宋体" w:cs="宋体"/>
          <w:b/>
          <w:bCs/>
          <w:sz w:val="24"/>
          <w:highlight w:val="none"/>
          <w:lang w:val="zh-CN"/>
        </w:rPr>
      </w:pPr>
      <w:bookmarkStart w:id="330" w:name="_Toc3942"/>
      <w:bookmarkStart w:id="331" w:name="_Toc1802532440"/>
      <w:bookmarkStart w:id="332" w:name="_Toc28589"/>
      <w:bookmarkStart w:id="333" w:name="_Toc6333"/>
      <w:bookmarkStart w:id="334" w:name="_Toc7185"/>
      <w:bookmarkStart w:id="335" w:name="_Toc25879"/>
      <w:bookmarkStart w:id="336" w:name="_Toc29956"/>
      <w:bookmarkStart w:id="337" w:name="_Toc14221"/>
      <w:bookmarkStart w:id="338" w:name="_Toc23895"/>
      <w:bookmarkStart w:id="339" w:name="_Toc22055"/>
      <w:r>
        <w:rPr>
          <w:rFonts w:hint="eastAsia" w:ascii="宋体" w:hAnsi="宋体" w:cs="宋体"/>
          <w:b/>
          <w:bCs/>
          <w:sz w:val="24"/>
          <w:highlight w:val="none"/>
          <w:lang w:val="zh-CN"/>
        </w:rPr>
        <w:t>付款方式</w:t>
      </w:r>
      <w:bookmarkEnd w:id="330"/>
      <w:bookmarkEnd w:id="331"/>
      <w:bookmarkEnd w:id="332"/>
      <w:bookmarkEnd w:id="333"/>
      <w:bookmarkEnd w:id="334"/>
      <w:bookmarkEnd w:id="335"/>
      <w:bookmarkEnd w:id="336"/>
      <w:bookmarkEnd w:id="337"/>
      <w:bookmarkEnd w:id="338"/>
      <w:bookmarkEnd w:id="339"/>
    </w:p>
    <w:p>
      <w:pPr>
        <w:widowControl/>
        <w:numPr>
          <w:ilvl w:val="0"/>
          <w:numId w:val="102"/>
        </w:numPr>
        <w:tabs>
          <w:tab w:val="left" w:pos="426"/>
          <w:tab w:val="left" w:pos="840"/>
          <w:tab w:val="clear" w:pos="420"/>
        </w:tabs>
        <w:spacing w:line="360" w:lineRule="auto"/>
        <w:ind w:left="0" w:firstLine="480" w:firstLineChars="200"/>
        <w:rPr>
          <w:rFonts w:ascii="宋体"/>
          <w:sz w:val="24"/>
          <w:szCs w:val="24"/>
          <w:highlight w:val="none"/>
        </w:rPr>
      </w:pPr>
      <w:r>
        <w:rPr>
          <w:rFonts w:hint="eastAsia" w:ascii="宋体" w:hAnsi="宋体"/>
          <w:sz w:val="24"/>
          <w:szCs w:val="24"/>
          <w:highlight w:val="none"/>
        </w:rPr>
        <w:t>合同签订前，中标人向采购人提交中标金额1</w:t>
      </w:r>
      <w:r>
        <w:rPr>
          <w:rFonts w:ascii="宋体" w:hAnsi="宋体"/>
          <w:sz w:val="24"/>
          <w:szCs w:val="24"/>
          <w:highlight w:val="none"/>
        </w:rPr>
        <w:t>0</w:t>
      </w:r>
      <w:r>
        <w:rPr>
          <w:rFonts w:hint="eastAsia" w:ascii="宋体" w:hAnsi="宋体"/>
          <w:sz w:val="24"/>
          <w:szCs w:val="24"/>
          <w:highlight w:val="none"/>
        </w:rPr>
        <w:t>％的履约保证金（不计利息），</w:t>
      </w:r>
      <w:r>
        <w:rPr>
          <w:rFonts w:hint="eastAsia" w:ascii="宋体" w:hAnsi="宋体" w:cs="宋体"/>
          <w:sz w:val="24"/>
          <w:highlight w:val="none"/>
        </w:rPr>
        <w:t>中标人</w:t>
      </w:r>
      <w:r>
        <w:rPr>
          <w:rFonts w:hint="eastAsia" w:ascii="宋体" w:hAnsi="宋体" w:cs="宋体"/>
          <w:sz w:val="24"/>
          <w:highlight w:val="none"/>
          <w:lang w:val="en-US" w:eastAsia="zh-CN"/>
        </w:rPr>
        <w:t>可以以银行转账</w:t>
      </w:r>
      <w:r>
        <w:rPr>
          <w:rFonts w:hint="eastAsia" w:ascii="宋体" w:hAnsi="宋体" w:cs="宋体"/>
          <w:sz w:val="24"/>
          <w:highlight w:val="none"/>
          <w:lang w:val="en-US" w:eastAsia="zh-CN"/>
        </w:rPr>
        <w:t>或</w:t>
      </w:r>
      <w:r>
        <w:rPr>
          <w:rFonts w:hint="eastAsia" w:ascii="宋体" w:hAnsi="宋体" w:cs="宋体"/>
          <w:sz w:val="24"/>
          <w:highlight w:val="none"/>
        </w:rPr>
        <w:t>以支票、汇票、本票或者金融机构、担保机构出具的保函</w:t>
      </w:r>
      <w:r>
        <w:rPr>
          <w:rFonts w:hint="eastAsia" w:ascii="宋体" w:hAnsi="宋体"/>
          <w:color w:val="000000"/>
          <w:sz w:val="24"/>
          <w:szCs w:val="24"/>
          <w:highlight w:val="none"/>
        </w:rPr>
        <w:t>（见索即付）</w:t>
      </w:r>
      <w:r>
        <w:rPr>
          <w:rFonts w:hint="eastAsia" w:ascii="宋体" w:hAnsi="宋体" w:cs="宋体"/>
          <w:sz w:val="24"/>
          <w:highlight w:val="none"/>
        </w:rPr>
        <w:t>等非现金形式提交。</w:t>
      </w:r>
      <w:r>
        <w:rPr>
          <w:rFonts w:hint="eastAsia" w:ascii="宋体" w:hAnsi="宋体"/>
          <w:sz w:val="24"/>
          <w:szCs w:val="24"/>
          <w:highlight w:val="none"/>
        </w:rPr>
        <w:t>采购人在收到履约保证金</w:t>
      </w:r>
      <w:r>
        <w:rPr>
          <w:rFonts w:hint="eastAsia" w:ascii="宋体" w:hAnsi="宋体"/>
          <w:sz w:val="24"/>
          <w:szCs w:val="24"/>
          <w:highlight w:val="none"/>
          <w:lang w:val="en-US" w:eastAsia="zh-CN"/>
        </w:rPr>
        <w:t>且合同生效</w:t>
      </w:r>
      <w:r>
        <w:rPr>
          <w:rFonts w:hint="eastAsia" w:ascii="宋体" w:hAnsi="宋体"/>
          <w:sz w:val="24"/>
          <w:szCs w:val="24"/>
          <w:highlight w:val="none"/>
        </w:rPr>
        <w:t>后，</w:t>
      </w:r>
      <w:r>
        <w:rPr>
          <w:rFonts w:ascii="宋体" w:hAnsi="宋体"/>
          <w:sz w:val="24"/>
          <w:szCs w:val="24"/>
          <w:highlight w:val="none"/>
        </w:rPr>
        <w:t>15</w:t>
      </w:r>
      <w:r>
        <w:rPr>
          <w:rFonts w:hint="eastAsia" w:ascii="宋体" w:hAnsi="宋体"/>
          <w:sz w:val="24"/>
          <w:szCs w:val="24"/>
          <w:highlight w:val="none"/>
        </w:rPr>
        <w:t>个工作日内向中标人支付合同金额50</w:t>
      </w:r>
      <w:r>
        <w:rPr>
          <w:rFonts w:ascii="宋体" w:hAnsi="宋体"/>
          <w:sz w:val="24"/>
          <w:szCs w:val="24"/>
          <w:highlight w:val="none"/>
        </w:rPr>
        <w:t>%</w:t>
      </w:r>
      <w:r>
        <w:rPr>
          <w:rFonts w:hint="eastAsia" w:ascii="宋体" w:hAnsi="宋体"/>
          <w:sz w:val="24"/>
          <w:szCs w:val="24"/>
          <w:highlight w:val="none"/>
        </w:rPr>
        <w:t>的预付货款；采购人收到中标人提供的货物，经采购人初验后，采购人再向中标人支付合同金额30</w:t>
      </w:r>
      <w:r>
        <w:rPr>
          <w:rFonts w:ascii="宋体" w:hAnsi="宋体"/>
          <w:sz w:val="24"/>
          <w:szCs w:val="24"/>
          <w:highlight w:val="none"/>
        </w:rPr>
        <w:t>%</w:t>
      </w:r>
      <w:r>
        <w:rPr>
          <w:rFonts w:hint="eastAsia" w:ascii="宋体" w:hAnsi="宋体"/>
          <w:sz w:val="24"/>
          <w:szCs w:val="24"/>
          <w:highlight w:val="none"/>
        </w:rPr>
        <w:t>的货款。货物安装调试完毕并验收合格并提供</w:t>
      </w:r>
      <w:r>
        <w:rPr>
          <w:rFonts w:hint="eastAsia" w:ascii="宋体" w:hAnsi="宋体"/>
          <w:sz w:val="24"/>
          <w:szCs w:val="24"/>
          <w:highlight w:val="none"/>
          <w:lang w:val="en-US" w:eastAsia="zh-CN"/>
        </w:rPr>
        <w:t>付款方式序号2</w:t>
      </w:r>
      <w:r>
        <w:rPr>
          <w:rFonts w:hint="eastAsia" w:ascii="宋体" w:hAnsi="宋体"/>
          <w:sz w:val="24"/>
          <w:szCs w:val="24"/>
          <w:highlight w:val="none"/>
        </w:rPr>
        <w:t>中约定的文件、单据、发票后，采购人支付尾款并退还履约保证金。</w:t>
      </w:r>
    </w:p>
    <w:p>
      <w:pPr>
        <w:widowControl/>
        <w:numPr>
          <w:ilvl w:val="0"/>
          <w:numId w:val="102"/>
        </w:numPr>
        <w:tabs>
          <w:tab w:val="left" w:pos="426"/>
          <w:tab w:val="left" w:pos="840"/>
          <w:tab w:val="clear" w:pos="420"/>
        </w:tabs>
        <w:spacing w:line="360" w:lineRule="auto"/>
        <w:ind w:left="0" w:firstLine="480" w:firstLineChars="200"/>
        <w:rPr>
          <w:rFonts w:ascii="宋体"/>
          <w:color w:val="000000"/>
          <w:sz w:val="24"/>
          <w:szCs w:val="24"/>
          <w:highlight w:val="none"/>
        </w:rPr>
      </w:pPr>
      <w:r>
        <w:rPr>
          <w:rFonts w:hint="eastAsia" w:ascii="宋体" w:hAnsi="宋体"/>
          <w:color w:val="000000"/>
          <w:sz w:val="24"/>
          <w:szCs w:val="24"/>
          <w:highlight w:val="none"/>
        </w:rPr>
        <w:t>当中标人将货物安装调试完毕，双方验收合格后，由采购人出具验收合格报告。</w:t>
      </w:r>
    </w:p>
    <w:p>
      <w:pPr>
        <w:keepNext w:val="0"/>
        <w:keepLines w:val="0"/>
        <w:pageBreakBefore w:val="0"/>
        <w:widowControl w:val="0"/>
        <w:numPr>
          <w:ilvl w:val="0"/>
          <w:numId w:val="10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国产设备、不免税自用进口设备：中标人必须提供由当地国家、地方税务机关监制，并套印当地国家、地方税务机关印章的相关人民币正式发票（国内人民币发票）。</w:t>
      </w:r>
    </w:p>
    <w:p>
      <w:pPr>
        <w:keepNext w:val="0"/>
        <w:keepLines w:val="0"/>
        <w:pageBreakBefore w:val="0"/>
        <w:widowControl w:val="0"/>
        <w:numPr>
          <w:ilvl w:val="0"/>
          <w:numId w:val="10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免税自用进口设备：乙方决定按（A）提供发票，而且提供的发票上购买方必须是</w:t>
      </w:r>
      <w:r>
        <w:rPr>
          <w:rFonts w:hint="eastAsia" w:ascii="宋体" w:hAnsi="宋体"/>
          <w:sz w:val="24"/>
          <w:szCs w:val="24"/>
          <w:highlight w:val="none"/>
        </w:rPr>
        <w:t>采购人</w:t>
      </w:r>
      <w:r>
        <w:rPr>
          <w:rFonts w:hint="eastAsia" w:ascii="宋体" w:hAnsi="宋体"/>
          <w:color w:val="000000"/>
          <w:sz w:val="24"/>
          <w:szCs w:val="24"/>
          <w:highlight w:val="none"/>
        </w:rPr>
        <w:t>单位名称，连同报关单复印件作报销凭证和验收单据。</w:t>
      </w:r>
    </w:p>
    <w:p>
      <w:pPr>
        <w:spacing w:line="360" w:lineRule="auto"/>
        <w:ind w:firstLine="315" w:firstLineChars="150"/>
        <w:rPr>
          <w:rFonts w:ascii="宋体" w:hAnsi="宋体" w:cs="Tms Rmn"/>
          <w:bCs/>
          <w:sz w:val="24"/>
          <w:highlight w:val="none"/>
        </w:rPr>
      </w:pPr>
      <w:r>
        <w:rPr>
          <w:rFonts w:hint="eastAsia"/>
          <w:highlight w:val="none"/>
        </w:rPr>
        <w:t xml:space="preserve"> </w:t>
      </w:r>
      <w:r>
        <w:rPr>
          <w:rFonts w:hint="eastAsia" w:ascii="宋体" w:hAnsi="宋体" w:cs="Tms Rmn"/>
          <w:bCs/>
          <w:sz w:val="24"/>
          <w:highlight w:val="none"/>
        </w:rPr>
        <w:t>A．全额境外原始发票，汇率以签合同日为准；</w:t>
      </w:r>
    </w:p>
    <w:p>
      <w:pPr>
        <w:pStyle w:val="10"/>
        <w:ind w:firstLine="420"/>
        <w:rPr>
          <w:rFonts w:hint="eastAsia" w:ascii="宋体" w:hAnsi="宋体" w:cs="Tms Rmn"/>
          <w:bCs/>
          <w:sz w:val="24"/>
          <w:highlight w:val="none"/>
        </w:rPr>
      </w:pPr>
      <w:r>
        <w:rPr>
          <w:rFonts w:hint="eastAsia" w:ascii="宋体" w:hAnsi="宋体" w:cs="Tms Rmn"/>
          <w:bCs/>
          <w:sz w:val="24"/>
          <w:highlight w:val="none"/>
        </w:rPr>
        <w:t>B．全额国内发票，可以是免税或非免税的发票；</w:t>
      </w:r>
    </w:p>
    <w:p>
      <w:pPr>
        <w:spacing w:line="360" w:lineRule="auto"/>
        <w:ind w:firstLine="480" w:firstLineChars="200"/>
        <w:rPr>
          <w:rFonts w:ascii="宋体" w:hAnsi="宋体" w:cs="Tms Rmn"/>
          <w:bCs/>
          <w:sz w:val="24"/>
          <w:highlight w:val="none"/>
        </w:rPr>
      </w:pPr>
      <w:r>
        <w:rPr>
          <w:rFonts w:ascii="宋体" w:hAnsi="宋体"/>
          <w:bCs/>
          <w:color w:val="000000"/>
          <w:sz w:val="24"/>
          <w:highlight w:val="none"/>
        </w:rPr>
        <w:t>提交上述文件、单据、发票</w:t>
      </w:r>
      <w:r>
        <w:rPr>
          <w:rFonts w:hint="eastAsia" w:ascii="宋体" w:hAnsi="宋体"/>
          <w:bCs/>
          <w:color w:val="000000"/>
          <w:sz w:val="24"/>
          <w:highlight w:val="none"/>
        </w:rPr>
        <w:t>后，</w:t>
      </w:r>
      <w:r>
        <w:rPr>
          <w:rFonts w:hint="eastAsia" w:ascii="宋体" w:hAnsi="宋体"/>
          <w:sz w:val="24"/>
          <w:szCs w:val="24"/>
          <w:highlight w:val="none"/>
        </w:rPr>
        <w:t>采购人</w:t>
      </w:r>
      <w:r>
        <w:rPr>
          <w:rFonts w:ascii="宋体" w:hAnsi="宋体" w:cs="hakuyoxingshu7000"/>
          <w:bCs/>
          <w:color w:val="000000"/>
          <w:sz w:val="24"/>
          <w:highlight w:val="none"/>
        </w:rPr>
        <w:t>向</w:t>
      </w:r>
      <w:r>
        <w:rPr>
          <w:rFonts w:hint="eastAsia" w:ascii="宋体" w:hAnsi="宋体" w:cs="hakuyoxingshu7000"/>
          <w:bCs/>
          <w:color w:val="000000"/>
          <w:sz w:val="24"/>
          <w:highlight w:val="none"/>
          <w:lang w:val="en-US" w:eastAsia="zh-CN"/>
        </w:rPr>
        <w:t>中标人</w:t>
      </w:r>
      <w:r>
        <w:rPr>
          <w:rFonts w:hint="eastAsia" w:ascii="宋体" w:hAnsi="宋体" w:cs="hakuyoxingshu7000"/>
          <w:bCs/>
          <w:color w:val="000000"/>
          <w:sz w:val="24"/>
          <w:highlight w:val="none"/>
        </w:rPr>
        <w:t>支付剩余尾款</w:t>
      </w:r>
      <w:r>
        <w:rPr>
          <w:rFonts w:hint="eastAsia" w:ascii="宋体" w:hAnsi="宋体" w:cs="hakuyoxingshu7000"/>
          <w:bCs/>
          <w:color w:val="000000"/>
          <w:sz w:val="24"/>
          <w:highlight w:val="none"/>
          <w:lang w:eastAsia="zh-CN"/>
        </w:rPr>
        <w:t>，</w:t>
      </w:r>
      <w:r>
        <w:rPr>
          <w:rFonts w:hint="eastAsia" w:ascii="宋体" w:hAnsi="宋体" w:cs="hakuyoxingshu7000"/>
          <w:bCs/>
          <w:color w:val="000000"/>
          <w:sz w:val="24"/>
          <w:highlight w:val="none"/>
          <w:lang w:val="en-US" w:eastAsia="zh-CN"/>
        </w:rPr>
        <w:t>并</w:t>
      </w:r>
      <w:r>
        <w:rPr>
          <w:rFonts w:hint="eastAsia" w:ascii="宋体" w:hAnsi="宋体" w:cs="hakuyoxingshu7000"/>
          <w:bCs/>
          <w:color w:val="000000"/>
          <w:sz w:val="24"/>
          <w:highlight w:val="none"/>
        </w:rPr>
        <w:t>退</w:t>
      </w:r>
      <w:r>
        <w:rPr>
          <w:rFonts w:hint="eastAsia" w:ascii="宋体" w:hAnsi="宋体" w:cs="hakuyoxingshu7000"/>
          <w:bCs/>
          <w:color w:val="000000"/>
          <w:sz w:val="24"/>
          <w:highlight w:val="none"/>
          <w:lang w:val="en-US" w:eastAsia="zh-CN"/>
        </w:rPr>
        <w:t>还</w:t>
      </w:r>
      <w:r>
        <w:rPr>
          <w:rFonts w:hint="eastAsia" w:ascii="宋体" w:hAnsi="宋体" w:cs="hakuyoxingshu7000"/>
          <w:bCs/>
          <w:color w:val="000000"/>
          <w:sz w:val="24"/>
          <w:highlight w:val="none"/>
        </w:rPr>
        <w:t>履约保证金</w:t>
      </w:r>
      <w:r>
        <w:rPr>
          <w:rFonts w:hint="eastAsia" w:ascii="宋体" w:hAnsi="宋体" w:cs="hakuyoxingshu7000"/>
          <w:bCs/>
          <w:color w:val="000000"/>
          <w:sz w:val="24"/>
          <w:highlight w:val="none"/>
          <w:lang w:eastAsia="zh-CN"/>
        </w:rPr>
        <w:t>。</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办理上述款项付款的时间一般不超过15个工作日。</w:t>
      </w:r>
    </w:p>
    <w:p>
      <w:pPr>
        <w:keepNext w:val="0"/>
        <w:keepLines w:val="0"/>
        <w:pageBreakBefore w:val="0"/>
        <w:widowControl w:val="0"/>
        <w:numPr>
          <w:ilvl w:val="0"/>
          <w:numId w:val="10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采购人采购产品属于政府财政项目并由国库直接支付的，在30个工作日内完成办理申请支付手续。</w:t>
      </w:r>
    </w:p>
    <w:p>
      <w:pPr>
        <w:widowControl/>
        <w:numPr>
          <w:ilvl w:val="0"/>
          <w:numId w:val="102"/>
        </w:numPr>
        <w:tabs>
          <w:tab w:val="left" w:pos="426"/>
          <w:tab w:val="left" w:pos="840"/>
          <w:tab w:val="clear" w:pos="420"/>
        </w:tabs>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履约保证金提交形式：</w:t>
      </w:r>
      <w:r>
        <w:rPr>
          <w:rFonts w:hint="eastAsia" w:ascii="宋体" w:hAnsi="宋体" w:cs="宋体"/>
          <w:sz w:val="24"/>
          <w:highlight w:val="none"/>
          <w:lang w:val="en-US" w:eastAsia="zh-CN"/>
        </w:rPr>
        <w:t>银行转账或</w:t>
      </w:r>
      <w:r>
        <w:rPr>
          <w:rFonts w:hint="eastAsia" w:ascii="宋体" w:hAnsi="宋体" w:cs="宋体"/>
          <w:sz w:val="24"/>
          <w:highlight w:val="none"/>
        </w:rPr>
        <w:t>支票、汇票、本票或者金融机构、担保机构出具的保函</w:t>
      </w:r>
      <w:r>
        <w:rPr>
          <w:rFonts w:hint="eastAsia" w:ascii="宋体" w:hAnsi="宋体"/>
          <w:color w:val="000000"/>
          <w:sz w:val="24"/>
          <w:szCs w:val="24"/>
          <w:highlight w:val="none"/>
        </w:rPr>
        <w:t>（见索即付）</w:t>
      </w:r>
      <w:r>
        <w:rPr>
          <w:rFonts w:hint="eastAsia" w:ascii="宋体" w:hAnsi="宋体" w:cs="宋体"/>
          <w:sz w:val="24"/>
          <w:highlight w:val="none"/>
        </w:rPr>
        <w:t>等非现金形式</w:t>
      </w:r>
      <w:r>
        <w:rPr>
          <w:rFonts w:hint="eastAsia" w:ascii="宋体" w:hAnsi="宋体"/>
          <w:color w:val="000000"/>
          <w:sz w:val="24"/>
          <w:szCs w:val="24"/>
          <w:highlight w:val="none"/>
        </w:rPr>
        <w:t>。如在合同期内，中标人自行停止履行合约或违反合同有关规定被采购人终止合约的，则采购人不予退还履约保证金。若中标人不履行或不适当履行其合同义务导致采购人蒙受损失的，采购人有权直接从履约保证金中扣除相应违约金或损失赔偿款项，也有权依据履约保函向出具保函人直接索赔；违约金或给采购人造成的损失超过履约保证金数额的，中标人应对超出部分给予赔偿。采购人逾期退还履约保证金的，除应当退还履约保证金本金外，还应当每日按合同总价的0.1‰向中标人偿付违约金，但因合同的履行产生争议或由于中标人自身原因导致无法及时退还的除外。</w:t>
      </w:r>
    </w:p>
    <w:p>
      <w:pPr>
        <w:widowControl/>
        <w:numPr>
          <w:ilvl w:val="0"/>
          <w:numId w:val="102"/>
        </w:numPr>
        <w:tabs>
          <w:tab w:val="left" w:pos="426"/>
          <w:tab w:val="left" w:pos="840"/>
          <w:tab w:val="clear" w:pos="420"/>
        </w:tabs>
        <w:spacing w:line="360" w:lineRule="auto"/>
        <w:ind w:left="0" w:firstLine="480" w:firstLineChars="200"/>
        <w:rPr>
          <w:rFonts w:hint="eastAsia" w:ascii="宋体" w:hAnsi="宋体"/>
          <w:color w:val="000000"/>
          <w:sz w:val="24"/>
          <w:szCs w:val="24"/>
          <w:highlight w:val="none"/>
        </w:rPr>
        <w:sectPr>
          <w:footerReference r:id="rId8" w:type="first"/>
          <w:footerReference r:id="rId7" w:type="even"/>
          <w:pgSz w:w="11906" w:h="16838"/>
          <w:pgMar w:top="1803" w:right="1440" w:bottom="1803" w:left="1440" w:header="907" w:footer="1021" w:gutter="0"/>
          <w:cols w:space="720" w:num="1"/>
          <w:docGrid w:linePitch="312" w:charSpace="0"/>
        </w:sectPr>
      </w:pPr>
    </w:p>
    <w:p>
      <w:pPr>
        <w:ind w:left="420"/>
        <w:rPr>
          <w:highlight w:val="none"/>
        </w:rPr>
      </w:pPr>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pStyle w:val="2"/>
        <w:jc w:val="center"/>
        <w:rPr>
          <w:rFonts w:ascii="黑体" w:hAnsi="黑体" w:eastAsia="黑体" w:cs="黑体"/>
          <w:b/>
          <w:bCs/>
          <w:highlight w:val="none"/>
        </w:rPr>
      </w:pPr>
      <w:bookmarkStart w:id="340" w:name="_Toc31745"/>
      <w:r>
        <w:rPr>
          <w:rFonts w:hint="eastAsia" w:ascii="黑体" w:hAnsi="黑体" w:eastAsia="黑体" w:cs="黑体"/>
          <w:b/>
          <w:bCs/>
          <w:highlight w:val="none"/>
        </w:rPr>
        <w:t xml:space="preserve">第四章 </w:t>
      </w:r>
      <w:bookmarkEnd w:id="217"/>
      <w:bookmarkEnd w:id="218"/>
      <w:bookmarkEnd w:id="219"/>
      <w:r>
        <w:rPr>
          <w:rFonts w:hint="eastAsia" w:ascii="黑体" w:hAnsi="黑体" w:eastAsia="黑体" w:cs="黑体"/>
          <w:b/>
          <w:bCs/>
          <w:highlight w:val="none"/>
        </w:rPr>
        <w:t>评分体系与标准</w:t>
      </w:r>
      <w:bookmarkEnd w:id="235"/>
      <w:bookmarkEnd w:id="236"/>
      <w:bookmarkEnd w:id="237"/>
      <w:bookmarkEnd w:id="340"/>
    </w:p>
    <w:p>
      <w:pPr>
        <w:spacing w:before="72" w:after="72"/>
        <w:rPr>
          <w:sz w:val="24"/>
          <w:highlight w:val="none"/>
        </w:rPr>
      </w:pPr>
    </w:p>
    <w:p>
      <w:pPr>
        <w:spacing w:before="72" w:after="72"/>
        <w:rPr>
          <w:sz w:val="24"/>
          <w:highlight w:val="none"/>
        </w:rPr>
      </w:pPr>
    </w:p>
    <w:p>
      <w:pPr>
        <w:spacing w:before="72" w:after="72"/>
        <w:rPr>
          <w:sz w:val="24"/>
          <w:highlight w:val="none"/>
        </w:rPr>
      </w:pPr>
    </w:p>
    <w:p>
      <w:pPr>
        <w:spacing w:before="72" w:after="72"/>
        <w:rPr>
          <w:sz w:val="24"/>
          <w:highlight w:val="none"/>
        </w:rPr>
      </w:pPr>
    </w:p>
    <w:p>
      <w:pPr>
        <w:spacing w:before="72" w:after="72"/>
        <w:rPr>
          <w:sz w:val="24"/>
          <w:highlight w:val="none"/>
        </w:rPr>
      </w:pPr>
    </w:p>
    <w:p>
      <w:pPr>
        <w:spacing w:before="72" w:after="72"/>
        <w:rPr>
          <w:sz w:val="24"/>
          <w:highlight w:val="none"/>
        </w:rPr>
      </w:pPr>
    </w:p>
    <w:p>
      <w:pPr>
        <w:spacing w:before="72" w:after="72"/>
        <w:rPr>
          <w:sz w:val="24"/>
          <w:highlight w:val="none"/>
        </w:rPr>
      </w:pPr>
    </w:p>
    <w:p>
      <w:pPr>
        <w:spacing w:before="72" w:after="72"/>
        <w:rPr>
          <w:sz w:val="24"/>
          <w:highlight w:val="none"/>
        </w:rPr>
      </w:pPr>
    </w:p>
    <w:p>
      <w:pPr>
        <w:spacing w:before="72" w:after="72"/>
        <w:rPr>
          <w:sz w:val="24"/>
          <w:highlight w:val="none"/>
        </w:rPr>
      </w:pPr>
    </w:p>
    <w:p>
      <w:pPr>
        <w:jc w:val="center"/>
        <w:rPr>
          <w:rFonts w:ascii="黑体" w:eastAsia="黑体"/>
          <w:b/>
          <w:bCs/>
          <w:sz w:val="32"/>
          <w:szCs w:val="32"/>
          <w:highlight w:val="none"/>
        </w:rPr>
      </w:pPr>
      <w:r>
        <w:rPr>
          <w:rFonts w:ascii="黑体" w:eastAsia="黑体"/>
          <w:b/>
          <w:bCs/>
          <w:sz w:val="32"/>
          <w:szCs w:val="32"/>
          <w:highlight w:val="none"/>
        </w:rPr>
        <w:br w:type="page"/>
      </w:r>
      <w:r>
        <w:rPr>
          <w:rFonts w:hint="eastAsia" w:ascii="黑体" w:eastAsia="黑体"/>
          <w:b/>
          <w:bCs/>
          <w:sz w:val="32"/>
          <w:szCs w:val="32"/>
          <w:highlight w:val="none"/>
        </w:rPr>
        <w:t>评分体系与标准</w:t>
      </w:r>
    </w:p>
    <w:p>
      <w:pPr>
        <w:spacing w:before="72" w:after="72"/>
        <w:rPr>
          <w:sz w:val="24"/>
          <w:highlight w:val="none"/>
        </w:rPr>
      </w:pPr>
    </w:p>
    <w:p>
      <w:pPr>
        <w:pStyle w:val="3"/>
        <w:numPr>
          <w:ilvl w:val="0"/>
          <w:numId w:val="105"/>
        </w:numPr>
        <w:adjustRightInd w:val="0"/>
        <w:snapToGrid w:val="0"/>
        <w:spacing w:before="0" w:after="0" w:line="360" w:lineRule="auto"/>
        <w:jc w:val="left"/>
        <w:rPr>
          <w:rFonts w:ascii="宋体" w:hAnsi="宋体" w:eastAsia="宋体" w:cs="宋体"/>
          <w:sz w:val="24"/>
          <w:szCs w:val="24"/>
          <w:highlight w:val="none"/>
        </w:rPr>
      </w:pPr>
      <w:bookmarkStart w:id="341" w:name="_Toc32226"/>
      <w:bookmarkStart w:id="342" w:name="_Toc23501"/>
      <w:bookmarkStart w:id="343" w:name="_Toc21005"/>
      <w:bookmarkStart w:id="344" w:name="_Toc24056"/>
      <w:bookmarkStart w:id="345" w:name="_Toc13365"/>
      <w:bookmarkStart w:id="346" w:name="_Toc10976"/>
      <w:bookmarkStart w:id="347" w:name="_Toc31187"/>
      <w:bookmarkStart w:id="348" w:name="_Toc16615"/>
      <w:bookmarkStart w:id="349" w:name="_Toc5450"/>
      <w:bookmarkStart w:id="350" w:name="_Toc17629"/>
      <w:bookmarkStart w:id="351" w:name="_Toc7128"/>
      <w:r>
        <w:rPr>
          <w:rFonts w:hint="eastAsia" w:ascii="宋体" w:hAnsi="宋体" w:eastAsia="宋体" w:cs="宋体"/>
          <w:sz w:val="24"/>
          <w:szCs w:val="24"/>
          <w:highlight w:val="none"/>
        </w:rPr>
        <w:t>评标方法</w:t>
      </w:r>
      <w:bookmarkEnd w:id="341"/>
      <w:bookmarkEnd w:id="342"/>
      <w:bookmarkEnd w:id="343"/>
      <w:bookmarkEnd w:id="344"/>
      <w:bookmarkEnd w:id="345"/>
      <w:bookmarkEnd w:id="346"/>
      <w:bookmarkEnd w:id="347"/>
      <w:bookmarkEnd w:id="348"/>
      <w:bookmarkEnd w:id="349"/>
      <w:bookmarkEnd w:id="350"/>
      <w:bookmarkEnd w:id="351"/>
    </w:p>
    <w:p>
      <w:pPr>
        <w:pStyle w:val="24"/>
        <w:adjustRightInd w:val="0"/>
        <w:snapToGrid w:val="0"/>
        <w:spacing w:before="0" w:beforeAutospacing="0" w:after="0" w:afterAutospacing="0" w:line="360" w:lineRule="auto"/>
        <w:ind w:firstLine="480" w:firstLineChars="200"/>
        <w:rPr>
          <w:highlight w:val="none"/>
        </w:rPr>
      </w:pPr>
      <w:r>
        <w:rPr>
          <w:rFonts w:hint="eastAsia"/>
          <w:bCs/>
          <w:highlight w:val="none"/>
        </w:rPr>
        <w:t>本次评标采用综合评分法，</w:t>
      </w:r>
      <w:r>
        <w:rPr>
          <w:rFonts w:hint="eastAsia"/>
          <w:highlight w:val="none"/>
        </w:rPr>
        <w:t>是指投标文件满足招标文件全部实质性要求，且按照评审因素的量化指标评审得分最高的投标人为中标候选人的评标方法。</w:t>
      </w:r>
    </w:p>
    <w:p>
      <w:pPr>
        <w:pStyle w:val="3"/>
        <w:numPr>
          <w:ilvl w:val="0"/>
          <w:numId w:val="105"/>
        </w:numPr>
        <w:adjustRightInd w:val="0"/>
        <w:snapToGrid w:val="0"/>
        <w:spacing w:before="0" w:after="0" w:line="360" w:lineRule="auto"/>
        <w:jc w:val="left"/>
        <w:rPr>
          <w:rFonts w:ascii="宋体" w:hAnsi="宋体" w:eastAsia="宋体" w:cs="宋体"/>
          <w:sz w:val="24"/>
          <w:szCs w:val="24"/>
          <w:highlight w:val="none"/>
        </w:rPr>
      </w:pPr>
      <w:bookmarkStart w:id="352" w:name="_Toc29992"/>
      <w:bookmarkStart w:id="353" w:name="_Toc30198"/>
      <w:bookmarkStart w:id="354" w:name="_Toc25145"/>
      <w:bookmarkStart w:id="355" w:name="_Toc3659"/>
      <w:bookmarkStart w:id="356" w:name="_Toc28830"/>
      <w:bookmarkStart w:id="357" w:name="_Toc21955"/>
      <w:bookmarkStart w:id="358" w:name="_Toc29261"/>
      <w:bookmarkStart w:id="359" w:name="_Toc11199"/>
      <w:bookmarkStart w:id="360" w:name="_Toc15726"/>
      <w:bookmarkStart w:id="361" w:name="_Toc20521"/>
      <w:bookmarkStart w:id="362" w:name="_Toc9070"/>
      <w:r>
        <w:rPr>
          <w:rFonts w:hint="eastAsia" w:ascii="宋体" w:hAnsi="宋体" w:eastAsia="宋体" w:cs="宋体"/>
          <w:sz w:val="24"/>
          <w:szCs w:val="24"/>
          <w:highlight w:val="none"/>
        </w:rPr>
        <w:t>评标流程</w:t>
      </w:r>
      <w:bookmarkEnd w:id="352"/>
      <w:bookmarkEnd w:id="353"/>
      <w:bookmarkEnd w:id="354"/>
      <w:bookmarkEnd w:id="355"/>
      <w:r>
        <w:rPr>
          <w:rFonts w:hint="eastAsia" w:ascii="宋体" w:hAnsi="宋体" w:eastAsia="宋体" w:cs="宋体"/>
          <w:sz w:val="24"/>
          <w:szCs w:val="24"/>
          <w:highlight w:val="none"/>
          <w:lang w:val="zh-CN"/>
        </w:rPr>
        <w:t>及评标步骤</w:t>
      </w:r>
      <w:bookmarkEnd w:id="356"/>
      <w:bookmarkEnd w:id="357"/>
      <w:bookmarkEnd w:id="358"/>
      <w:bookmarkEnd w:id="359"/>
      <w:bookmarkEnd w:id="360"/>
      <w:bookmarkEnd w:id="361"/>
      <w:bookmarkEnd w:id="362"/>
    </w:p>
    <w:p>
      <w:pPr>
        <w:pStyle w:val="4"/>
        <w:numPr>
          <w:ilvl w:val="0"/>
          <w:numId w:val="106"/>
        </w:numPr>
        <w:adjustRightInd w:val="0"/>
        <w:snapToGrid w:val="0"/>
        <w:spacing w:before="0" w:after="0" w:line="360" w:lineRule="auto"/>
        <w:ind w:hanging="5"/>
        <w:rPr>
          <w:rFonts w:ascii="宋体" w:hAnsi="宋体" w:cs="宋体"/>
          <w:sz w:val="24"/>
          <w:highlight w:val="none"/>
          <w:lang w:val="zh-CN"/>
        </w:rPr>
      </w:pPr>
      <w:bookmarkStart w:id="363" w:name="_Toc22272"/>
      <w:bookmarkStart w:id="364" w:name="_Toc9945"/>
      <w:bookmarkStart w:id="365" w:name="_Toc13123"/>
      <w:bookmarkStart w:id="366" w:name="_Toc31009"/>
      <w:bookmarkStart w:id="367" w:name="_Toc26026"/>
      <w:bookmarkStart w:id="368" w:name="_Toc22506"/>
      <w:bookmarkStart w:id="369" w:name="_Toc29131"/>
      <w:bookmarkStart w:id="370" w:name="_Toc32454"/>
      <w:r>
        <w:rPr>
          <w:rFonts w:hint="eastAsia" w:ascii="宋体" w:hAnsi="宋体" w:cs="宋体"/>
          <w:sz w:val="24"/>
          <w:highlight w:val="none"/>
          <w:lang w:val="zh-CN"/>
        </w:rPr>
        <w:t>投标文件资格性审查</w:t>
      </w:r>
      <w:bookmarkEnd w:id="363"/>
      <w:bookmarkEnd w:id="364"/>
      <w:bookmarkEnd w:id="365"/>
      <w:bookmarkEnd w:id="366"/>
      <w:bookmarkEnd w:id="367"/>
      <w:bookmarkEnd w:id="368"/>
      <w:bookmarkEnd w:id="369"/>
      <w:bookmarkEnd w:id="370"/>
    </w:p>
    <w:p>
      <w:pPr>
        <w:numPr>
          <w:ilvl w:val="1"/>
          <w:numId w:val="107"/>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采购人或采购代理机构根据《资格性审查表》（见附表1）对投标人的资格逐项进行审查。</w:t>
      </w:r>
    </w:p>
    <w:p>
      <w:pPr>
        <w:numPr>
          <w:ilvl w:val="1"/>
          <w:numId w:val="107"/>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只有通过资格审查的投标人才能进入符合性审查。</w:t>
      </w:r>
    </w:p>
    <w:p>
      <w:pPr>
        <w:numPr>
          <w:ilvl w:val="1"/>
          <w:numId w:val="107"/>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未通过资格性审查的投标为无效投标，采购代理机构将及时告知投标人。</w:t>
      </w:r>
    </w:p>
    <w:p>
      <w:pPr>
        <w:pStyle w:val="4"/>
        <w:numPr>
          <w:ilvl w:val="0"/>
          <w:numId w:val="106"/>
        </w:numPr>
        <w:adjustRightInd w:val="0"/>
        <w:snapToGrid w:val="0"/>
        <w:spacing w:before="0" w:after="0" w:line="360" w:lineRule="auto"/>
        <w:ind w:hanging="5"/>
        <w:rPr>
          <w:rFonts w:ascii="宋体" w:hAnsi="宋体" w:cs="宋体"/>
          <w:sz w:val="24"/>
          <w:highlight w:val="none"/>
          <w:lang w:val="zh-CN"/>
        </w:rPr>
      </w:pPr>
      <w:bookmarkStart w:id="371" w:name="_Toc10294"/>
      <w:bookmarkStart w:id="372" w:name="_Toc27640"/>
      <w:bookmarkStart w:id="373" w:name="_Toc28292"/>
      <w:bookmarkStart w:id="374" w:name="_Toc26883"/>
      <w:bookmarkStart w:id="375" w:name="_Toc19077"/>
      <w:bookmarkStart w:id="376" w:name="_Toc12536"/>
      <w:bookmarkStart w:id="377" w:name="_Toc10389"/>
      <w:bookmarkStart w:id="378" w:name="_Toc9321"/>
      <w:r>
        <w:rPr>
          <w:rFonts w:hint="eastAsia" w:ascii="宋体" w:hAnsi="宋体" w:cs="宋体"/>
          <w:sz w:val="24"/>
          <w:highlight w:val="none"/>
          <w:lang w:val="zh-CN"/>
        </w:rPr>
        <w:t>投标文件符合性审查</w:t>
      </w:r>
      <w:bookmarkEnd w:id="371"/>
      <w:bookmarkEnd w:id="372"/>
      <w:bookmarkEnd w:id="373"/>
      <w:bookmarkEnd w:id="374"/>
      <w:bookmarkEnd w:id="375"/>
      <w:bookmarkEnd w:id="376"/>
      <w:bookmarkEnd w:id="377"/>
      <w:bookmarkEnd w:id="378"/>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评标委员会根据《符合性审查表》（见附表</w:t>
      </w:r>
      <w:r>
        <w:rPr>
          <w:rFonts w:hint="eastAsia" w:ascii="宋体" w:hAnsi="宋体" w:cs="宋体"/>
          <w:sz w:val="24"/>
          <w:highlight w:val="none"/>
        </w:rPr>
        <w:t>2</w:t>
      </w:r>
      <w:r>
        <w:rPr>
          <w:rFonts w:hint="eastAsia" w:ascii="宋体" w:hAnsi="宋体" w:cs="宋体"/>
          <w:sz w:val="24"/>
          <w:highlight w:val="none"/>
          <w:lang w:val="zh-CN"/>
        </w:rPr>
        <w:t>）对投标人的符合性逐项进行审查。</w:t>
      </w:r>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在符合性审查中，发现投标人有下列情形之一的，视为投标人串通投标，其投标无效：</w:t>
      </w:r>
    </w:p>
    <w:p>
      <w:pPr>
        <w:numPr>
          <w:ilvl w:val="0"/>
          <w:numId w:val="109"/>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不同投标人的投标文件由同一单位或者个人编制；</w:t>
      </w:r>
    </w:p>
    <w:p>
      <w:pPr>
        <w:numPr>
          <w:ilvl w:val="0"/>
          <w:numId w:val="109"/>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不同投标人委托同一单位或者个人办理投标事宜；</w:t>
      </w:r>
    </w:p>
    <w:p>
      <w:pPr>
        <w:numPr>
          <w:ilvl w:val="0"/>
          <w:numId w:val="109"/>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不同投标人的投标文件载明的项目管理成员或者联系人员为同一人；</w:t>
      </w:r>
    </w:p>
    <w:p>
      <w:pPr>
        <w:numPr>
          <w:ilvl w:val="0"/>
          <w:numId w:val="109"/>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不同投标人的投标文件异常一致或者投标报价呈规律性差异；</w:t>
      </w:r>
    </w:p>
    <w:p>
      <w:pPr>
        <w:numPr>
          <w:ilvl w:val="0"/>
          <w:numId w:val="109"/>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不同投标人的投标文件相互混装。</w:t>
      </w:r>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在符合性审查中，发现投标人存在下列情况之一的，其投标无效:</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供应商不具备《中华人民共和国政府采购法》第二十二条规定条件；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投标文件没有按招标文件的要求盖章或签名；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供应商不符合资格条件；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投标文件提供虚假材料；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投标文件未完全满足招标文件中带"★"号的实质性条款或指标；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供应商报价不确定或超过招标文件中列出的采购预算（最高限价）；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联合体的供应商未提交各方共同签署的协议；（如适用）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供应商未按招标文件要求交纳投标保证金；</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评审期间，供应商没有按评标委员会的要求提交经授权代表签字的澄清、说明、补正或改变了投标文件的实质性内容；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xml:space="preserve">供应商对采购人、采购代理机构、评标委员会及其工作人员施加影响，有碍公平、公正； </w:t>
      </w:r>
    </w:p>
    <w:p>
      <w:pPr>
        <w:numPr>
          <w:ilvl w:val="0"/>
          <w:numId w:val="110"/>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法律、法规、规章规定属于响应无效的其他情形。采购人或采购代理机构进行资格性审查、评审委员会进行符合性审查时发现供应商有实质性不响应招标文件的，应告知供应商并说明理由。</w:t>
      </w:r>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投标文件中的缺漏项将按以下方法修正：以所有投标报价中该项最高报价核算其缺漏项金额，缺漏项金额大于或等于其投标总价的1%时，视为重大投标漏项，该投标作废标处理；缺漏项金额小于其投标总价的1%时，评标委员会将视为其投标总价已包括缺漏项内容，若其中标，有关该内容的合同价格不予调整，但评标时将对该投标作不利的评标价调整或评审分数量化。如果投标人不接受对其错误的修正，其投标将被拒绝。</w:t>
      </w:r>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在详细评标之前，评标委员会将审查每份投标文件是否实质上响应了招标文件的要求。实质上响应的投标文件应该是与招标文件要求的关键条款、条件和规格相符或优于，没有实质偏离的投标文件。评标委员会决定投标的响应性只根据投标文件本身的内容，而不依据外部的证据，但投标有不真实、不正确的内容时除外。</w:t>
      </w:r>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对于投标文件中不构成实质性偏差的不正规、不一致或不规则，评标委员会可以接受，但这种接受不能损害或影响任何投标人的相对排序。</w:t>
      </w:r>
    </w:p>
    <w:p>
      <w:pPr>
        <w:numPr>
          <w:ilvl w:val="1"/>
          <w:numId w:val="108"/>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未通过符合性审查的投标为无效投标，采购代理机构将及时告知投标人。</w:t>
      </w:r>
    </w:p>
    <w:p>
      <w:pPr>
        <w:pStyle w:val="4"/>
        <w:numPr>
          <w:ilvl w:val="0"/>
          <w:numId w:val="106"/>
        </w:numPr>
        <w:adjustRightInd w:val="0"/>
        <w:snapToGrid w:val="0"/>
        <w:spacing w:before="0" w:after="0" w:line="360" w:lineRule="auto"/>
        <w:ind w:hanging="5"/>
        <w:rPr>
          <w:rFonts w:ascii="宋体" w:hAnsi="宋体" w:cs="宋体"/>
          <w:sz w:val="24"/>
          <w:highlight w:val="none"/>
          <w:lang w:val="zh-CN"/>
        </w:rPr>
      </w:pPr>
      <w:bookmarkStart w:id="379" w:name="_Toc12842"/>
      <w:bookmarkStart w:id="380" w:name="_Toc32565"/>
      <w:bookmarkStart w:id="381" w:name="_Toc2808"/>
      <w:bookmarkStart w:id="382" w:name="_Toc8174"/>
      <w:bookmarkStart w:id="383" w:name="_Toc16737"/>
      <w:bookmarkStart w:id="384" w:name="_Toc8838"/>
      <w:bookmarkStart w:id="385" w:name="_Toc14958"/>
      <w:bookmarkStart w:id="386" w:name="_Toc18881"/>
      <w:r>
        <w:rPr>
          <w:rFonts w:hint="eastAsia" w:ascii="宋体" w:hAnsi="宋体" w:cs="宋体"/>
          <w:sz w:val="24"/>
          <w:highlight w:val="none"/>
          <w:lang w:val="zh-CN"/>
        </w:rPr>
        <w:t>投标文件的澄清</w:t>
      </w:r>
      <w:bookmarkEnd w:id="379"/>
      <w:bookmarkEnd w:id="380"/>
      <w:bookmarkEnd w:id="381"/>
      <w:bookmarkEnd w:id="382"/>
      <w:bookmarkEnd w:id="383"/>
      <w:bookmarkEnd w:id="384"/>
      <w:bookmarkEnd w:id="385"/>
      <w:bookmarkEnd w:id="386"/>
    </w:p>
    <w:p>
      <w:pPr>
        <w:numPr>
          <w:ilvl w:val="1"/>
          <w:numId w:val="111"/>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评标期间，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p>
    <w:p>
      <w:pPr>
        <w:numPr>
          <w:ilvl w:val="1"/>
          <w:numId w:val="111"/>
        </w:numPr>
        <w:tabs>
          <w:tab w:val="left" w:pos="1220"/>
        </w:tabs>
        <w:adjustRightInd w:val="0"/>
        <w:snapToGrid w:val="0"/>
        <w:spacing w:line="360" w:lineRule="auto"/>
        <w:ind w:hanging="487"/>
        <w:rPr>
          <w:rFonts w:ascii="宋体" w:hAnsi="宋体" w:cs="宋体"/>
          <w:sz w:val="24"/>
          <w:highlight w:val="none"/>
          <w:lang w:val="zh-CN"/>
        </w:rPr>
      </w:pPr>
      <w:r>
        <w:rPr>
          <w:rFonts w:hint="eastAsia" w:ascii="宋体" w:hAnsi="宋体" w:cs="宋体"/>
          <w:sz w:val="24"/>
          <w:highlight w:val="none"/>
          <w:lang w:val="zh-CN"/>
        </w:rPr>
        <w:t>投标人的澄清文件是其投标文件的组成部分。</w:t>
      </w:r>
    </w:p>
    <w:p>
      <w:pPr>
        <w:pStyle w:val="4"/>
        <w:numPr>
          <w:ilvl w:val="0"/>
          <w:numId w:val="106"/>
        </w:numPr>
        <w:adjustRightInd w:val="0"/>
        <w:snapToGrid w:val="0"/>
        <w:spacing w:before="0" w:after="0" w:line="360" w:lineRule="auto"/>
        <w:ind w:hanging="5"/>
        <w:rPr>
          <w:rFonts w:ascii="宋体" w:hAnsi="宋体" w:cs="宋体"/>
          <w:sz w:val="24"/>
          <w:highlight w:val="none"/>
          <w:lang w:val="zh-CN"/>
        </w:rPr>
      </w:pPr>
      <w:bookmarkStart w:id="387" w:name="_Toc14738"/>
      <w:bookmarkStart w:id="388" w:name="_Toc11757"/>
      <w:bookmarkStart w:id="389" w:name="_Toc14414"/>
      <w:bookmarkStart w:id="390" w:name="_Toc12257"/>
      <w:bookmarkStart w:id="391" w:name="_Toc3222"/>
      <w:bookmarkStart w:id="392" w:name="_Toc32421"/>
      <w:bookmarkStart w:id="393" w:name="_Toc6514"/>
      <w:bookmarkStart w:id="394" w:name="_Toc23496"/>
      <w:r>
        <w:rPr>
          <w:rFonts w:hint="eastAsia" w:ascii="宋体" w:hAnsi="宋体" w:cs="宋体"/>
          <w:sz w:val="24"/>
          <w:highlight w:val="none"/>
          <w:lang w:val="zh-CN"/>
        </w:rPr>
        <w:t>投标文件的比较与评价</w:t>
      </w:r>
      <w:bookmarkEnd w:id="387"/>
      <w:bookmarkEnd w:id="388"/>
      <w:bookmarkEnd w:id="389"/>
      <w:bookmarkEnd w:id="390"/>
      <w:bookmarkEnd w:id="391"/>
      <w:bookmarkEnd w:id="392"/>
      <w:bookmarkEnd w:id="393"/>
      <w:bookmarkEnd w:id="394"/>
    </w:p>
    <w:p>
      <w:pPr>
        <w:numPr>
          <w:ilvl w:val="1"/>
          <w:numId w:val="112"/>
        </w:numPr>
        <w:tabs>
          <w:tab w:val="left" w:pos="1220"/>
        </w:tabs>
        <w:adjustRightInd w:val="0"/>
        <w:snapToGrid w:val="0"/>
        <w:spacing w:line="360" w:lineRule="auto"/>
        <w:ind w:hanging="487"/>
        <w:rPr>
          <w:rFonts w:ascii="宋体" w:hAnsi="宋体" w:cs="宋体"/>
          <w:color w:val="auto"/>
          <w:sz w:val="24"/>
          <w:highlight w:val="none"/>
          <w:lang w:val="zh-CN"/>
        </w:rPr>
      </w:pPr>
      <w:r>
        <w:rPr>
          <w:rFonts w:hint="eastAsia" w:ascii="宋体" w:hAnsi="宋体" w:cs="宋体"/>
          <w:sz w:val="24"/>
          <w:highlight w:val="none"/>
          <w:lang w:val="zh-CN"/>
        </w:rPr>
        <w:t>投标文件的比较与评价是对通过资格性审查和符合性审查的投标文件进行评价和比较。</w:t>
      </w:r>
    </w:p>
    <w:p>
      <w:pPr>
        <w:numPr>
          <w:ilvl w:val="1"/>
          <w:numId w:val="112"/>
        </w:numPr>
        <w:tabs>
          <w:tab w:val="left" w:pos="1220"/>
        </w:tabs>
        <w:adjustRightInd w:val="0"/>
        <w:snapToGrid w:val="0"/>
        <w:spacing w:line="360" w:lineRule="auto"/>
        <w:ind w:hanging="487"/>
        <w:rPr>
          <w:rFonts w:ascii="宋体" w:hAnsi="宋体" w:cs="宋体"/>
          <w:color w:val="auto"/>
          <w:sz w:val="24"/>
          <w:highlight w:val="none"/>
          <w:lang w:val="zh-CN"/>
        </w:rPr>
      </w:pPr>
      <w:r>
        <w:rPr>
          <w:rFonts w:hint="eastAsia" w:ascii="宋体" w:hAnsi="宋体" w:cs="宋体"/>
          <w:color w:val="auto"/>
          <w:sz w:val="24"/>
          <w:highlight w:val="none"/>
          <w:lang w:val="zh-CN"/>
        </w:rPr>
        <w:t>投标文件的评价与比较是对技术、商务和价格方面的评分。评分总值最高为100分，各分项的分值分配见附表</w:t>
      </w:r>
      <w:r>
        <w:rPr>
          <w:rFonts w:hint="eastAsia" w:ascii="宋体" w:hAnsi="宋体" w:cs="宋体"/>
          <w:color w:val="auto"/>
          <w:sz w:val="24"/>
          <w:highlight w:val="none"/>
        </w:rPr>
        <w:t>3</w:t>
      </w:r>
      <w:r>
        <w:rPr>
          <w:rFonts w:hint="eastAsia" w:ascii="宋体" w:hAnsi="宋体" w:cs="宋体"/>
          <w:color w:val="auto"/>
          <w:sz w:val="24"/>
          <w:highlight w:val="none"/>
          <w:lang w:val="zh-CN"/>
        </w:rPr>
        <w:t>。</w:t>
      </w:r>
    </w:p>
    <w:p>
      <w:pPr>
        <w:numPr>
          <w:ilvl w:val="0"/>
          <w:numId w:val="113"/>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技术评审：见附表</w:t>
      </w:r>
      <w:r>
        <w:rPr>
          <w:rFonts w:hint="eastAsia" w:ascii="宋体" w:hAnsi="宋体" w:cs="宋体"/>
          <w:sz w:val="24"/>
          <w:highlight w:val="none"/>
        </w:rPr>
        <w:t>4</w:t>
      </w:r>
    </w:p>
    <w:p>
      <w:pPr>
        <w:numPr>
          <w:ilvl w:val="0"/>
          <w:numId w:val="113"/>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商务评审：见附表</w:t>
      </w:r>
      <w:r>
        <w:rPr>
          <w:rFonts w:hint="eastAsia" w:ascii="宋体" w:hAnsi="宋体" w:cs="宋体"/>
          <w:sz w:val="24"/>
          <w:highlight w:val="none"/>
          <w:lang w:val="en-US" w:eastAsia="zh-CN"/>
        </w:rPr>
        <w:t>5</w:t>
      </w:r>
    </w:p>
    <w:p>
      <w:pPr>
        <w:numPr>
          <w:ilvl w:val="0"/>
          <w:numId w:val="113"/>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价格评审：评标委员会对有效投标人的投标报价进行校核、评审或作出必要的修正，并按价格评分办法计算其价格评分。</w:t>
      </w:r>
    </w:p>
    <w:p>
      <w:pPr>
        <w:numPr>
          <w:ilvl w:val="0"/>
          <w:numId w:val="114"/>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投标文件报价出现前后不一致的，按照下列规定修正：</w:t>
      </w:r>
    </w:p>
    <w:p>
      <w:pPr>
        <w:numPr>
          <w:ilvl w:val="0"/>
          <w:numId w:val="115"/>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投标文件中开标一览表（报价表）内容与投标文件中相应内容不一致的，以开标一览表（报价表）为准；</w:t>
      </w:r>
    </w:p>
    <w:p>
      <w:pPr>
        <w:numPr>
          <w:ilvl w:val="0"/>
          <w:numId w:val="115"/>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大写金额和小写金额不一致的，以大写金额为准；</w:t>
      </w:r>
    </w:p>
    <w:p>
      <w:pPr>
        <w:numPr>
          <w:ilvl w:val="0"/>
          <w:numId w:val="115"/>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单价金额小数点或者百分比有明显错位的，以开标一览表的总价为准，并修改单价；</w:t>
      </w:r>
    </w:p>
    <w:p>
      <w:pPr>
        <w:numPr>
          <w:ilvl w:val="0"/>
          <w:numId w:val="115"/>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总价金额与按单价汇总金额不一致的，以单价金额计算结果为准。</w:t>
      </w:r>
    </w:p>
    <w:p>
      <w:pPr>
        <w:numPr>
          <w:ilvl w:val="0"/>
          <w:numId w:val="115"/>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投标报价缺漏项的处理：按本章节2.4执行。</w:t>
      </w:r>
    </w:p>
    <w:p>
      <w:p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　　同时出现两种以上不一致的，按照上述规定的顺序修正。修正后的报价经投标人确认后产生约束力，投标人不确认的，其投标无效。</w:t>
      </w:r>
    </w:p>
    <w:p>
      <w:pPr>
        <w:numPr>
          <w:ilvl w:val="0"/>
          <w:numId w:val="114"/>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小型、微型企业</w:t>
      </w:r>
      <w:r>
        <w:rPr>
          <w:rFonts w:hint="eastAsia" w:ascii="宋体" w:hAnsi="宋体" w:cs="宋体"/>
          <w:sz w:val="24"/>
          <w:highlight w:val="none"/>
        </w:rPr>
        <w:t>、</w:t>
      </w:r>
      <w:r>
        <w:rPr>
          <w:rFonts w:hint="eastAsia" w:ascii="宋体" w:hAnsi="宋体" w:cs="宋体"/>
          <w:sz w:val="24"/>
          <w:highlight w:val="none"/>
          <w:lang w:val="zh-CN"/>
        </w:rPr>
        <w:t>监狱企业产品及残疾人福利性单位价格扣除（同属于下列情形的小型、微型企业，不重复享受政策）</w:t>
      </w:r>
    </w:p>
    <w:p>
      <w:pPr>
        <w:numPr>
          <w:ilvl w:val="0"/>
          <w:numId w:val="116"/>
        </w:numPr>
        <w:tabs>
          <w:tab w:val="left" w:pos="1077"/>
          <w:tab w:val="left" w:pos="1280"/>
        </w:tabs>
        <w:adjustRightInd w:val="0"/>
        <w:snapToGrid w:val="0"/>
        <w:spacing w:line="360" w:lineRule="auto"/>
        <w:rPr>
          <w:rFonts w:ascii="宋体" w:hAnsi="宋体" w:cs="宋体"/>
          <w:sz w:val="24"/>
          <w:highlight w:val="none"/>
          <w:lang w:val="zh-CN"/>
        </w:rPr>
      </w:pPr>
      <w:r>
        <w:rPr>
          <w:rFonts w:ascii="宋体" w:hAnsi="宋体" w:cs="宋体"/>
          <w:sz w:val="24"/>
          <w:highlight w:val="none"/>
        </w:rPr>
        <w:t>投标人提供的货物符合中小企业扶持政策的，其投标报价将给予</w:t>
      </w:r>
      <w:r>
        <w:rPr>
          <w:rFonts w:hint="eastAsia" w:ascii="宋体" w:hAnsi="宋体" w:cs="宋体"/>
          <w:sz w:val="24"/>
          <w:highlight w:val="none"/>
        </w:rPr>
        <w:t>10%</w:t>
      </w:r>
      <w:r>
        <w:rPr>
          <w:rFonts w:ascii="宋体" w:hAnsi="宋体" w:cs="宋体"/>
          <w:sz w:val="24"/>
          <w:highlight w:val="none"/>
        </w:rPr>
        <w:t>的价格扣除，即：评标价＝投标报价×(1</w:t>
      </w:r>
      <w:r>
        <w:rPr>
          <w:rFonts w:hint="eastAsia" w:ascii="宋体" w:hAnsi="宋体" w:cs="宋体"/>
          <w:sz w:val="24"/>
          <w:highlight w:val="none"/>
        </w:rPr>
        <w:t>-10%</w:t>
      </w:r>
      <w:r>
        <w:rPr>
          <w:rFonts w:ascii="宋体" w:hAnsi="宋体" w:cs="宋体"/>
          <w:sz w:val="24"/>
          <w:highlight w:val="none"/>
        </w:rPr>
        <w:t>）。评标委员会根据投标人提供的《中小企业声明函》，认定其是否属于小型、微型企业并享受价格扣除的优惠政策</w:t>
      </w:r>
      <w:r>
        <w:rPr>
          <w:rFonts w:hint="eastAsia" w:ascii="宋体" w:hAnsi="宋体" w:cs="宋体"/>
          <w:sz w:val="24"/>
          <w:highlight w:val="none"/>
          <w:lang w:val="zh-CN"/>
        </w:rPr>
        <w:t>。</w:t>
      </w:r>
    </w:p>
    <w:p>
      <w:pPr>
        <w:numPr>
          <w:ilvl w:val="0"/>
          <w:numId w:val="116"/>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监狱企业视同小型、微型企业，其投标报价将给予10%的价格扣除，即：评标价＝投标报价×(1-10%）。评标委员会根据投标人提供的证明文件，认定其是否属于监狱企业并享受价格扣除的优惠政策。</w:t>
      </w:r>
    </w:p>
    <w:p>
      <w:pPr>
        <w:numPr>
          <w:ilvl w:val="0"/>
          <w:numId w:val="116"/>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残疾人福利性单位视同小型、微型企业，其投标报价将给予10%的价格扣除，即：评标价＝投标报价×(1-10%）。评标委员会根据投标人提供的《残疾人福利性单位声明函》，认定其是否属于小型、微型企业并享受价格扣除的优惠政策。</w:t>
      </w:r>
    </w:p>
    <w:p>
      <w:pPr>
        <w:numPr>
          <w:ilvl w:val="0"/>
          <w:numId w:val="116"/>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招标文件要求联合体投标的，联合体一方为小型、微型企业的，根据联合体协议中约定，小型、微型企业的协议合同金额占到联合体协议合同总金额30%以上的，可给予联合体5%的价格扣除；联合体各方均为小型、微型企业的，联合体视同为小型、微型企业，可给予联合体10%的价格扣除，用扣除后的价格参与评审。</w:t>
      </w:r>
    </w:p>
    <w:p>
      <w:pPr>
        <w:tabs>
          <w:tab w:val="left" w:pos="1077"/>
          <w:tab w:val="left" w:pos="1280"/>
        </w:tabs>
        <w:adjustRightInd w:val="0"/>
        <w:snapToGrid w:val="0"/>
        <w:spacing w:line="360" w:lineRule="auto"/>
        <w:ind w:left="420"/>
        <w:rPr>
          <w:rFonts w:ascii="宋体" w:hAnsi="宋体" w:cs="宋体"/>
          <w:b/>
          <w:bCs/>
          <w:sz w:val="24"/>
          <w:highlight w:val="none"/>
          <w:u w:val="single"/>
          <w:lang w:val="zh-CN"/>
        </w:rPr>
      </w:pPr>
      <w:r>
        <w:rPr>
          <w:rFonts w:hint="eastAsia" w:ascii="宋体" w:hAnsi="宋体" w:cs="宋体"/>
          <w:b/>
          <w:bCs/>
          <w:sz w:val="24"/>
          <w:highlight w:val="none"/>
          <w:u w:val="single"/>
        </w:rPr>
        <w:t>注：专门面向中小企业采购的项目，不再执行价格评审优惠的扶持政策。</w:t>
      </w:r>
    </w:p>
    <w:p>
      <w:pPr>
        <w:numPr>
          <w:ilvl w:val="0"/>
          <w:numId w:val="114"/>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节能产品、环境标志产品价格扣除（若技术评审中已享受评审优惠，价格评审不再享受价格扣除）</w:t>
      </w:r>
    </w:p>
    <w:p>
      <w:pPr>
        <w:numPr>
          <w:ilvl w:val="0"/>
          <w:numId w:val="117"/>
        </w:numPr>
        <w:tabs>
          <w:tab w:val="left" w:pos="1077"/>
          <w:tab w:val="left" w:pos="1280"/>
        </w:tabs>
        <w:adjustRightInd w:val="0"/>
        <w:snapToGrid w:val="0"/>
        <w:spacing w:line="360" w:lineRule="auto"/>
        <w:rPr>
          <w:sz w:val="24"/>
          <w:highlight w:val="none"/>
          <w:lang w:val="zh-CN"/>
        </w:rPr>
      </w:pPr>
      <w:r>
        <w:rPr>
          <w:rFonts w:hint="eastAsia" w:ascii="宋体" w:hAnsi="宋体" w:cs="宋体"/>
          <w:sz w:val="24"/>
          <w:highlight w:val="none"/>
          <w:lang w:val="zh-CN"/>
        </w:rPr>
        <w:t>投标产品(针对非政府强制采购产品)获得有效期内的节能产品认证证书的，节能产品投标报价占总投标报价比例在80%或以上的，对节能产品的价格给予2%的扣除，在80%以下的，对节能产品的价格给予1%的扣除，用扣除后的价格参与评审。（投标人须提供有效期内的中国节能产品认证证书复印件加盖投标人公章）。</w:t>
      </w:r>
    </w:p>
    <w:p>
      <w:pPr>
        <w:numPr>
          <w:ilvl w:val="0"/>
          <w:numId w:val="117"/>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投标产品(针对非政府强制采购产品)获得有效期内的环境标志产品认证证书的，环境标志产品投标报价占总投标报价比例在80%或以上的，对环境标志产品的价格给予2%的扣除，在80%以下的，对环境标志产品的价格给予1%的扣除，用扣除后的价格参与评审。（投标人须提供有效期内的中国环境标志产品认证证书复印件加盖投标人公章）</w:t>
      </w:r>
      <w:r>
        <w:rPr>
          <w:rFonts w:ascii="宋体" w:hAnsi="宋体" w:cs="宋体"/>
          <w:sz w:val="24"/>
          <w:highlight w:val="none"/>
          <w:lang w:val="zh-CN"/>
        </w:rPr>
        <w:t>。</w:t>
      </w:r>
    </w:p>
    <w:p>
      <w:pPr>
        <w:numPr>
          <w:ilvl w:val="0"/>
          <w:numId w:val="117"/>
        </w:numPr>
        <w:tabs>
          <w:tab w:val="left" w:pos="1077"/>
          <w:tab w:val="left" w:pos="1280"/>
        </w:tabs>
        <w:adjustRightInd w:val="0"/>
        <w:snapToGrid w:val="0"/>
        <w:spacing w:line="360" w:lineRule="auto"/>
        <w:rPr>
          <w:rFonts w:ascii="宋体" w:hAnsi="宋体" w:cs="宋体"/>
          <w:sz w:val="24"/>
          <w:highlight w:val="none"/>
        </w:rPr>
      </w:pPr>
      <w:r>
        <w:rPr>
          <w:rFonts w:ascii="宋体" w:hAnsi="宋体" w:cs="宋体"/>
          <w:sz w:val="24"/>
          <w:highlight w:val="none"/>
        </w:rPr>
        <w:t>对属于强制采购的节能产品，节能要求作为实质性响应指标，不再享受评审优惠、。</w:t>
      </w:r>
    </w:p>
    <w:p>
      <w:pPr>
        <w:numPr>
          <w:ilvl w:val="0"/>
          <w:numId w:val="117"/>
        </w:numPr>
        <w:tabs>
          <w:tab w:val="left" w:pos="1077"/>
          <w:tab w:val="left" w:pos="1280"/>
        </w:tabs>
        <w:adjustRightInd w:val="0"/>
        <w:snapToGrid w:val="0"/>
        <w:spacing w:line="360" w:lineRule="auto"/>
        <w:rPr>
          <w:rFonts w:ascii="宋体" w:hAnsi="宋体" w:cs="宋体"/>
          <w:sz w:val="24"/>
          <w:highlight w:val="none"/>
          <w:lang w:val="zh-CN"/>
        </w:rPr>
      </w:pPr>
      <w:r>
        <w:rPr>
          <w:rFonts w:ascii="宋体" w:hAnsi="宋体" w:cs="宋体"/>
          <w:sz w:val="24"/>
          <w:highlight w:val="none"/>
        </w:rPr>
        <w:t>若技术评审中已享受评审优惠，价格评审不再享受价格扣除。</w:t>
      </w:r>
    </w:p>
    <w:p>
      <w:pPr>
        <w:numPr>
          <w:ilvl w:val="0"/>
          <w:numId w:val="113"/>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评标价的确定：按上述条款校核修正后的价格为评标价。</w:t>
      </w:r>
    </w:p>
    <w:p>
      <w:pPr>
        <w:numPr>
          <w:ilvl w:val="0"/>
          <w:numId w:val="113"/>
        </w:numPr>
        <w:tabs>
          <w:tab w:val="left" w:pos="1077"/>
          <w:tab w:val="left" w:pos="1280"/>
        </w:tabs>
        <w:adjustRightInd w:val="0"/>
        <w:snapToGrid w:val="0"/>
        <w:spacing w:line="360" w:lineRule="auto"/>
        <w:rPr>
          <w:rFonts w:ascii="宋体" w:hAnsi="宋体" w:cs="宋体"/>
          <w:sz w:val="24"/>
          <w:highlight w:val="none"/>
          <w:lang w:val="zh-CN"/>
        </w:rPr>
      </w:pPr>
      <w:r>
        <w:rPr>
          <w:rFonts w:hint="eastAsia" w:ascii="宋体" w:hAnsi="宋体" w:cs="宋体"/>
          <w:sz w:val="24"/>
          <w:highlight w:val="none"/>
          <w:lang w:val="zh-CN"/>
        </w:rPr>
        <w:t>计算价格评分：价格分采用低价优先法计算，即满足招标文件要求（通过资格性审查及符合性审查）且投标价格最低的投标报价（指修正后的报价）为评标基准价，其价格分为满分。其他投标人的价格分统一按照下列公式计算：投标报价得分=(评标基准价/投标报价)×</w:t>
      </w:r>
      <w:r>
        <w:rPr>
          <w:rFonts w:hint="eastAsia" w:ascii="宋体" w:hAnsi="宋体" w:cs="宋体"/>
          <w:sz w:val="24"/>
          <w:highlight w:val="none"/>
        </w:rPr>
        <w:t>价格分值</w:t>
      </w:r>
      <w:r>
        <w:rPr>
          <w:rFonts w:hint="eastAsia" w:ascii="宋体" w:hAnsi="宋体" w:cs="宋体"/>
          <w:sz w:val="24"/>
          <w:highlight w:val="none"/>
          <w:lang w:val="zh-CN"/>
        </w:rPr>
        <w:t>。（价格得分分值按四舍五入原则精确到小数点后两位数）</w:t>
      </w:r>
    </w:p>
    <w:p>
      <w:pPr>
        <w:pStyle w:val="4"/>
        <w:numPr>
          <w:ilvl w:val="0"/>
          <w:numId w:val="106"/>
        </w:numPr>
        <w:adjustRightInd w:val="0"/>
        <w:snapToGrid w:val="0"/>
        <w:spacing w:before="0" w:after="0" w:line="360" w:lineRule="auto"/>
        <w:ind w:hanging="5"/>
        <w:rPr>
          <w:rFonts w:ascii="宋体" w:hAnsi="宋体" w:cs="宋体"/>
          <w:sz w:val="24"/>
          <w:highlight w:val="none"/>
          <w:lang w:val="zh-CN"/>
        </w:rPr>
      </w:pPr>
      <w:bookmarkStart w:id="395" w:name="_Toc8247"/>
      <w:bookmarkStart w:id="396" w:name="_Toc8839"/>
      <w:bookmarkStart w:id="397" w:name="_Toc30091"/>
      <w:bookmarkStart w:id="398" w:name="_Toc12085"/>
      <w:bookmarkStart w:id="399" w:name="_Toc25848"/>
      <w:bookmarkStart w:id="400" w:name="_Toc18761"/>
      <w:bookmarkStart w:id="401" w:name="_Toc32435"/>
      <w:bookmarkStart w:id="402" w:name="_Toc25222"/>
      <w:r>
        <w:rPr>
          <w:rFonts w:hint="eastAsia" w:ascii="宋体" w:hAnsi="宋体" w:cs="宋体"/>
          <w:sz w:val="24"/>
          <w:highlight w:val="none"/>
          <w:lang w:val="zh-CN"/>
        </w:rPr>
        <w:t>综合评分汇总及</w:t>
      </w:r>
      <w:bookmarkEnd w:id="395"/>
      <w:bookmarkEnd w:id="396"/>
      <w:bookmarkEnd w:id="397"/>
      <w:r>
        <w:rPr>
          <w:rFonts w:hint="eastAsia" w:ascii="宋体" w:hAnsi="宋体" w:cs="宋体"/>
          <w:sz w:val="24"/>
          <w:highlight w:val="none"/>
          <w:lang w:val="zh-CN"/>
        </w:rPr>
        <w:t>推荐意见</w:t>
      </w:r>
      <w:bookmarkEnd w:id="398"/>
      <w:bookmarkEnd w:id="399"/>
      <w:bookmarkEnd w:id="400"/>
      <w:bookmarkEnd w:id="401"/>
      <w:bookmarkEnd w:id="402"/>
    </w:p>
    <w:p>
      <w:pPr>
        <w:numPr>
          <w:ilvl w:val="1"/>
          <w:numId w:val="118"/>
        </w:numPr>
        <w:tabs>
          <w:tab w:val="left" w:pos="1220"/>
        </w:tabs>
        <w:adjustRightInd w:val="0"/>
        <w:snapToGrid w:val="0"/>
        <w:spacing w:line="360" w:lineRule="auto"/>
        <w:ind w:hanging="267"/>
        <w:rPr>
          <w:rFonts w:ascii="宋体" w:hAnsi="宋体" w:cs="宋体"/>
          <w:sz w:val="24"/>
          <w:highlight w:val="none"/>
          <w:lang w:val="zh-CN"/>
        </w:rPr>
      </w:pPr>
      <w:r>
        <w:rPr>
          <w:rFonts w:hint="eastAsia" w:ascii="宋体" w:hAnsi="宋体" w:cs="宋体"/>
          <w:sz w:val="24"/>
          <w:highlight w:val="none"/>
          <w:lang w:val="zh-CN"/>
        </w:rPr>
        <w:t>综合评分汇总</w:t>
      </w:r>
    </w:p>
    <w:p>
      <w:pPr>
        <w:adjustRightInd w:val="0"/>
        <w:snapToGrid w:val="0"/>
        <w:spacing w:line="360" w:lineRule="auto"/>
        <w:ind w:firstLine="480" w:firstLineChars="200"/>
        <w:rPr>
          <w:rFonts w:ascii="宋体" w:hAnsi="宋体" w:cs="宋体"/>
          <w:sz w:val="24"/>
          <w:highlight w:val="none"/>
          <w:lang w:val="zh-CN"/>
        </w:rPr>
      </w:pPr>
      <w:r>
        <w:rPr>
          <w:rFonts w:hint="eastAsia" w:ascii="宋体" w:hAnsi="宋体" w:cs="宋体"/>
          <w:sz w:val="24"/>
          <w:highlight w:val="none"/>
          <w:lang w:val="zh-CN"/>
        </w:rPr>
        <w:t>评标委员会按照评标程序及评分标准的规定，评标委员会成员分别就投标人的商务因素、技术因素进行独立打分，汇总时取评委评分的算术平均值作为该投标人的商务评分、技术评分。然后，根据比价原则评出价格评分。最后，评标委员会将商务评分、技术评分和价格评分相加得出综合总得分（综合总得分分值按四舍五入原则精确到小数点后两位数）。</w:t>
      </w:r>
    </w:p>
    <w:p>
      <w:pPr>
        <w:numPr>
          <w:ilvl w:val="1"/>
          <w:numId w:val="118"/>
        </w:numPr>
        <w:tabs>
          <w:tab w:val="left" w:pos="1220"/>
        </w:tabs>
        <w:adjustRightInd w:val="0"/>
        <w:snapToGrid w:val="0"/>
        <w:spacing w:line="360" w:lineRule="auto"/>
        <w:ind w:hanging="267"/>
        <w:rPr>
          <w:rFonts w:ascii="宋体" w:hAnsi="宋体" w:cs="宋体"/>
          <w:sz w:val="24"/>
          <w:highlight w:val="none"/>
          <w:lang w:val="zh-CN"/>
        </w:rPr>
      </w:pPr>
      <w:r>
        <w:rPr>
          <w:rFonts w:hint="eastAsia" w:ascii="宋体" w:hAnsi="宋体" w:cs="宋体"/>
          <w:sz w:val="24"/>
          <w:highlight w:val="none"/>
          <w:lang w:val="zh-CN"/>
        </w:rPr>
        <w:t>推荐意见</w:t>
      </w:r>
    </w:p>
    <w:p>
      <w:pPr>
        <w:adjustRightInd w:val="0"/>
        <w:snapToGrid w:val="0"/>
        <w:spacing w:line="360" w:lineRule="auto"/>
        <w:ind w:firstLine="480" w:firstLineChars="200"/>
        <w:rPr>
          <w:rFonts w:ascii="宋体" w:hAnsi="宋体" w:cs="宋体"/>
          <w:b/>
          <w:bCs/>
          <w:sz w:val="24"/>
          <w:highlight w:val="none"/>
          <w:u w:val="single"/>
        </w:rPr>
      </w:pPr>
      <w:r>
        <w:rPr>
          <w:rFonts w:hint="eastAsia" w:ascii="宋体" w:hAnsi="宋体" w:cs="宋体"/>
          <w:sz w:val="24"/>
          <w:highlight w:val="none"/>
          <w:lang w:val="zh-CN"/>
        </w:rPr>
        <w:t>评标结果按评审后得分由高到低顺序排列。得分相同的，按投标报价由低到高顺序排列。得分且投标报价相同的并列。得分且投标报价相同的，按技术指标优劣顺序排列。综合评分相同，且评标价和技术评分均相同的，名次由评标委员会抽签决定。投标文件满足招标文件全部实质性要求，且按照评审因素的量化指标</w:t>
      </w:r>
      <w:r>
        <w:rPr>
          <w:rFonts w:hint="eastAsia" w:ascii="宋体" w:hAnsi="宋体" w:cs="宋体"/>
          <w:sz w:val="24"/>
          <w:highlight w:val="none"/>
        </w:rPr>
        <w:t>推荐</w:t>
      </w:r>
      <w:r>
        <w:rPr>
          <w:rFonts w:hint="eastAsia" w:ascii="宋体" w:hAnsi="宋体" w:cs="宋体"/>
          <w:sz w:val="24"/>
          <w:highlight w:val="none"/>
          <w:lang w:val="zh-CN"/>
        </w:rPr>
        <w:t>评审得分最高的投标人为排名第一的中标候选人，次高的投标人为排名第二的中标候选人。</w:t>
      </w:r>
    </w:p>
    <w:p>
      <w:pPr>
        <w:pStyle w:val="3"/>
        <w:numPr>
          <w:ilvl w:val="0"/>
          <w:numId w:val="105"/>
        </w:numPr>
        <w:adjustRightInd w:val="0"/>
        <w:snapToGrid w:val="0"/>
        <w:spacing w:before="0" w:after="0" w:line="360" w:lineRule="auto"/>
        <w:jc w:val="left"/>
        <w:rPr>
          <w:rFonts w:ascii="宋体" w:hAnsi="宋体" w:eastAsia="宋体" w:cs="宋体"/>
          <w:sz w:val="24"/>
          <w:szCs w:val="24"/>
          <w:highlight w:val="none"/>
          <w:lang w:val="zh-CN"/>
        </w:rPr>
      </w:pPr>
      <w:bookmarkStart w:id="403" w:name="_Toc25275"/>
      <w:bookmarkStart w:id="404" w:name="_Toc4764"/>
      <w:bookmarkStart w:id="405" w:name="_Toc17517"/>
      <w:bookmarkStart w:id="406" w:name="_Toc16215"/>
      <w:bookmarkStart w:id="407" w:name="_Toc31250"/>
      <w:bookmarkStart w:id="408" w:name="_Toc19780"/>
      <w:bookmarkStart w:id="409" w:name="_Toc28971"/>
      <w:bookmarkStart w:id="410" w:name="_Toc25365"/>
      <w:bookmarkStart w:id="411" w:name="_Toc12073"/>
      <w:bookmarkStart w:id="412" w:name="_Toc30220"/>
      <w:bookmarkStart w:id="413" w:name="_Toc16228"/>
      <w:r>
        <w:rPr>
          <w:rFonts w:hint="eastAsia" w:ascii="宋体" w:hAnsi="宋体" w:eastAsia="宋体" w:cs="宋体"/>
          <w:sz w:val="24"/>
          <w:szCs w:val="24"/>
          <w:highlight w:val="none"/>
          <w:lang w:val="zh-CN"/>
        </w:rPr>
        <w:t>附表</w:t>
      </w:r>
      <w:bookmarkEnd w:id="403"/>
      <w:bookmarkEnd w:id="404"/>
      <w:bookmarkEnd w:id="405"/>
      <w:bookmarkEnd w:id="406"/>
      <w:bookmarkEnd w:id="407"/>
      <w:bookmarkEnd w:id="408"/>
      <w:bookmarkEnd w:id="409"/>
      <w:bookmarkEnd w:id="410"/>
      <w:bookmarkEnd w:id="411"/>
      <w:bookmarkEnd w:id="412"/>
      <w:bookmarkEnd w:id="413"/>
    </w:p>
    <w:p>
      <w:pPr>
        <w:spacing w:line="360" w:lineRule="auto"/>
        <w:ind w:firstLine="1140" w:firstLineChars="475"/>
        <w:rPr>
          <w:rFonts w:ascii="宋体" w:hAnsi="宋体" w:cs="宋体"/>
          <w:color w:val="auto"/>
          <w:sz w:val="24"/>
          <w:highlight w:val="none"/>
          <w:lang w:val="zh-CN"/>
        </w:rPr>
      </w:pPr>
      <w:r>
        <w:rPr>
          <w:rFonts w:hint="eastAsia" w:ascii="宋体" w:hAnsi="宋体" w:cs="宋体"/>
          <w:sz w:val="24"/>
          <w:highlight w:val="none"/>
          <w:lang w:val="zh-CN"/>
        </w:rPr>
        <w:t>附表</w:t>
      </w:r>
      <w:r>
        <w:rPr>
          <w:rFonts w:hint="eastAsia" w:ascii="宋体" w:hAnsi="宋体" w:cs="宋体"/>
          <w:sz w:val="24"/>
          <w:highlight w:val="none"/>
        </w:rPr>
        <w:t>1：</w:t>
      </w:r>
      <w:r>
        <w:rPr>
          <w:rFonts w:hint="eastAsia" w:ascii="宋体" w:hAnsi="宋体" w:cs="宋体"/>
          <w:sz w:val="24"/>
          <w:highlight w:val="none"/>
          <w:lang w:val="zh-CN"/>
        </w:rPr>
        <w:t>资格性审查表</w:t>
      </w:r>
    </w:p>
    <w:p>
      <w:pPr>
        <w:spacing w:line="360" w:lineRule="auto"/>
        <w:ind w:firstLine="1140" w:firstLineChars="475"/>
        <w:rPr>
          <w:rFonts w:ascii="宋体" w:hAnsi="宋体" w:cs="宋体"/>
          <w:color w:val="auto"/>
          <w:sz w:val="24"/>
          <w:highlight w:val="none"/>
          <w:lang w:val="zh-CN"/>
        </w:rPr>
      </w:pPr>
      <w:r>
        <w:rPr>
          <w:rFonts w:hint="eastAsia" w:ascii="宋体" w:hAnsi="宋体" w:cs="宋体"/>
          <w:color w:val="auto"/>
          <w:sz w:val="24"/>
          <w:highlight w:val="none"/>
          <w:lang w:val="zh-CN"/>
        </w:rPr>
        <w:t>附表</w:t>
      </w:r>
      <w:r>
        <w:rPr>
          <w:rFonts w:hint="eastAsia" w:ascii="宋体" w:hAnsi="宋体" w:cs="宋体"/>
          <w:color w:val="auto"/>
          <w:sz w:val="24"/>
          <w:highlight w:val="none"/>
        </w:rPr>
        <w:t>2：</w:t>
      </w:r>
      <w:r>
        <w:rPr>
          <w:rFonts w:hint="eastAsia" w:ascii="宋体" w:hAnsi="宋体" w:cs="宋体"/>
          <w:color w:val="auto"/>
          <w:sz w:val="24"/>
          <w:highlight w:val="none"/>
          <w:lang w:val="zh-CN"/>
        </w:rPr>
        <w:t>符合性审查表</w:t>
      </w:r>
    </w:p>
    <w:p>
      <w:pPr>
        <w:spacing w:line="360" w:lineRule="auto"/>
        <w:ind w:firstLine="1140" w:firstLineChars="475"/>
        <w:rPr>
          <w:rFonts w:ascii="宋体" w:hAnsi="宋体" w:cs="宋体"/>
          <w:color w:val="auto"/>
          <w:sz w:val="24"/>
          <w:highlight w:val="none"/>
          <w:lang w:val="zh-CN"/>
        </w:rPr>
      </w:pPr>
      <w:r>
        <w:rPr>
          <w:rFonts w:hint="eastAsia" w:ascii="宋体" w:hAnsi="宋体" w:cs="宋体"/>
          <w:color w:val="auto"/>
          <w:sz w:val="24"/>
          <w:highlight w:val="none"/>
          <w:lang w:val="zh-CN"/>
        </w:rPr>
        <w:t>附表</w:t>
      </w:r>
      <w:r>
        <w:rPr>
          <w:rFonts w:hint="eastAsia" w:ascii="宋体" w:hAnsi="宋体" w:cs="宋体"/>
          <w:color w:val="auto"/>
          <w:sz w:val="24"/>
          <w:highlight w:val="none"/>
        </w:rPr>
        <w:t>3：</w:t>
      </w:r>
      <w:r>
        <w:rPr>
          <w:rFonts w:hint="eastAsia" w:ascii="宋体" w:hAnsi="宋体" w:cs="宋体"/>
          <w:color w:val="auto"/>
          <w:sz w:val="24"/>
          <w:highlight w:val="none"/>
          <w:lang w:val="zh-CN"/>
        </w:rPr>
        <w:t>技术、商务及价格分值分配</w:t>
      </w:r>
    </w:p>
    <w:p>
      <w:pPr>
        <w:spacing w:line="360" w:lineRule="auto"/>
        <w:ind w:firstLine="1140" w:firstLineChars="475"/>
        <w:rPr>
          <w:rFonts w:ascii="宋体" w:hAnsi="宋体" w:cs="宋体"/>
          <w:color w:val="auto"/>
          <w:sz w:val="24"/>
          <w:highlight w:val="none"/>
          <w:lang w:val="zh-CN"/>
        </w:rPr>
      </w:pPr>
      <w:r>
        <w:rPr>
          <w:rFonts w:hint="eastAsia" w:ascii="宋体" w:hAnsi="宋体" w:cs="宋体"/>
          <w:color w:val="auto"/>
          <w:sz w:val="24"/>
          <w:highlight w:val="none"/>
          <w:lang w:val="zh-CN"/>
        </w:rPr>
        <w:t>附表</w:t>
      </w:r>
      <w:r>
        <w:rPr>
          <w:rFonts w:hint="eastAsia" w:ascii="宋体" w:hAnsi="宋体" w:cs="宋体"/>
          <w:color w:val="auto"/>
          <w:sz w:val="24"/>
          <w:highlight w:val="none"/>
        </w:rPr>
        <w:t>4：</w:t>
      </w:r>
      <w:r>
        <w:rPr>
          <w:rFonts w:hint="eastAsia" w:ascii="宋体" w:hAnsi="宋体" w:cs="宋体"/>
          <w:color w:val="auto"/>
          <w:sz w:val="24"/>
          <w:highlight w:val="none"/>
          <w:lang w:val="zh-CN"/>
        </w:rPr>
        <w:t>技术评审表</w:t>
      </w:r>
    </w:p>
    <w:p>
      <w:pPr>
        <w:spacing w:line="360" w:lineRule="auto"/>
        <w:ind w:firstLine="1140" w:firstLineChars="475"/>
        <w:rPr>
          <w:rFonts w:ascii="宋体" w:hAnsi="宋体" w:cs="宋体"/>
          <w:color w:val="auto"/>
          <w:sz w:val="24"/>
          <w:highlight w:val="none"/>
          <w:lang w:val="zh-CN"/>
        </w:rPr>
      </w:pPr>
      <w:r>
        <w:rPr>
          <w:rFonts w:hint="eastAsia" w:ascii="宋体" w:hAnsi="宋体" w:cs="宋体"/>
          <w:color w:val="auto"/>
          <w:sz w:val="24"/>
          <w:highlight w:val="none"/>
          <w:lang w:val="zh-CN"/>
        </w:rPr>
        <w:t>附表</w:t>
      </w:r>
      <w:r>
        <w:rPr>
          <w:rFonts w:hint="eastAsia" w:ascii="宋体" w:hAnsi="宋体" w:cs="宋体"/>
          <w:color w:val="auto"/>
          <w:sz w:val="24"/>
          <w:highlight w:val="none"/>
        </w:rPr>
        <w:t>5：</w:t>
      </w:r>
      <w:r>
        <w:rPr>
          <w:rFonts w:hint="eastAsia" w:ascii="宋体" w:hAnsi="宋体" w:cs="宋体"/>
          <w:color w:val="auto"/>
          <w:sz w:val="24"/>
          <w:highlight w:val="none"/>
          <w:lang w:val="zh-CN"/>
        </w:rPr>
        <w:t>商务评审表</w:t>
      </w:r>
    </w:p>
    <w:p>
      <w:pPr>
        <w:tabs>
          <w:tab w:val="left" w:pos="1220"/>
        </w:tabs>
        <w:adjustRightInd w:val="0"/>
        <w:snapToGrid w:val="0"/>
        <w:spacing w:line="360" w:lineRule="auto"/>
        <w:ind w:left="640" w:firstLine="499" w:firstLineChars="208"/>
        <w:rPr>
          <w:rFonts w:ascii="宋体" w:hAnsi="宋体" w:cs="宋体"/>
          <w:sz w:val="24"/>
          <w:highlight w:val="none"/>
          <w:lang w:val="zh-CN"/>
        </w:rPr>
        <w:sectPr>
          <w:pgSz w:w="11905" w:h="16838"/>
          <w:pgMar w:top="1803" w:right="1440" w:bottom="1803" w:left="1440" w:header="850" w:footer="1145" w:gutter="0"/>
          <w:cols w:space="0" w:num="1"/>
          <w:docGrid w:linePitch="312" w:charSpace="0"/>
        </w:sectPr>
      </w:pPr>
      <w:r>
        <w:rPr>
          <w:rFonts w:hint="eastAsia" w:ascii="宋体" w:hAnsi="宋体" w:cs="宋体"/>
          <w:sz w:val="24"/>
          <w:highlight w:val="none"/>
          <w:lang w:eastAsia="zh-Hans"/>
        </w:rPr>
        <w:t>附表</w:t>
      </w:r>
      <w:r>
        <w:rPr>
          <w:rFonts w:hint="eastAsia" w:ascii="宋体" w:hAnsi="宋体" w:cs="宋体"/>
          <w:sz w:val="24"/>
          <w:highlight w:val="none"/>
          <w:lang w:val="en-US" w:eastAsia="zh-CN"/>
        </w:rPr>
        <w:t>6</w:t>
      </w:r>
      <w:r>
        <w:rPr>
          <w:rFonts w:hint="eastAsia" w:ascii="宋体" w:hAnsi="宋体" w:cs="宋体"/>
          <w:sz w:val="24"/>
          <w:highlight w:val="none"/>
        </w:rPr>
        <w:t>：</w:t>
      </w:r>
      <w:r>
        <w:rPr>
          <w:rFonts w:hint="eastAsia" w:ascii="宋体" w:hAnsi="宋体" w:cs="宋体"/>
          <w:sz w:val="24"/>
          <w:highlight w:val="none"/>
          <w:lang w:val="zh-CN"/>
        </w:rPr>
        <w:t>价格评审表</w:t>
      </w:r>
    </w:p>
    <w:p>
      <w:pPr>
        <w:pStyle w:val="4"/>
        <w:adjustRightInd w:val="0"/>
        <w:snapToGrid w:val="0"/>
        <w:spacing w:before="0" w:after="0" w:line="360" w:lineRule="auto"/>
        <w:ind w:left="0" w:firstLine="0"/>
        <w:rPr>
          <w:sz w:val="24"/>
          <w:szCs w:val="24"/>
          <w:highlight w:val="none"/>
        </w:rPr>
      </w:pPr>
      <w:bookmarkStart w:id="414" w:name="_Toc12807"/>
      <w:bookmarkStart w:id="415" w:name="_Toc877"/>
      <w:bookmarkStart w:id="416" w:name="_Toc10924"/>
      <w:bookmarkStart w:id="417" w:name="_Toc13256"/>
      <w:bookmarkStart w:id="418" w:name="_Toc14190"/>
      <w:bookmarkStart w:id="419" w:name="_Toc3344"/>
      <w:bookmarkStart w:id="420" w:name="_Toc13022"/>
      <w:r>
        <w:rPr>
          <w:rFonts w:hint="eastAsia"/>
          <w:sz w:val="24"/>
          <w:szCs w:val="24"/>
          <w:highlight w:val="none"/>
        </w:rPr>
        <w:t>附表1：资格性审查表</w:t>
      </w:r>
      <w:bookmarkEnd w:id="414"/>
      <w:bookmarkEnd w:id="415"/>
      <w:bookmarkEnd w:id="416"/>
      <w:bookmarkEnd w:id="417"/>
      <w:bookmarkEnd w:id="418"/>
      <w:bookmarkEnd w:id="419"/>
      <w:bookmarkEnd w:id="420"/>
    </w:p>
    <w:tbl>
      <w:tblPr>
        <w:tblStyle w:val="29"/>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3938"/>
        <w:gridCol w:w="4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blHeader/>
          <w:jc w:val="center"/>
        </w:trPr>
        <w:tc>
          <w:tcPr>
            <w:tcW w:w="454" w:type="pct"/>
            <w:shd w:val="clear" w:color="auto" w:fill="D8D8D8"/>
            <w:vAlign w:val="center"/>
          </w:tcPr>
          <w:p>
            <w:pPr>
              <w:spacing w:line="440" w:lineRule="exact"/>
              <w:jc w:val="center"/>
              <w:rPr>
                <w:rFonts w:ascii="宋体" w:hAnsi="宋体"/>
                <w:b/>
                <w:sz w:val="24"/>
                <w:highlight w:val="none"/>
              </w:rPr>
            </w:pPr>
            <w:r>
              <w:rPr>
                <w:rFonts w:hint="eastAsia" w:ascii="宋体" w:hAnsi="宋体"/>
                <w:b/>
                <w:sz w:val="24"/>
                <w:highlight w:val="none"/>
              </w:rPr>
              <w:t>序号</w:t>
            </w:r>
          </w:p>
        </w:tc>
        <w:tc>
          <w:tcPr>
            <w:tcW w:w="2132" w:type="pct"/>
            <w:shd w:val="clear" w:color="auto" w:fill="D8D8D8"/>
            <w:vAlign w:val="center"/>
          </w:tcPr>
          <w:p>
            <w:pPr>
              <w:spacing w:line="440" w:lineRule="exact"/>
              <w:jc w:val="center"/>
              <w:rPr>
                <w:rFonts w:ascii="宋体" w:hAnsi="宋体"/>
                <w:b/>
                <w:sz w:val="24"/>
                <w:highlight w:val="none"/>
              </w:rPr>
            </w:pPr>
            <w:r>
              <w:rPr>
                <w:rFonts w:hint="eastAsia" w:ascii="宋体" w:hAnsi="宋体"/>
                <w:b/>
                <w:sz w:val="24"/>
                <w:highlight w:val="none"/>
              </w:rPr>
              <w:t>审查内容</w:t>
            </w:r>
          </w:p>
        </w:tc>
        <w:tc>
          <w:tcPr>
            <w:tcW w:w="2412" w:type="pct"/>
            <w:shd w:val="clear" w:color="auto" w:fill="D8D8D8"/>
            <w:vAlign w:val="center"/>
          </w:tcPr>
          <w:p>
            <w:pPr>
              <w:spacing w:line="440" w:lineRule="exact"/>
              <w:jc w:val="center"/>
              <w:rPr>
                <w:rFonts w:ascii="宋体" w:hAnsi="宋体"/>
                <w:b/>
                <w:sz w:val="24"/>
                <w:highlight w:val="none"/>
              </w:rPr>
            </w:pPr>
            <w:r>
              <w:rPr>
                <w:rFonts w:hint="eastAsia" w:ascii="宋体" w:hAnsi="宋体"/>
                <w:b/>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jc w:val="left"/>
              <w:rPr>
                <w:rFonts w:ascii="宋体" w:hAnsi="宋体" w:cs="Tahoma"/>
                <w:sz w:val="24"/>
                <w:highlight w:val="none"/>
              </w:rPr>
            </w:pPr>
            <w:r>
              <w:rPr>
                <w:rFonts w:hint="eastAsia" w:ascii="宋体" w:hAnsi="宋体" w:cs="宋体"/>
                <w:sz w:val="24"/>
                <w:highlight w:val="none"/>
              </w:rPr>
              <w:t>具有独立承担民事责任能力的在中华人民共和国境内注册的法人或其他组织。</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企业法人或者其他组织的营业执照（或事业法人登记证或身份证等相关证明）副本复印件，分支机构投标，须取得具有法人资格的总公司出具给分支机构的授权书，并提供总公司和分支机构的营业执照复印件。已由总公司授权的，总公司取得的相关资质证书对分支机构有效，法律法规或者行业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jc w:val="left"/>
              <w:rPr>
                <w:rFonts w:ascii="宋体" w:hAnsi="宋体" w:cs="宋体"/>
                <w:sz w:val="24"/>
                <w:highlight w:val="none"/>
              </w:rPr>
            </w:pPr>
            <w:r>
              <w:rPr>
                <w:rFonts w:hint="eastAsia" w:ascii="宋体" w:hAnsi="宋体"/>
                <w:sz w:val="24"/>
                <w:highlight w:val="none"/>
              </w:rPr>
              <w:t>具有良好的商业信誉和健全的财务会计制度</w:t>
            </w:r>
            <w:r>
              <w:rPr>
                <w:rFonts w:hint="eastAsia" w:ascii="宋体" w:hAnsi="宋体" w:cs="宋体"/>
                <w:sz w:val="24"/>
                <w:highlight w:val="none"/>
              </w:rPr>
              <w:t>。</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jc w:val="left"/>
              <w:rPr>
                <w:rFonts w:ascii="宋体" w:hAnsi="宋体"/>
                <w:sz w:val="24"/>
                <w:highlight w:val="none"/>
              </w:rPr>
            </w:pPr>
            <w:r>
              <w:rPr>
                <w:rFonts w:hint="eastAsia" w:ascii="宋体" w:hAnsi="宋体"/>
                <w:sz w:val="24"/>
                <w:highlight w:val="none"/>
              </w:rPr>
              <w:t>有依法缴纳税收和社会保障资金的良好记录</w:t>
            </w:r>
            <w:r>
              <w:rPr>
                <w:rFonts w:hint="eastAsia" w:ascii="宋体" w:hAnsi="宋体" w:cs="宋体"/>
                <w:sz w:val="24"/>
                <w:highlight w:val="none"/>
              </w:rPr>
              <w:t>。</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jc w:val="left"/>
              <w:rPr>
                <w:rFonts w:ascii="宋体" w:hAnsi="宋体"/>
                <w:sz w:val="24"/>
                <w:highlight w:val="none"/>
              </w:rPr>
            </w:pPr>
            <w:r>
              <w:rPr>
                <w:rFonts w:hint="eastAsia" w:ascii="宋体" w:hAnsi="宋体"/>
                <w:sz w:val="24"/>
                <w:highlight w:val="none"/>
              </w:rPr>
              <w:t>履行合同所必需的设备和专业技术能力</w:t>
            </w:r>
            <w:r>
              <w:rPr>
                <w:rFonts w:hint="eastAsia" w:ascii="宋体" w:hAnsi="宋体" w:cs="宋体"/>
                <w:sz w:val="24"/>
                <w:highlight w:val="none"/>
              </w:rPr>
              <w:t>。</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jc w:val="left"/>
              <w:rPr>
                <w:rFonts w:ascii="宋体" w:hAnsi="宋体"/>
                <w:sz w:val="24"/>
                <w:highlight w:val="none"/>
              </w:rPr>
            </w:pPr>
            <w:r>
              <w:rPr>
                <w:rFonts w:hint="eastAsia" w:ascii="宋体" w:hAnsi="宋体"/>
                <w:sz w:val="24"/>
                <w:highlight w:val="none"/>
              </w:rPr>
              <w:t>供应商参加政府采购活动前三年内，在经营活动中没有重大违法记录。</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jc w:val="left"/>
              <w:rPr>
                <w:rFonts w:ascii="宋体" w:hAnsi="宋体"/>
                <w:sz w:val="24"/>
                <w:highlight w:val="none"/>
              </w:rPr>
            </w:pPr>
            <w:r>
              <w:rPr>
                <w:rFonts w:hint="eastAsia" w:ascii="宋体" w:hAnsi="宋体"/>
                <w:sz w:val="24"/>
                <w:highlight w:val="none"/>
              </w:rPr>
              <w:t>供应商必须符合法律、行政法规规定的其他条件。</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jc w:val="left"/>
              <w:rPr>
                <w:rFonts w:ascii="宋体" w:hAnsi="宋体" w:cs="宋体"/>
                <w:sz w:val="24"/>
                <w:highlight w:val="none"/>
              </w:rPr>
            </w:pPr>
            <w:r>
              <w:rPr>
                <w:rFonts w:ascii="宋体" w:hAnsi="宋体" w:cs="宋体"/>
                <w:sz w:val="24"/>
                <w:highlight w:val="none"/>
              </w:rPr>
              <w:t>供应商未被列入“中国执行信息公开网”（zxgk.court.gov.cn）“记录失信被执行人”</w:t>
            </w:r>
            <w:r>
              <w:rPr>
                <w:rFonts w:hint="eastAsia" w:ascii="宋体" w:hAnsi="宋体" w:cs="宋体"/>
                <w:sz w:val="24"/>
                <w:highlight w:val="none"/>
              </w:rPr>
              <w:t>名单</w:t>
            </w:r>
            <w:r>
              <w:rPr>
                <w:rFonts w:ascii="宋体" w:hAnsi="宋体" w:cs="宋体"/>
                <w:sz w:val="24"/>
                <w:highlight w:val="none"/>
              </w:rPr>
              <w:t>；</w:t>
            </w:r>
            <w:r>
              <w:rPr>
                <w:rFonts w:hint="eastAsia" w:ascii="宋体" w:hAnsi="宋体" w:cs="宋体"/>
                <w:sz w:val="24"/>
                <w:highlight w:val="none"/>
              </w:rPr>
              <w:t>未被列入</w:t>
            </w:r>
            <w:r>
              <w:rPr>
                <w:rFonts w:ascii="宋体" w:hAnsi="宋体" w:cs="宋体"/>
                <w:sz w:val="24"/>
                <w:highlight w:val="none"/>
              </w:rPr>
              <w:t>“信用中国”网站(www.creditchina.gov.cn)“重大税收违法失信主体</w:t>
            </w:r>
            <w:r>
              <w:rPr>
                <w:rFonts w:hint="eastAsia" w:ascii="宋体" w:hAnsi="宋体" w:cs="宋体"/>
                <w:sz w:val="24"/>
                <w:highlight w:val="none"/>
              </w:rPr>
              <w:t>、</w:t>
            </w:r>
            <w:r>
              <w:rPr>
                <w:rFonts w:ascii="宋体" w:hAnsi="宋体" w:cs="宋体"/>
                <w:sz w:val="24"/>
                <w:highlight w:val="none"/>
              </w:rPr>
              <w:t>政府采购严重违法失信行为”记录名单；不处于中国政府采购网(www.ccgp.gov.cn)“政府采购严重违法失信行为信息记录”中的禁止参加政府采购活动期间</w:t>
            </w:r>
            <w:r>
              <w:rPr>
                <w:rFonts w:hint="eastAsia" w:ascii="宋体" w:hAnsi="宋体" w:cs="宋体"/>
                <w:sz w:val="24"/>
                <w:highlight w:val="none"/>
              </w:rPr>
              <w:t>。</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以资格审查人员于投标截止时间当天在</w:t>
            </w:r>
            <w:r>
              <w:rPr>
                <w:rFonts w:hint="eastAsia" w:ascii="宋体" w:hAnsi="宋体" w:cs="宋体"/>
                <w:sz w:val="24"/>
                <w:highlight w:val="none"/>
                <w:lang w:eastAsia="zh-Hans"/>
              </w:rPr>
              <w:t>上述网站</w:t>
            </w:r>
            <w:r>
              <w:rPr>
                <w:rFonts w:hint="eastAsia" w:ascii="宋体" w:hAnsi="宋体" w:cs="宋体"/>
                <w:sz w:val="24"/>
                <w:highlight w:val="none"/>
              </w:rPr>
              <w:t>查询结果为准，如相关失信记录已失效，供应商需提供相关证明资料</w:t>
            </w:r>
            <w:r>
              <w:rPr>
                <w:rFonts w:hint="eastAsia" w:ascii="宋体" w:hAnsi="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tabs>
                <w:tab w:val="left" w:pos="1092"/>
              </w:tabs>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单位负责人为同一人或者存在直接控股、管理关系的不同供应商，不得同时参加本采购项目（或采购包）投标。</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tabs>
                <w:tab w:val="left" w:pos="1092"/>
              </w:tabs>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为本项目提供整体设计、规范编制或者项目管理、监理、检测等服务的供应商，不得再参与本项目投标。</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4" w:type="pct"/>
            <w:vAlign w:val="center"/>
          </w:tcPr>
          <w:p>
            <w:pPr>
              <w:numPr>
                <w:ilvl w:val="0"/>
                <w:numId w:val="119"/>
              </w:numPr>
              <w:spacing w:line="440" w:lineRule="exact"/>
              <w:jc w:val="center"/>
              <w:rPr>
                <w:rFonts w:ascii="宋体" w:hAnsi="宋体"/>
                <w:sz w:val="24"/>
                <w:highlight w:val="none"/>
              </w:rPr>
            </w:pPr>
          </w:p>
        </w:tc>
        <w:tc>
          <w:tcPr>
            <w:tcW w:w="2132" w:type="pct"/>
            <w:vAlign w:val="center"/>
          </w:tcPr>
          <w:p>
            <w:pPr>
              <w:spacing w:line="440" w:lineRule="exact"/>
              <w:rPr>
                <w:rFonts w:ascii="宋体" w:hAnsi="宋体"/>
                <w:sz w:val="24"/>
                <w:highlight w:val="none"/>
              </w:rPr>
            </w:pPr>
            <w:r>
              <w:rPr>
                <w:rFonts w:hint="eastAsia" w:ascii="宋体" w:hAnsi="宋体" w:cs="宋体"/>
                <w:sz w:val="24"/>
                <w:highlight w:val="none"/>
              </w:rPr>
              <w:t>供应商已领购本项目招标文件。</w:t>
            </w:r>
          </w:p>
        </w:tc>
        <w:tc>
          <w:tcPr>
            <w:tcW w:w="2412" w:type="pct"/>
            <w:vAlign w:val="center"/>
          </w:tcPr>
          <w:p>
            <w:pPr>
              <w:spacing w:line="440" w:lineRule="exact"/>
              <w:jc w:val="left"/>
              <w:rPr>
                <w:rFonts w:ascii="宋体" w:hAnsi="宋体" w:cs="宋体"/>
                <w:sz w:val="24"/>
                <w:highlight w:val="none"/>
              </w:rPr>
            </w:pPr>
            <w:r>
              <w:rPr>
                <w:rFonts w:hint="eastAsia" w:ascii="宋体" w:hAnsi="宋体" w:cs="宋体"/>
                <w:sz w:val="24"/>
                <w:highlight w:val="none"/>
              </w:rPr>
              <w:t>以采购代理机构登记为准。</w:t>
            </w:r>
          </w:p>
        </w:tc>
      </w:tr>
    </w:tbl>
    <w:p>
      <w:pPr>
        <w:spacing w:line="360" w:lineRule="auto"/>
        <w:rPr>
          <w:rFonts w:ascii="宋体" w:hAnsi="宋体" w:cs="宋体"/>
          <w:sz w:val="24"/>
          <w:highlight w:val="none"/>
        </w:rPr>
      </w:pPr>
      <w:r>
        <w:rPr>
          <w:rFonts w:hint="eastAsia" w:ascii="宋体" w:hAnsi="宋体" w:cs="宋体"/>
          <w:sz w:val="24"/>
          <w:highlight w:val="none"/>
        </w:rPr>
        <w:t>备注：</w:t>
      </w:r>
    </w:p>
    <w:p>
      <w:pPr>
        <w:numPr>
          <w:ilvl w:val="0"/>
          <w:numId w:val="120"/>
        </w:numPr>
        <w:spacing w:line="360" w:lineRule="auto"/>
        <w:rPr>
          <w:rFonts w:ascii="宋体" w:hAnsi="宋体" w:cs="宋体"/>
          <w:sz w:val="24"/>
          <w:highlight w:val="none"/>
        </w:rPr>
      </w:pPr>
      <w:r>
        <w:rPr>
          <w:rFonts w:hint="eastAsia" w:ascii="宋体" w:hAnsi="宋体" w:cs="宋体"/>
          <w:sz w:val="24"/>
          <w:highlight w:val="none"/>
        </w:rPr>
        <w:t>每一项符合的打“○”，不符合的打“×”。</w:t>
      </w:r>
    </w:p>
    <w:p>
      <w:pPr>
        <w:numPr>
          <w:ilvl w:val="0"/>
          <w:numId w:val="120"/>
        </w:numPr>
        <w:spacing w:line="360" w:lineRule="auto"/>
        <w:rPr>
          <w:rFonts w:ascii="宋体" w:hAnsi="宋体" w:cs="宋体"/>
          <w:sz w:val="24"/>
          <w:highlight w:val="none"/>
        </w:rPr>
      </w:pPr>
      <w:r>
        <w:rPr>
          <w:rFonts w:hint="eastAsia" w:ascii="宋体" w:hAnsi="宋体" w:cs="宋体"/>
          <w:sz w:val="24"/>
          <w:highlight w:val="none"/>
        </w:rPr>
        <w:t>“结论”一栏填写“通过”或“不通过”；任何一项出现“×”的，结论为不通过。不通过的为无效投标。</w:t>
      </w:r>
    </w:p>
    <w:p>
      <w:pPr>
        <w:rPr>
          <w:sz w:val="24"/>
          <w:highlight w:val="none"/>
        </w:rPr>
      </w:pPr>
      <w:bookmarkStart w:id="421" w:name="_Toc24216"/>
      <w:bookmarkStart w:id="422" w:name="_Toc19140"/>
      <w:bookmarkStart w:id="423" w:name="_Toc4674"/>
      <w:bookmarkStart w:id="424" w:name="_Toc20753"/>
      <w:bookmarkStart w:id="425" w:name="_Toc132"/>
      <w:bookmarkStart w:id="426" w:name="_Toc23154"/>
      <w:r>
        <w:rPr>
          <w:rFonts w:hint="eastAsia"/>
          <w:sz w:val="24"/>
          <w:highlight w:val="none"/>
        </w:rPr>
        <w:br w:type="page"/>
      </w:r>
    </w:p>
    <w:p>
      <w:pPr>
        <w:pStyle w:val="4"/>
        <w:adjustRightInd w:val="0"/>
        <w:snapToGrid w:val="0"/>
        <w:spacing w:before="0" w:after="0" w:line="360" w:lineRule="auto"/>
        <w:ind w:left="0" w:firstLine="0"/>
        <w:rPr>
          <w:sz w:val="24"/>
          <w:szCs w:val="24"/>
          <w:highlight w:val="none"/>
        </w:rPr>
      </w:pPr>
      <w:bookmarkStart w:id="427" w:name="_Toc16980"/>
      <w:r>
        <w:rPr>
          <w:rFonts w:hint="eastAsia"/>
          <w:sz w:val="24"/>
          <w:szCs w:val="24"/>
          <w:highlight w:val="none"/>
        </w:rPr>
        <w:t>附表2：符合性审查表</w:t>
      </w:r>
      <w:bookmarkEnd w:id="421"/>
      <w:bookmarkEnd w:id="422"/>
      <w:bookmarkEnd w:id="423"/>
      <w:bookmarkEnd w:id="424"/>
      <w:bookmarkEnd w:id="425"/>
      <w:bookmarkEnd w:id="426"/>
      <w:bookmarkEnd w:id="427"/>
    </w:p>
    <w:tbl>
      <w:tblPr>
        <w:tblStyle w:val="29"/>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2971"/>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3" w:type="dxa"/>
            <w:shd w:val="clear" w:color="auto" w:fill="D8D8D8"/>
            <w:vAlign w:val="center"/>
          </w:tcPr>
          <w:p>
            <w:pPr>
              <w:adjustRightInd w:val="0"/>
              <w:snapToGrid w:val="0"/>
              <w:spacing w:line="440" w:lineRule="exact"/>
              <w:jc w:val="center"/>
              <w:rPr>
                <w:rFonts w:ascii="宋体" w:hAnsi="宋体"/>
                <w:b/>
                <w:sz w:val="24"/>
                <w:highlight w:val="none"/>
              </w:rPr>
            </w:pPr>
            <w:r>
              <w:rPr>
                <w:rFonts w:hint="eastAsia" w:ascii="宋体" w:hAnsi="宋体"/>
                <w:b/>
                <w:sz w:val="24"/>
                <w:highlight w:val="none"/>
              </w:rPr>
              <w:t>序号</w:t>
            </w:r>
          </w:p>
        </w:tc>
        <w:tc>
          <w:tcPr>
            <w:tcW w:w="2971" w:type="dxa"/>
            <w:shd w:val="clear" w:color="auto" w:fill="D8D8D8"/>
            <w:vAlign w:val="center"/>
          </w:tcPr>
          <w:p>
            <w:pPr>
              <w:adjustRightInd w:val="0"/>
              <w:snapToGrid w:val="0"/>
              <w:spacing w:line="440" w:lineRule="exact"/>
              <w:jc w:val="center"/>
              <w:rPr>
                <w:rFonts w:ascii="宋体" w:hAnsi="宋体"/>
                <w:b/>
                <w:sz w:val="24"/>
                <w:highlight w:val="none"/>
              </w:rPr>
            </w:pPr>
            <w:r>
              <w:rPr>
                <w:rFonts w:hint="eastAsia" w:ascii="宋体" w:hAnsi="宋体"/>
                <w:b/>
                <w:sz w:val="24"/>
                <w:highlight w:val="none"/>
              </w:rPr>
              <w:t>审查内容</w:t>
            </w:r>
          </w:p>
        </w:tc>
        <w:tc>
          <w:tcPr>
            <w:tcW w:w="5023" w:type="dxa"/>
            <w:shd w:val="clear" w:color="auto" w:fill="D8D8D8"/>
            <w:vAlign w:val="center"/>
          </w:tcPr>
          <w:p>
            <w:pPr>
              <w:adjustRightInd w:val="0"/>
              <w:snapToGrid w:val="0"/>
              <w:spacing w:line="440" w:lineRule="exact"/>
              <w:jc w:val="center"/>
              <w:rPr>
                <w:rFonts w:ascii="宋体" w:hAnsi="宋体"/>
                <w:b/>
                <w:sz w:val="24"/>
                <w:highlight w:val="none"/>
              </w:rPr>
            </w:pPr>
            <w:r>
              <w:rPr>
                <w:rFonts w:hint="eastAsia" w:ascii="宋体" w:hAnsi="宋体"/>
                <w:b/>
                <w:sz w:val="24"/>
                <w:highlight w:val="none"/>
              </w:rPr>
              <w:t>审查标准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投标函(原件)</w:t>
            </w:r>
          </w:p>
        </w:tc>
        <w:tc>
          <w:tcPr>
            <w:tcW w:w="5023" w:type="dxa"/>
            <w:vAlign w:val="center"/>
          </w:tcPr>
          <w:p>
            <w:pPr>
              <w:adjustRightInd w:val="0"/>
              <w:snapToGrid w:val="0"/>
              <w:spacing w:line="440" w:lineRule="exact"/>
              <w:ind w:left="40" w:leftChars="19"/>
              <w:rPr>
                <w:rFonts w:ascii="宋体" w:hAnsi="宋体"/>
                <w:sz w:val="24"/>
                <w:highlight w:val="none"/>
              </w:rPr>
            </w:pPr>
            <w:r>
              <w:rPr>
                <w:rFonts w:hint="eastAsia" w:ascii="宋体" w:hAnsi="宋体"/>
                <w:sz w:val="24"/>
                <w:highlight w:val="none"/>
              </w:rPr>
              <w:t>按对应格式文件填写、签署、盖章。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sz w:val="24"/>
                <w:highlight w:val="none"/>
              </w:rPr>
            </w:pPr>
            <w:r>
              <w:rPr>
                <w:rFonts w:hint="eastAsia" w:ascii="宋体"/>
                <w:sz w:val="24"/>
                <w:highlight w:val="none"/>
              </w:rPr>
              <w:t>法定代表人（负责人）证明书及授权委托书</w:t>
            </w:r>
          </w:p>
          <w:p>
            <w:pPr>
              <w:adjustRightInd w:val="0"/>
              <w:snapToGrid w:val="0"/>
              <w:spacing w:line="440" w:lineRule="exact"/>
              <w:jc w:val="left"/>
              <w:rPr>
                <w:rFonts w:ascii="宋体"/>
                <w:sz w:val="24"/>
                <w:highlight w:val="none"/>
              </w:rPr>
            </w:pPr>
            <w:r>
              <w:rPr>
                <w:rFonts w:hint="eastAsia" w:ascii="宋体"/>
                <w:sz w:val="24"/>
                <w:highlight w:val="none"/>
              </w:rPr>
              <w:t>注：法定代表人（负责人）投标的只须提供法定代表人（负责人）证明书</w:t>
            </w:r>
          </w:p>
        </w:tc>
        <w:tc>
          <w:tcPr>
            <w:tcW w:w="5023" w:type="dxa"/>
            <w:vAlign w:val="center"/>
          </w:tcPr>
          <w:p>
            <w:pPr>
              <w:adjustRightInd w:val="0"/>
              <w:snapToGrid w:val="0"/>
              <w:spacing w:line="440" w:lineRule="exact"/>
              <w:ind w:left="40" w:leftChars="19"/>
              <w:rPr>
                <w:rFonts w:ascii="宋体" w:hAnsi="宋体"/>
                <w:sz w:val="24"/>
                <w:highlight w:val="none"/>
              </w:rPr>
            </w:pPr>
            <w:r>
              <w:rPr>
                <w:rFonts w:hint="eastAsia" w:ascii="宋体" w:hAnsi="宋体"/>
                <w:sz w:val="24"/>
                <w:highlight w:val="none"/>
              </w:rPr>
              <w:t>按对应格式文件签署、盖章。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Merge w:val="restart"/>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Merge w:val="restar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报价要求</w:t>
            </w:r>
          </w:p>
        </w:tc>
        <w:tc>
          <w:tcPr>
            <w:tcW w:w="5023" w:type="dxa"/>
            <w:vAlign w:val="center"/>
          </w:tcPr>
          <w:p>
            <w:pPr>
              <w:tabs>
                <w:tab w:val="left" w:pos="2880"/>
              </w:tabs>
              <w:adjustRightInd w:val="0"/>
              <w:snapToGrid w:val="0"/>
              <w:spacing w:line="440" w:lineRule="exact"/>
              <w:ind w:left="40" w:leftChars="19"/>
              <w:rPr>
                <w:rFonts w:ascii="宋体" w:hAnsi="宋体"/>
                <w:sz w:val="24"/>
                <w:highlight w:val="none"/>
              </w:rPr>
            </w:pPr>
            <w:r>
              <w:rPr>
                <w:rFonts w:hint="eastAsia" w:ascii="宋体" w:hAnsi="宋体"/>
                <w:sz w:val="24"/>
                <w:highlight w:val="none"/>
              </w:rPr>
              <w:t>投标报价是固定价且是唯一的，投标报价未超出</w:t>
            </w:r>
            <w:r>
              <w:rPr>
                <w:rFonts w:hint="eastAsia" w:ascii="宋体" w:hAnsi="宋体"/>
                <w:sz w:val="24"/>
                <w:highlight w:val="none"/>
                <w:lang w:eastAsia="zh-Hans"/>
              </w:rPr>
              <w:t>单价</w:t>
            </w:r>
            <w:r>
              <w:rPr>
                <w:rFonts w:hint="eastAsia" w:ascii="宋体" w:hAnsi="宋体"/>
                <w:sz w:val="24"/>
                <w:highlight w:val="none"/>
              </w:rPr>
              <w:t>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823" w:type="dxa"/>
            <w:vMerge w:val="continue"/>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Merge w:val="continue"/>
            <w:vAlign w:val="center"/>
          </w:tcPr>
          <w:p>
            <w:pPr>
              <w:adjustRightInd w:val="0"/>
              <w:snapToGrid w:val="0"/>
              <w:spacing w:line="440" w:lineRule="exact"/>
              <w:jc w:val="left"/>
              <w:rPr>
                <w:rFonts w:ascii="宋体" w:hAnsi="宋体"/>
                <w:sz w:val="24"/>
                <w:highlight w:val="none"/>
              </w:rPr>
            </w:pPr>
          </w:p>
        </w:tc>
        <w:tc>
          <w:tcPr>
            <w:tcW w:w="5023" w:type="dxa"/>
            <w:vAlign w:val="center"/>
          </w:tcPr>
          <w:p>
            <w:pPr>
              <w:tabs>
                <w:tab w:val="left" w:pos="2880"/>
              </w:tabs>
              <w:adjustRightInd w:val="0"/>
              <w:snapToGrid w:val="0"/>
              <w:spacing w:line="440" w:lineRule="exact"/>
              <w:ind w:left="40" w:leftChars="19"/>
              <w:rPr>
                <w:rFonts w:ascii="宋体" w:hAnsi="宋体" w:cs="Tahoma"/>
                <w:kern w:val="28"/>
                <w:sz w:val="24"/>
                <w:highlight w:val="none"/>
              </w:rPr>
            </w:pPr>
            <w:r>
              <w:rPr>
                <w:rFonts w:hint="eastAsia" w:ascii="宋体" w:hAnsi="宋体" w:cs="Tahoma"/>
                <w:kern w:val="28"/>
                <w:sz w:val="24"/>
                <w:highlight w:val="none"/>
              </w:rPr>
              <w:t>招标文件不接受提交备选方案。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招标代理服务费支付承诺书</w:t>
            </w:r>
          </w:p>
        </w:tc>
        <w:tc>
          <w:tcPr>
            <w:tcW w:w="5023" w:type="dxa"/>
            <w:vAlign w:val="center"/>
          </w:tcPr>
          <w:p>
            <w:pPr>
              <w:spacing w:line="440" w:lineRule="exact"/>
              <w:rPr>
                <w:rFonts w:ascii="宋体" w:hAnsi="宋体" w:cs="Tahoma"/>
                <w:kern w:val="28"/>
                <w:sz w:val="24"/>
                <w:highlight w:val="none"/>
              </w:rPr>
            </w:pPr>
            <w:r>
              <w:rPr>
                <w:rFonts w:hint="eastAsia" w:ascii="宋体" w:hAnsi="宋体"/>
                <w:sz w:val="24"/>
                <w:highlight w:val="none"/>
              </w:rPr>
              <w:t>已按招标文件要求提交招标代理服务费支付承诺书。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hAnsi="宋体"/>
                <w:sz w:val="24"/>
                <w:highlight w:val="none"/>
              </w:rPr>
            </w:pPr>
            <w:r>
              <w:rPr>
                <w:rFonts w:hint="eastAsia" w:ascii="宋体" w:hAnsi="宋体" w:cs="宋体"/>
                <w:sz w:val="24"/>
                <w:highlight w:val="none"/>
              </w:rPr>
              <w:t>投标保证金</w:t>
            </w:r>
          </w:p>
        </w:tc>
        <w:tc>
          <w:tcPr>
            <w:tcW w:w="5023" w:type="dxa"/>
          </w:tcPr>
          <w:p>
            <w:pPr>
              <w:adjustRightInd w:val="0"/>
              <w:snapToGrid w:val="0"/>
              <w:spacing w:line="440" w:lineRule="exact"/>
              <w:jc w:val="left"/>
              <w:rPr>
                <w:rFonts w:ascii="宋体" w:hAnsi="宋体"/>
                <w:sz w:val="24"/>
                <w:highlight w:val="none"/>
              </w:rPr>
            </w:pPr>
            <w:r>
              <w:rPr>
                <w:rFonts w:hint="eastAsia" w:ascii="宋体" w:hAnsi="宋体" w:cs="宋体"/>
                <w:sz w:val="24"/>
                <w:highlight w:val="none"/>
              </w:rPr>
              <w:t>已按招标文件要求提交足额投标保证金或投标担保函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投标有效期</w:t>
            </w:r>
          </w:p>
        </w:tc>
        <w:tc>
          <w:tcPr>
            <w:tcW w:w="5023" w:type="dxa"/>
            <w:vAlign w:val="center"/>
          </w:tcPr>
          <w:p>
            <w:pPr>
              <w:adjustRightInd w:val="0"/>
              <w:snapToGrid w:val="0"/>
              <w:spacing w:line="440" w:lineRule="exact"/>
              <w:rPr>
                <w:rFonts w:ascii="宋体" w:hAnsi="宋体"/>
                <w:sz w:val="24"/>
                <w:highlight w:val="none"/>
              </w:rPr>
            </w:pPr>
            <w:r>
              <w:rPr>
                <w:rFonts w:hint="eastAsia" w:ascii="宋体" w:hAnsi="宋体" w:cs="宋体"/>
                <w:sz w:val="24"/>
                <w:highlight w:val="none"/>
              </w:rPr>
              <w:t>自递交投标文件截止之日起90天。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交货期</w:t>
            </w:r>
          </w:p>
        </w:tc>
        <w:tc>
          <w:tcPr>
            <w:tcW w:w="5023" w:type="dxa"/>
            <w:vAlign w:val="center"/>
          </w:tcPr>
          <w:p>
            <w:pPr>
              <w:adjustRightInd w:val="0"/>
              <w:snapToGrid w:val="0"/>
              <w:spacing w:line="440" w:lineRule="exact"/>
              <w:rPr>
                <w:rFonts w:ascii="宋体" w:hAnsi="宋体"/>
                <w:sz w:val="24"/>
                <w:highlight w:val="none"/>
              </w:rPr>
            </w:pPr>
            <w:r>
              <w:rPr>
                <w:rFonts w:hint="eastAsia" w:ascii="宋体" w:hAnsi="宋体"/>
                <w:sz w:val="24"/>
                <w:highlight w:val="non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带</w:t>
            </w:r>
            <w:r>
              <w:rPr>
                <w:rFonts w:hint="eastAsia" w:ascii="宋体" w:hAnsi="宋体" w:cs="宋体"/>
                <w:sz w:val="24"/>
                <w:highlight w:val="none"/>
              </w:rPr>
              <w:t>★条款</w:t>
            </w:r>
          </w:p>
        </w:tc>
        <w:tc>
          <w:tcPr>
            <w:tcW w:w="5023" w:type="dxa"/>
            <w:vAlign w:val="center"/>
          </w:tcPr>
          <w:p>
            <w:pPr>
              <w:adjustRightInd w:val="0"/>
              <w:snapToGrid w:val="0"/>
              <w:spacing w:line="440" w:lineRule="exact"/>
              <w:rPr>
                <w:rFonts w:ascii="宋体" w:hAnsi="宋体"/>
                <w:sz w:val="24"/>
                <w:highlight w:val="none"/>
              </w:rPr>
            </w:pPr>
            <w:r>
              <w:rPr>
                <w:rFonts w:hint="eastAsia" w:ascii="宋体" w:hAnsi="宋体"/>
                <w:sz w:val="24"/>
                <w:highlight w:val="none"/>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3" w:type="dxa"/>
            <w:vAlign w:val="center"/>
          </w:tcPr>
          <w:p>
            <w:pPr>
              <w:numPr>
                <w:ilvl w:val="0"/>
                <w:numId w:val="121"/>
              </w:numPr>
              <w:adjustRightInd w:val="0"/>
              <w:snapToGrid w:val="0"/>
              <w:spacing w:line="440" w:lineRule="exact"/>
              <w:jc w:val="center"/>
              <w:rPr>
                <w:rFonts w:ascii="宋体" w:hAnsi="宋体"/>
                <w:sz w:val="24"/>
                <w:highlight w:val="none"/>
              </w:rPr>
            </w:pPr>
          </w:p>
        </w:tc>
        <w:tc>
          <w:tcPr>
            <w:tcW w:w="2971" w:type="dxa"/>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其他</w:t>
            </w:r>
          </w:p>
        </w:tc>
        <w:tc>
          <w:tcPr>
            <w:tcW w:w="5023" w:type="dxa"/>
            <w:vAlign w:val="center"/>
          </w:tcPr>
          <w:p>
            <w:pPr>
              <w:adjustRightInd w:val="0"/>
              <w:snapToGrid w:val="0"/>
              <w:spacing w:line="440" w:lineRule="exact"/>
              <w:rPr>
                <w:rFonts w:ascii="宋体" w:hAnsi="宋体"/>
                <w:sz w:val="24"/>
                <w:highlight w:val="none"/>
              </w:rPr>
            </w:pPr>
            <w:r>
              <w:rPr>
                <w:rFonts w:hint="eastAsia" w:ascii="宋体" w:hAnsi="宋体"/>
                <w:sz w:val="24"/>
                <w:highlight w:val="none"/>
              </w:rPr>
              <w:t>法律、法规和招标文件规定的其他投标无效情形。</w:t>
            </w:r>
          </w:p>
        </w:tc>
      </w:tr>
    </w:tbl>
    <w:p>
      <w:pPr>
        <w:spacing w:line="360" w:lineRule="auto"/>
        <w:rPr>
          <w:rFonts w:ascii="宋体" w:hAnsi="宋体" w:cs="宋体"/>
          <w:sz w:val="24"/>
          <w:highlight w:val="none"/>
        </w:rPr>
      </w:pPr>
      <w:r>
        <w:rPr>
          <w:rFonts w:hint="eastAsia" w:ascii="宋体" w:hAnsi="宋体" w:cs="宋体"/>
          <w:sz w:val="24"/>
          <w:highlight w:val="none"/>
        </w:rPr>
        <w:t>备注：</w:t>
      </w:r>
    </w:p>
    <w:p>
      <w:pPr>
        <w:numPr>
          <w:ilvl w:val="0"/>
          <w:numId w:val="122"/>
        </w:numPr>
        <w:spacing w:line="360" w:lineRule="auto"/>
        <w:rPr>
          <w:rFonts w:ascii="宋体" w:hAnsi="宋体" w:cs="宋体"/>
          <w:sz w:val="24"/>
          <w:highlight w:val="none"/>
        </w:rPr>
      </w:pPr>
      <w:r>
        <w:rPr>
          <w:rFonts w:hint="eastAsia" w:ascii="宋体" w:hAnsi="宋体" w:cs="宋体"/>
          <w:sz w:val="24"/>
          <w:highlight w:val="none"/>
        </w:rPr>
        <w:t>每一项符合的打“○”，不符合的打“×”。</w:t>
      </w:r>
    </w:p>
    <w:p>
      <w:pPr>
        <w:numPr>
          <w:ilvl w:val="0"/>
          <w:numId w:val="122"/>
        </w:numPr>
        <w:spacing w:line="360" w:lineRule="auto"/>
        <w:rPr>
          <w:rFonts w:ascii="宋体" w:hAnsi="宋体" w:cs="宋体"/>
          <w:sz w:val="24"/>
          <w:highlight w:val="none"/>
        </w:rPr>
      </w:pPr>
      <w:r>
        <w:rPr>
          <w:rFonts w:hint="eastAsia" w:ascii="宋体" w:hAnsi="宋体" w:cs="宋体"/>
          <w:sz w:val="24"/>
          <w:highlight w:val="none"/>
        </w:rPr>
        <w:t>“结论”一栏填写“通过”或“不通过”；任何一项出现“×”的，结论为不通过。不通过的为无效投标。</w:t>
      </w:r>
    </w:p>
    <w:p>
      <w:pPr>
        <w:numPr>
          <w:ilvl w:val="0"/>
          <w:numId w:val="122"/>
        </w:numPr>
        <w:spacing w:line="360" w:lineRule="auto"/>
        <w:rPr>
          <w:rFonts w:ascii="宋体" w:hAnsi="宋体" w:cs="宋体"/>
          <w:sz w:val="24"/>
          <w:highlight w:val="none"/>
        </w:rPr>
      </w:pPr>
      <w:r>
        <w:rPr>
          <w:rFonts w:hint="eastAsia" w:ascii="宋体" w:hAnsi="宋体" w:cs="宋体"/>
          <w:sz w:val="24"/>
          <w:highlight w:val="none"/>
        </w:rPr>
        <w:t>汇总时出现不同意见的，评标委员会按简单多数原则表决决定。</w:t>
      </w:r>
    </w:p>
    <w:p>
      <w:pPr>
        <w:tabs>
          <w:tab w:val="left" w:pos="1220"/>
        </w:tabs>
        <w:spacing w:line="360" w:lineRule="auto"/>
        <w:rPr>
          <w:rFonts w:ascii="宋体" w:hAnsi="宋体" w:cs="宋体"/>
          <w:sz w:val="24"/>
          <w:highlight w:val="none"/>
          <w:lang w:val="zh-CN"/>
        </w:rPr>
        <w:sectPr>
          <w:pgSz w:w="11905" w:h="16838"/>
          <w:pgMar w:top="1803" w:right="1440" w:bottom="1803" w:left="1440" w:header="850" w:footer="822" w:gutter="0"/>
          <w:cols w:space="0" w:num="1"/>
          <w:docGrid w:linePitch="312" w:charSpace="0"/>
        </w:sectPr>
      </w:pPr>
    </w:p>
    <w:p>
      <w:pPr>
        <w:pStyle w:val="4"/>
        <w:adjustRightInd w:val="0"/>
        <w:snapToGrid w:val="0"/>
        <w:spacing w:before="0" w:after="0" w:line="360" w:lineRule="auto"/>
        <w:ind w:left="0" w:firstLine="0"/>
        <w:rPr>
          <w:rFonts w:hint="eastAsia" w:eastAsia="宋体"/>
          <w:sz w:val="24"/>
          <w:szCs w:val="24"/>
          <w:highlight w:val="none"/>
          <w:lang w:eastAsia="zh-CN"/>
        </w:rPr>
      </w:pPr>
      <w:bookmarkStart w:id="428" w:name="_Toc18496"/>
      <w:bookmarkStart w:id="429" w:name="_Toc7450"/>
      <w:bookmarkStart w:id="430" w:name="_Toc2947"/>
      <w:bookmarkStart w:id="431" w:name="_Toc24121"/>
      <w:bookmarkStart w:id="432" w:name="_Toc15372"/>
      <w:bookmarkStart w:id="433" w:name="_Toc32368"/>
      <w:bookmarkStart w:id="434" w:name="_Toc31377"/>
      <w:r>
        <w:rPr>
          <w:rFonts w:hint="eastAsia"/>
          <w:sz w:val="24"/>
          <w:szCs w:val="24"/>
          <w:highlight w:val="none"/>
        </w:rPr>
        <w:t>附表3：</w:t>
      </w:r>
      <w:bookmarkEnd w:id="428"/>
      <w:bookmarkEnd w:id="429"/>
      <w:bookmarkEnd w:id="430"/>
      <w:bookmarkEnd w:id="431"/>
      <w:bookmarkEnd w:id="432"/>
      <w:bookmarkEnd w:id="433"/>
      <w:r>
        <w:rPr>
          <w:rFonts w:hint="eastAsia"/>
          <w:sz w:val="24"/>
          <w:szCs w:val="24"/>
          <w:highlight w:val="none"/>
        </w:rPr>
        <w:t>技术、商务及价格分值分配</w:t>
      </w:r>
      <w:bookmarkEnd w:id="434"/>
    </w:p>
    <w:tbl>
      <w:tblPr>
        <w:tblStyle w:val="29"/>
        <w:tblW w:w="4996"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849"/>
        <w:gridCol w:w="1845"/>
        <w:gridCol w:w="1845"/>
        <w:gridCol w:w="1845"/>
        <w:gridCol w:w="185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846" w:type="dxa"/>
            <w:shd w:val="clear" w:color="auto" w:fill="D7D7D7"/>
            <w:vAlign w:val="center"/>
          </w:tcPr>
          <w:p>
            <w:pPr>
              <w:spacing w:before="72" w:after="72"/>
              <w:jc w:val="center"/>
              <w:rPr>
                <w:rFonts w:ascii="宋体" w:hAnsi="宋体" w:cs="宋体"/>
                <w:b/>
                <w:bCs/>
                <w:sz w:val="24"/>
                <w:highlight w:val="none"/>
              </w:rPr>
            </w:pPr>
            <w:bookmarkStart w:id="435" w:name="_Toc27536"/>
            <w:bookmarkStart w:id="436" w:name="_Toc17901"/>
            <w:bookmarkStart w:id="437" w:name="_Toc10759"/>
            <w:bookmarkStart w:id="438" w:name="_Toc5457"/>
            <w:bookmarkStart w:id="439" w:name="_Toc21381"/>
            <w:bookmarkStart w:id="440" w:name="_Toc1410"/>
            <w:r>
              <w:rPr>
                <w:rFonts w:hint="eastAsia" w:ascii="宋体" w:hAnsi="宋体" w:cs="宋体"/>
                <w:b/>
                <w:bCs/>
                <w:sz w:val="24"/>
                <w:highlight w:val="none"/>
              </w:rPr>
              <w:t>评分项目</w:t>
            </w:r>
          </w:p>
        </w:tc>
        <w:tc>
          <w:tcPr>
            <w:tcW w:w="999" w:type="pct"/>
            <w:tcBorders>
              <w:right w:val="single" w:color="auto" w:sz="4" w:space="0"/>
            </w:tcBorders>
            <w:shd w:val="clear" w:color="auto" w:fill="D7D7D7"/>
            <w:vAlign w:val="center"/>
          </w:tcPr>
          <w:p>
            <w:pPr>
              <w:spacing w:before="72" w:after="72"/>
              <w:jc w:val="center"/>
              <w:rPr>
                <w:rFonts w:ascii="宋体" w:hAnsi="宋体" w:cs="宋体"/>
                <w:b/>
                <w:bCs/>
                <w:sz w:val="24"/>
                <w:highlight w:val="none"/>
              </w:rPr>
            </w:pPr>
            <w:r>
              <w:rPr>
                <w:rFonts w:hint="eastAsia" w:ascii="宋体" w:hAnsi="宋体" w:cs="宋体"/>
                <w:b/>
                <w:bCs/>
                <w:sz w:val="24"/>
                <w:highlight w:val="none"/>
              </w:rPr>
              <w:t>技术</w:t>
            </w:r>
          </w:p>
        </w:tc>
        <w:tc>
          <w:tcPr>
            <w:tcW w:w="999" w:type="pct"/>
            <w:tcBorders>
              <w:left w:val="single" w:color="auto" w:sz="4" w:space="0"/>
            </w:tcBorders>
            <w:shd w:val="clear" w:color="auto" w:fill="D7D7D7"/>
            <w:vAlign w:val="center"/>
          </w:tcPr>
          <w:p>
            <w:pPr>
              <w:spacing w:before="72" w:after="72"/>
              <w:jc w:val="center"/>
              <w:rPr>
                <w:rFonts w:ascii="宋体" w:hAnsi="宋体" w:cs="宋体"/>
                <w:b/>
                <w:bCs/>
                <w:sz w:val="24"/>
                <w:highlight w:val="none"/>
              </w:rPr>
            </w:pPr>
            <w:r>
              <w:rPr>
                <w:rFonts w:hint="eastAsia" w:ascii="宋体" w:hAnsi="宋体" w:cs="宋体"/>
                <w:b/>
                <w:bCs/>
                <w:sz w:val="24"/>
                <w:highlight w:val="none"/>
              </w:rPr>
              <w:t>商务</w:t>
            </w:r>
          </w:p>
        </w:tc>
        <w:tc>
          <w:tcPr>
            <w:tcW w:w="999" w:type="pct"/>
            <w:shd w:val="clear" w:color="auto" w:fill="D7D7D7"/>
            <w:vAlign w:val="center"/>
          </w:tcPr>
          <w:p>
            <w:pPr>
              <w:spacing w:before="72" w:after="72"/>
              <w:jc w:val="center"/>
              <w:rPr>
                <w:rFonts w:ascii="宋体" w:hAnsi="宋体" w:cs="宋体"/>
                <w:b/>
                <w:bCs/>
                <w:sz w:val="24"/>
                <w:highlight w:val="none"/>
              </w:rPr>
            </w:pPr>
            <w:r>
              <w:rPr>
                <w:rFonts w:hint="eastAsia" w:ascii="宋体" w:hAnsi="宋体" w:cs="宋体"/>
                <w:b/>
                <w:bCs/>
                <w:sz w:val="24"/>
                <w:highlight w:val="none"/>
              </w:rPr>
              <w:t>价格</w:t>
            </w:r>
          </w:p>
        </w:tc>
        <w:tc>
          <w:tcPr>
            <w:tcW w:w="1002" w:type="pct"/>
            <w:shd w:val="clear" w:color="auto" w:fill="D7D7D7"/>
            <w:vAlign w:val="center"/>
          </w:tcPr>
          <w:p>
            <w:pPr>
              <w:spacing w:before="72" w:after="72"/>
              <w:jc w:val="center"/>
              <w:rPr>
                <w:rFonts w:ascii="宋体" w:hAnsi="宋体" w:cs="宋体"/>
                <w:b/>
                <w:bCs/>
                <w:sz w:val="24"/>
                <w:highlight w:val="none"/>
              </w:rPr>
            </w:pPr>
            <w:r>
              <w:rPr>
                <w:rFonts w:hint="eastAsia" w:ascii="宋体" w:hAnsi="宋体" w:cs="宋体"/>
                <w:b/>
                <w:bCs/>
                <w:sz w:val="24"/>
                <w:highlight w:val="none"/>
              </w:rPr>
              <w:t>合计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1846" w:type="dxa"/>
            <w:vAlign w:val="center"/>
          </w:tcPr>
          <w:p>
            <w:pPr>
              <w:spacing w:before="72" w:after="72"/>
              <w:jc w:val="center"/>
              <w:rPr>
                <w:rFonts w:ascii="宋体" w:hAnsi="宋体" w:cs="宋体"/>
                <w:sz w:val="24"/>
                <w:highlight w:val="none"/>
              </w:rPr>
            </w:pPr>
            <w:r>
              <w:rPr>
                <w:rFonts w:hint="eastAsia" w:ascii="宋体" w:hAnsi="宋体" w:cs="宋体"/>
                <w:sz w:val="24"/>
                <w:highlight w:val="none"/>
              </w:rPr>
              <w:t>分值</w:t>
            </w:r>
          </w:p>
        </w:tc>
        <w:tc>
          <w:tcPr>
            <w:tcW w:w="999" w:type="pct"/>
            <w:tcBorders>
              <w:right w:val="single" w:color="auto" w:sz="4" w:space="0"/>
            </w:tcBorders>
            <w:vAlign w:val="center"/>
          </w:tcPr>
          <w:p>
            <w:pPr>
              <w:spacing w:before="72" w:after="72"/>
              <w:jc w:val="center"/>
              <w:rPr>
                <w:rFonts w:ascii="宋体" w:hAnsi="宋体" w:cs="宋体"/>
                <w:sz w:val="24"/>
                <w:highlight w:val="none"/>
              </w:rPr>
            </w:pPr>
            <w:r>
              <w:rPr>
                <w:rFonts w:hint="eastAsia" w:ascii="宋体" w:hAnsi="宋体" w:cs="宋体"/>
                <w:sz w:val="24"/>
                <w:highlight w:val="none"/>
              </w:rPr>
              <w:t>5</w:t>
            </w:r>
            <w:r>
              <w:rPr>
                <w:rFonts w:hint="eastAsia" w:ascii="宋体" w:hAnsi="宋体" w:cs="宋体"/>
                <w:sz w:val="24"/>
                <w:highlight w:val="none"/>
                <w:lang w:val="en-US" w:eastAsia="zh-CN"/>
              </w:rPr>
              <w:t>5</w:t>
            </w:r>
            <w:r>
              <w:rPr>
                <w:rFonts w:hint="eastAsia" w:ascii="宋体" w:hAnsi="宋体" w:cs="宋体"/>
                <w:sz w:val="24"/>
                <w:highlight w:val="none"/>
              </w:rPr>
              <w:t>分</w:t>
            </w:r>
          </w:p>
        </w:tc>
        <w:tc>
          <w:tcPr>
            <w:tcW w:w="999" w:type="pct"/>
            <w:tcBorders>
              <w:left w:val="single" w:color="auto" w:sz="4" w:space="0"/>
            </w:tcBorders>
            <w:vAlign w:val="center"/>
          </w:tcPr>
          <w:p>
            <w:pPr>
              <w:spacing w:before="72" w:after="72"/>
              <w:jc w:val="center"/>
              <w:rPr>
                <w:rFonts w:ascii="宋体" w:hAnsi="宋体" w:cs="宋体"/>
                <w:sz w:val="24"/>
                <w:highlight w:val="none"/>
              </w:rPr>
            </w:pPr>
            <w:r>
              <w:rPr>
                <w:rFonts w:hint="eastAsia" w:ascii="宋体" w:hAnsi="宋体" w:cs="宋体"/>
                <w:sz w:val="24"/>
                <w:highlight w:val="none"/>
                <w:lang w:val="en-US" w:eastAsia="zh-CN"/>
              </w:rPr>
              <w:t>15</w:t>
            </w:r>
            <w:r>
              <w:rPr>
                <w:rFonts w:hint="eastAsia" w:ascii="宋体" w:hAnsi="宋体" w:cs="宋体"/>
                <w:sz w:val="24"/>
                <w:highlight w:val="none"/>
              </w:rPr>
              <w:t>分</w:t>
            </w:r>
          </w:p>
        </w:tc>
        <w:tc>
          <w:tcPr>
            <w:tcW w:w="999" w:type="pct"/>
            <w:vAlign w:val="center"/>
          </w:tcPr>
          <w:p>
            <w:pPr>
              <w:spacing w:before="72" w:after="72"/>
              <w:jc w:val="center"/>
              <w:rPr>
                <w:rFonts w:ascii="宋体" w:hAnsi="宋体" w:cs="宋体"/>
                <w:sz w:val="24"/>
                <w:highlight w:val="none"/>
              </w:rPr>
            </w:pPr>
            <w:r>
              <w:rPr>
                <w:rFonts w:hint="eastAsia" w:ascii="宋体" w:hAnsi="宋体" w:cs="宋体"/>
                <w:sz w:val="24"/>
                <w:highlight w:val="none"/>
              </w:rPr>
              <w:t>30分</w:t>
            </w:r>
          </w:p>
        </w:tc>
        <w:tc>
          <w:tcPr>
            <w:tcW w:w="1002" w:type="pct"/>
            <w:vAlign w:val="center"/>
          </w:tcPr>
          <w:p>
            <w:pPr>
              <w:spacing w:before="72" w:after="72"/>
              <w:jc w:val="center"/>
              <w:rPr>
                <w:rFonts w:ascii="宋体" w:hAnsi="宋体" w:cs="宋体"/>
                <w:sz w:val="24"/>
                <w:highlight w:val="none"/>
              </w:rPr>
            </w:pPr>
            <w:r>
              <w:rPr>
                <w:rFonts w:ascii="宋体" w:hAnsi="宋体" w:cs="宋体"/>
                <w:sz w:val="24"/>
                <w:highlight w:val="none"/>
              </w:rPr>
              <w:t>100</w:t>
            </w:r>
            <w:r>
              <w:rPr>
                <w:rFonts w:hint="eastAsia" w:ascii="宋体" w:hAnsi="宋体" w:cs="宋体"/>
                <w:sz w:val="24"/>
                <w:highlight w:val="none"/>
              </w:rPr>
              <w:t>分</w:t>
            </w:r>
          </w:p>
        </w:tc>
      </w:tr>
    </w:tbl>
    <w:p>
      <w:pPr>
        <w:pStyle w:val="4"/>
        <w:adjustRightInd w:val="0"/>
        <w:snapToGrid w:val="0"/>
        <w:spacing w:before="120" w:beforeLines="50" w:after="0" w:line="360" w:lineRule="auto"/>
        <w:ind w:left="0" w:firstLine="0"/>
        <w:rPr>
          <w:rFonts w:ascii="宋体" w:hAnsi="宋体" w:cs="宋体"/>
          <w:sz w:val="24"/>
          <w:szCs w:val="24"/>
          <w:highlight w:val="none"/>
        </w:rPr>
      </w:pPr>
      <w:bookmarkStart w:id="441" w:name="_Toc7050"/>
      <w:r>
        <w:rPr>
          <w:rFonts w:hint="eastAsia" w:ascii="宋体" w:hAnsi="宋体" w:cs="宋体"/>
          <w:sz w:val="24"/>
          <w:szCs w:val="24"/>
          <w:highlight w:val="none"/>
        </w:rPr>
        <w:t>附表4：</w:t>
      </w:r>
      <w:r>
        <w:rPr>
          <w:rFonts w:hint="eastAsia" w:ascii="宋体" w:hAnsi="宋体" w:cs="宋体"/>
          <w:sz w:val="24"/>
          <w:szCs w:val="24"/>
          <w:highlight w:val="none"/>
        </w:rPr>
        <w:t>技术评审表</w:t>
      </w:r>
      <w:bookmarkEnd w:id="435"/>
      <w:bookmarkEnd w:id="436"/>
      <w:bookmarkEnd w:id="437"/>
      <w:bookmarkEnd w:id="438"/>
      <w:bookmarkEnd w:id="439"/>
      <w:bookmarkEnd w:id="440"/>
      <w:bookmarkEnd w:id="441"/>
    </w:p>
    <w:tbl>
      <w:tblPr>
        <w:tblStyle w:val="29"/>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183"/>
        <w:gridCol w:w="6576"/>
        <w:gridCol w:w="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770" w:type="dxa"/>
            <w:shd w:val="clear" w:color="auto" w:fill="D7D7D7"/>
            <w:vAlign w:val="center"/>
          </w:tcPr>
          <w:p>
            <w:pPr>
              <w:spacing w:line="440" w:lineRule="exact"/>
              <w:jc w:val="center"/>
              <w:rPr>
                <w:rFonts w:ascii="宋体" w:hAnsi="宋体" w:cs="宋体"/>
                <w:b/>
                <w:sz w:val="24"/>
                <w:highlight w:val="none"/>
              </w:rPr>
            </w:pPr>
            <w:bookmarkStart w:id="442" w:name="_Toc29909"/>
            <w:bookmarkStart w:id="443" w:name="_Toc30463"/>
            <w:bookmarkStart w:id="444" w:name="_Toc6177"/>
            <w:bookmarkStart w:id="445" w:name="_Toc15199"/>
            <w:bookmarkStart w:id="446" w:name="_Toc11378"/>
            <w:bookmarkStart w:id="447" w:name="_Toc28168"/>
            <w:r>
              <w:rPr>
                <w:rFonts w:hint="eastAsia" w:ascii="宋体" w:hAnsi="宋体" w:cs="宋体"/>
                <w:b/>
                <w:sz w:val="24"/>
                <w:highlight w:val="none"/>
              </w:rPr>
              <w:t>序号</w:t>
            </w:r>
          </w:p>
        </w:tc>
        <w:tc>
          <w:tcPr>
            <w:tcW w:w="1183" w:type="dxa"/>
            <w:shd w:val="clear" w:color="auto" w:fill="D7D7D7"/>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评审项目</w:t>
            </w:r>
          </w:p>
        </w:tc>
        <w:tc>
          <w:tcPr>
            <w:tcW w:w="6576" w:type="dxa"/>
            <w:shd w:val="clear" w:color="auto" w:fill="D7D7D7"/>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评审标准</w:t>
            </w:r>
          </w:p>
        </w:tc>
        <w:tc>
          <w:tcPr>
            <w:tcW w:w="771" w:type="dxa"/>
            <w:shd w:val="clear" w:color="auto" w:fill="D7D7D7"/>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numPr>
                <w:ilvl w:val="0"/>
                <w:numId w:val="123"/>
              </w:numPr>
              <w:spacing w:line="440" w:lineRule="exact"/>
              <w:jc w:val="center"/>
              <w:rPr>
                <w:rFonts w:ascii="宋体" w:hAnsi="宋体" w:cs="宋体"/>
                <w:sz w:val="24"/>
                <w:highlight w:val="none"/>
              </w:rPr>
            </w:pPr>
          </w:p>
        </w:tc>
        <w:tc>
          <w:tcPr>
            <w:tcW w:w="1183" w:type="dxa"/>
            <w:vAlign w:val="center"/>
          </w:tcPr>
          <w:p>
            <w:pPr>
              <w:spacing w:line="440" w:lineRule="exact"/>
              <w:jc w:val="center"/>
              <w:rPr>
                <w:rFonts w:ascii="宋体" w:hAnsi="宋体" w:cs="宋体"/>
                <w:bCs/>
                <w:color w:val="FF0000"/>
                <w:sz w:val="24"/>
                <w:highlight w:val="none"/>
              </w:rPr>
            </w:pPr>
            <w:r>
              <w:rPr>
                <w:rFonts w:hint="eastAsia" w:ascii="宋体" w:hAnsi="宋体"/>
                <w:sz w:val="24"/>
                <w:highlight w:val="none"/>
              </w:rPr>
              <w:t>带“▲”项参数</w:t>
            </w:r>
            <w:r>
              <w:rPr>
                <w:rFonts w:hint="eastAsia" w:ascii="宋体" w:hAnsi="宋体" w:cs="宋体"/>
                <w:sz w:val="24"/>
                <w:highlight w:val="none"/>
              </w:rPr>
              <w:t>响应程度</w:t>
            </w:r>
          </w:p>
        </w:tc>
        <w:tc>
          <w:tcPr>
            <w:tcW w:w="6576" w:type="dxa"/>
          </w:tcPr>
          <w:p>
            <w:pPr>
              <w:spacing w:line="440" w:lineRule="exact"/>
              <w:jc w:val="left"/>
              <w:rPr>
                <w:rFonts w:ascii="宋体" w:hAnsi="宋体" w:cs="宋体"/>
                <w:sz w:val="24"/>
                <w:highlight w:val="none"/>
              </w:rPr>
            </w:pPr>
            <w:r>
              <w:rPr>
                <w:rFonts w:hint="eastAsia" w:ascii="宋体" w:hAnsi="宋体" w:cs="宋体"/>
                <w:sz w:val="24"/>
                <w:highlight w:val="none"/>
              </w:rPr>
              <w:t>根据投标人对招标文件“技术参数要求”中▲号（共</w:t>
            </w:r>
            <w:r>
              <w:rPr>
                <w:rFonts w:hint="eastAsia" w:ascii="宋体" w:hAnsi="宋体" w:cs="宋体"/>
                <w:sz w:val="24"/>
                <w:highlight w:val="none"/>
                <w:lang w:val="en-US" w:eastAsia="zh-CN"/>
              </w:rPr>
              <w:t>41</w:t>
            </w:r>
            <w:r>
              <w:rPr>
                <w:rFonts w:hint="eastAsia" w:ascii="宋体" w:hAnsi="宋体" w:cs="宋体"/>
                <w:sz w:val="24"/>
                <w:highlight w:val="none"/>
              </w:rPr>
              <w:t>项）响应进行评审，完全满足得</w:t>
            </w:r>
            <w:r>
              <w:rPr>
                <w:rFonts w:hint="eastAsia" w:ascii="宋体" w:hAnsi="宋体" w:cs="宋体"/>
                <w:sz w:val="24"/>
                <w:highlight w:val="none"/>
                <w:lang w:val="en-US" w:eastAsia="zh-CN"/>
              </w:rPr>
              <w:t>20.5</w:t>
            </w:r>
            <w:r>
              <w:rPr>
                <w:rFonts w:hint="eastAsia" w:ascii="宋体" w:hAnsi="宋体" w:cs="宋体"/>
                <w:sz w:val="24"/>
                <w:highlight w:val="none"/>
              </w:rPr>
              <w:t>分，</w:t>
            </w:r>
            <w:r>
              <w:rPr>
                <w:rFonts w:hint="eastAsia" w:ascii="宋体" w:hAnsi="宋体" w:cs="宋体"/>
                <w:sz w:val="24"/>
                <w:highlight w:val="none"/>
                <w:lang w:val="zh-CN"/>
              </w:rPr>
              <w:t>每负偏离</w:t>
            </w:r>
            <w:r>
              <w:rPr>
                <w:rFonts w:hint="eastAsia" w:ascii="宋体" w:hAnsi="宋体" w:cs="宋体"/>
                <w:sz w:val="24"/>
                <w:highlight w:val="none"/>
              </w:rPr>
              <w:t>1项</w:t>
            </w:r>
            <w:r>
              <w:rPr>
                <w:rFonts w:hint="eastAsia" w:ascii="宋体" w:hAnsi="宋体" w:cs="宋体"/>
                <w:sz w:val="24"/>
                <w:highlight w:val="none"/>
                <w:lang w:val="zh-CN"/>
              </w:rPr>
              <w:t>扣</w:t>
            </w:r>
            <w:r>
              <w:rPr>
                <w:rFonts w:hint="eastAsia" w:ascii="宋体" w:hAnsi="宋体" w:cs="宋体"/>
                <w:sz w:val="24"/>
                <w:highlight w:val="none"/>
                <w:lang w:val="en-US" w:eastAsia="zh-CN"/>
              </w:rPr>
              <w:t>0.5</w:t>
            </w:r>
            <w:r>
              <w:rPr>
                <w:rFonts w:hint="eastAsia" w:ascii="宋体" w:hAnsi="宋体" w:cs="宋体"/>
                <w:sz w:val="24"/>
                <w:highlight w:val="none"/>
                <w:lang w:val="zh-CN"/>
              </w:rPr>
              <w:t>分</w:t>
            </w:r>
            <w:r>
              <w:rPr>
                <w:rFonts w:hint="eastAsia" w:ascii="宋体" w:hAnsi="宋体" w:cs="宋体"/>
                <w:sz w:val="24"/>
                <w:highlight w:val="none"/>
              </w:rPr>
              <w:t>，扣完为止。</w:t>
            </w:r>
          </w:p>
          <w:p>
            <w:pPr>
              <w:spacing w:line="440" w:lineRule="exact"/>
              <w:jc w:val="left"/>
              <w:rPr>
                <w:rFonts w:ascii="宋体" w:hAnsi="宋体" w:cs="宋体"/>
                <w:bCs/>
                <w:sz w:val="24"/>
                <w:highlight w:val="none"/>
              </w:rPr>
            </w:pPr>
            <w:r>
              <w:rPr>
                <w:rFonts w:hint="eastAsia" w:ascii="宋体" w:hAnsi="宋体" w:cs="宋体"/>
                <w:sz w:val="24"/>
                <w:highlight w:val="none"/>
              </w:rPr>
              <w:t>【</w:t>
            </w:r>
            <w:r>
              <w:rPr>
                <w:rFonts w:hint="eastAsia" w:ascii="宋体" w:hAnsi="宋体" w:cs="宋体"/>
                <w:kern w:val="0"/>
                <w:sz w:val="24"/>
                <w:highlight w:val="none"/>
              </w:rPr>
              <w:t>注：如用户需求中有明确要求提供证明材料的，则以用户需求要求为准，无或未按要求提供证明材料的不得分；如用户需求中无明确要求证明材料的，以投标人的投标文件《重要性技术条款（“</w:t>
            </w:r>
            <w:r>
              <w:rPr>
                <w:rFonts w:hint="eastAsia" w:ascii="宋体" w:hAnsi="宋体" w:cs="宋体"/>
                <w:kern w:val="0"/>
                <w:sz w:val="24"/>
                <w:highlight w:val="none"/>
                <w:lang w:val="en-GB"/>
              </w:rPr>
              <w:t>▲</w:t>
            </w:r>
            <w:r>
              <w:rPr>
                <w:rFonts w:hint="eastAsia" w:ascii="宋体" w:hAnsi="宋体" w:cs="宋体"/>
                <w:kern w:val="0"/>
                <w:sz w:val="24"/>
                <w:highlight w:val="none"/>
              </w:rPr>
              <w:t>”项）响应表》中的响应情况填写内容为准，技术参数有具体数值要求的，投标人须标注产品实际参数数值，照搬照抄招标文件参数、不注明实际数值者视为未响应。</w:t>
            </w:r>
            <w:r>
              <w:rPr>
                <w:rFonts w:hint="eastAsia" w:ascii="宋体" w:hAnsi="宋体" w:cs="宋体"/>
                <w:sz w:val="24"/>
                <w:highlight w:val="none"/>
              </w:rPr>
              <w:t>】</w:t>
            </w:r>
          </w:p>
        </w:tc>
        <w:tc>
          <w:tcPr>
            <w:tcW w:w="771" w:type="dxa"/>
            <w:vAlign w:val="center"/>
          </w:tcPr>
          <w:p>
            <w:pPr>
              <w:spacing w:line="440" w:lineRule="exact"/>
              <w:jc w:val="center"/>
              <w:rPr>
                <w:rFonts w:hint="default" w:ascii="宋体" w:hAnsi="宋体" w:cs="宋体"/>
                <w:sz w:val="24"/>
                <w:highlight w:val="none"/>
                <w:lang w:val="en-US"/>
              </w:rPr>
            </w:pPr>
            <w:r>
              <w:rPr>
                <w:rFonts w:hint="eastAsia" w:ascii="宋体" w:hAnsi="宋体" w:cs="宋体"/>
                <w:sz w:val="24"/>
                <w:highlight w:val="none"/>
                <w:lang w:val="en-US" w:eastAsia="zh-CN"/>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numPr>
                <w:ilvl w:val="0"/>
                <w:numId w:val="123"/>
              </w:numPr>
              <w:spacing w:line="440" w:lineRule="exact"/>
              <w:jc w:val="center"/>
              <w:rPr>
                <w:rFonts w:ascii="宋体" w:hAnsi="宋体" w:cs="宋体"/>
                <w:sz w:val="24"/>
                <w:highlight w:val="none"/>
              </w:rPr>
            </w:pPr>
          </w:p>
        </w:tc>
        <w:tc>
          <w:tcPr>
            <w:tcW w:w="1183" w:type="dxa"/>
            <w:vAlign w:val="center"/>
          </w:tcPr>
          <w:p>
            <w:pPr>
              <w:spacing w:line="440" w:lineRule="exact"/>
              <w:jc w:val="center"/>
              <w:rPr>
                <w:rFonts w:ascii="宋体" w:hAnsi="宋体" w:cs="宋体"/>
                <w:color w:val="FF0000"/>
                <w:sz w:val="24"/>
                <w:highlight w:val="none"/>
              </w:rPr>
            </w:pPr>
            <w:r>
              <w:rPr>
                <w:rFonts w:hint="eastAsia" w:ascii="宋体" w:hAnsi="宋体"/>
                <w:sz w:val="24"/>
                <w:highlight w:val="none"/>
              </w:rPr>
              <w:t>一般参数</w:t>
            </w:r>
            <w:r>
              <w:rPr>
                <w:rFonts w:hint="eastAsia" w:ascii="宋体" w:hAnsi="宋体" w:cs="宋体"/>
                <w:sz w:val="24"/>
                <w:highlight w:val="none"/>
              </w:rPr>
              <w:t>响应程度</w:t>
            </w:r>
          </w:p>
        </w:tc>
        <w:tc>
          <w:tcPr>
            <w:tcW w:w="6576" w:type="dxa"/>
          </w:tcPr>
          <w:p>
            <w:pPr>
              <w:spacing w:line="440" w:lineRule="exact"/>
              <w:jc w:val="left"/>
              <w:rPr>
                <w:rFonts w:ascii="宋体" w:hAnsi="宋体" w:cs="宋体"/>
                <w:sz w:val="24"/>
                <w:highlight w:val="none"/>
              </w:rPr>
            </w:pPr>
            <w:r>
              <w:rPr>
                <w:rFonts w:hint="eastAsia" w:ascii="宋体" w:hAnsi="宋体" w:cs="宋体"/>
                <w:sz w:val="24"/>
                <w:highlight w:val="none"/>
              </w:rPr>
              <w:t>根据投标人对招标文件“技术参数要求”中不带“★”“▲”号参数（共</w:t>
            </w:r>
            <w:r>
              <w:rPr>
                <w:rFonts w:hint="eastAsia" w:ascii="宋体" w:hAnsi="宋体" w:cs="宋体"/>
                <w:sz w:val="24"/>
                <w:highlight w:val="none"/>
                <w:lang w:val="en-US" w:eastAsia="zh-CN"/>
              </w:rPr>
              <w:t>135</w:t>
            </w:r>
            <w:r>
              <w:rPr>
                <w:rFonts w:hint="eastAsia" w:ascii="宋体" w:hAnsi="宋体" w:cs="宋体"/>
                <w:sz w:val="24"/>
                <w:highlight w:val="none"/>
              </w:rPr>
              <w:t>项）的响应程度进行评审：优于或完全满足采购需求中全部技术</w:t>
            </w:r>
            <w:r>
              <w:rPr>
                <w:rFonts w:hint="eastAsia" w:ascii="宋体" w:hAnsi="宋体" w:cs="宋体"/>
                <w:sz w:val="24"/>
                <w:highlight w:val="none"/>
                <w:lang w:val="zh-CN"/>
              </w:rPr>
              <w:t>参数</w:t>
            </w:r>
            <w:r>
              <w:rPr>
                <w:rFonts w:hint="eastAsia" w:ascii="宋体" w:hAnsi="宋体" w:cs="宋体"/>
                <w:sz w:val="24"/>
                <w:highlight w:val="none"/>
              </w:rPr>
              <w:t>要求得</w:t>
            </w:r>
            <w:r>
              <w:rPr>
                <w:rFonts w:hint="eastAsia" w:ascii="宋体" w:hAnsi="宋体" w:cs="宋体"/>
                <w:sz w:val="24"/>
                <w:highlight w:val="none"/>
                <w:lang w:val="en-US" w:eastAsia="zh-CN"/>
              </w:rPr>
              <w:t>13.5</w:t>
            </w:r>
            <w:r>
              <w:rPr>
                <w:rFonts w:hint="eastAsia" w:ascii="宋体" w:hAnsi="宋体" w:cs="宋体"/>
                <w:sz w:val="24"/>
                <w:highlight w:val="none"/>
              </w:rPr>
              <w:t>分，</w:t>
            </w:r>
            <w:r>
              <w:rPr>
                <w:rFonts w:hint="eastAsia" w:ascii="宋体" w:hAnsi="宋体" w:cs="宋体"/>
                <w:sz w:val="24"/>
                <w:highlight w:val="none"/>
                <w:lang w:val="zh-CN"/>
              </w:rPr>
              <w:t>每负偏离</w:t>
            </w:r>
            <w:r>
              <w:rPr>
                <w:rFonts w:hint="eastAsia" w:ascii="宋体" w:hAnsi="宋体" w:cs="宋体"/>
                <w:sz w:val="24"/>
                <w:highlight w:val="none"/>
              </w:rPr>
              <w:t>1项</w:t>
            </w:r>
            <w:r>
              <w:rPr>
                <w:rFonts w:hint="eastAsia" w:ascii="宋体" w:hAnsi="宋体" w:cs="宋体"/>
                <w:sz w:val="24"/>
                <w:highlight w:val="none"/>
                <w:lang w:val="zh-CN"/>
              </w:rPr>
              <w:t>扣</w:t>
            </w:r>
            <w:r>
              <w:rPr>
                <w:rFonts w:hint="eastAsia" w:ascii="宋体" w:hAnsi="宋体" w:cs="宋体"/>
                <w:sz w:val="24"/>
                <w:highlight w:val="none"/>
                <w:lang w:val="en-US" w:eastAsia="zh-CN"/>
              </w:rPr>
              <w:t>0.1</w:t>
            </w:r>
            <w:r>
              <w:rPr>
                <w:rFonts w:hint="eastAsia" w:ascii="宋体" w:hAnsi="宋体" w:cs="宋体"/>
                <w:sz w:val="24"/>
                <w:highlight w:val="none"/>
                <w:lang w:val="zh-CN"/>
              </w:rPr>
              <w:t>分，</w:t>
            </w:r>
            <w:r>
              <w:rPr>
                <w:rFonts w:hint="eastAsia" w:ascii="宋体" w:hAnsi="宋体" w:cs="宋体"/>
                <w:sz w:val="24"/>
                <w:highlight w:val="none"/>
              </w:rPr>
              <w:t>扣完为止</w:t>
            </w:r>
            <w:r>
              <w:rPr>
                <w:rFonts w:hint="eastAsia" w:ascii="宋体" w:hAnsi="宋体" w:cs="宋体"/>
                <w:sz w:val="24"/>
                <w:highlight w:val="none"/>
                <w:lang w:val="zh-CN"/>
              </w:rPr>
              <w:t>。</w:t>
            </w:r>
          </w:p>
          <w:p>
            <w:pPr>
              <w:spacing w:line="440" w:lineRule="exact"/>
              <w:jc w:val="left"/>
              <w:rPr>
                <w:bCs/>
                <w:spacing w:val="10"/>
                <w:kern w:val="0"/>
                <w:sz w:val="24"/>
                <w:szCs w:val="20"/>
                <w:highlight w:val="none"/>
              </w:rPr>
            </w:pPr>
            <w:r>
              <w:rPr>
                <w:rFonts w:hint="eastAsia" w:ascii="宋体" w:hAnsi="宋体" w:cs="宋体"/>
                <w:bCs/>
                <w:spacing w:val="10"/>
                <w:kern w:val="0"/>
                <w:sz w:val="24"/>
                <w:highlight w:val="none"/>
              </w:rPr>
              <w:t>【注：</w:t>
            </w:r>
            <w:r>
              <w:rPr>
                <w:rFonts w:hint="eastAsia" w:ascii="宋体" w:hAnsi="宋体" w:cs="宋体"/>
                <w:kern w:val="0"/>
                <w:sz w:val="24"/>
                <w:highlight w:val="none"/>
              </w:rPr>
              <w:t>如用户需求中有明确要求提供证明材料的，则以用户需求要求为准，无或未按要求提供证明材料的不得分；如用户需求中无明确要求证明材料的，以投标人的投标文件《一般性技术条款响应表》中的响应情况填写内容为准，技术参数有具体数值要求的，投标人须标注产品实际参数数值，照搬照抄招标文件参数、不注明实际数值者视为未响应。</w:t>
            </w:r>
            <w:r>
              <w:rPr>
                <w:rFonts w:hint="eastAsia" w:ascii="宋体" w:hAnsi="宋体" w:cs="宋体"/>
                <w:bCs/>
                <w:spacing w:val="10"/>
                <w:kern w:val="0"/>
                <w:sz w:val="24"/>
                <w:highlight w:val="none"/>
              </w:rPr>
              <w:t>“配置要求”的响应以供应商作出的承诺为准进行评审。】</w:t>
            </w:r>
          </w:p>
        </w:tc>
        <w:tc>
          <w:tcPr>
            <w:tcW w:w="771" w:type="dxa"/>
            <w:vAlign w:val="center"/>
          </w:tcPr>
          <w:p>
            <w:pPr>
              <w:spacing w:line="440" w:lineRule="exact"/>
              <w:jc w:val="center"/>
              <w:rPr>
                <w:rFonts w:hint="default" w:ascii="宋体" w:hAnsi="宋体" w:cs="宋体"/>
                <w:sz w:val="24"/>
                <w:highlight w:val="none"/>
                <w:lang w:val="en-US"/>
              </w:rPr>
            </w:pPr>
            <w:r>
              <w:rPr>
                <w:rFonts w:hint="eastAsia" w:ascii="宋体" w:hAnsi="宋体" w:cs="宋体"/>
                <w:bCs/>
                <w:sz w:val="24"/>
                <w:highlight w:val="none"/>
                <w:lang w:val="en-US" w:eastAsia="zh-CN"/>
              </w:rPr>
              <w:t>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numPr>
                <w:ilvl w:val="0"/>
                <w:numId w:val="123"/>
              </w:numPr>
              <w:spacing w:line="440" w:lineRule="exact"/>
              <w:jc w:val="center"/>
              <w:rPr>
                <w:rFonts w:ascii="宋体" w:hAnsi="宋体" w:cs="宋体"/>
                <w:sz w:val="24"/>
                <w:highlight w:val="none"/>
              </w:rPr>
            </w:pPr>
          </w:p>
        </w:tc>
        <w:tc>
          <w:tcPr>
            <w:tcW w:w="1183" w:type="dxa"/>
            <w:vAlign w:val="center"/>
          </w:tcPr>
          <w:p>
            <w:pPr>
              <w:spacing w:line="440" w:lineRule="exact"/>
              <w:jc w:val="center"/>
              <w:rPr>
                <w:rFonts w:ascii="宋体" w:hAnsi="宋体" w:cs="宋体"/>
                <w:bCs/>
                <w:sz w:val="24"/>
                <w:highlight w:val="none"/>
              </w:rPr>
            </w:pPr>
            <w:r>
              <w:rPr>
                <w:rFonts w:hint="eastAsia" w:ascii="宋体" w:hAnsi="宋体" w:cs="宋体"/>
                <w:sz w:val="24"/>
                <w:highlight w:val="none"/>
              </w:rPr>
              <w:t>技术方案</w:t>
            </w:r>
          </w:p>
        </w:tc>
        <w:tc>
          <w:tcPr>
            <w:tcW w:w="6576" w:type="dxa"/>
          </w:tcPr>
          <w:p>
            <w:pPr>
              <w:spacing w:line="440" w:lineRule="exact"/>
              <w:jc w:val="left"/>
              <w:rPr>
                <w:rFonts w:ascii="宋体" w:hAnsi="宋体" w:cs="宋体"/>
                <w:sz w:val="24"/>
                <w:highlight w:val="none"/>
              </w:rPr>
            </w:pPr>
            <w:r>
              <w:rPr>
                <w:rFonts w:hint="eastAsia" w:ascii="宋体" w:hAnsi="宋体" w:cs="宋体"/>
                <w:sz w:val="24"/>
                <w:highlight w:val="none"/>
              </w:rPr>
              <w:t>投标人应根据所投产品制造商/生产厂家执行的货物制造、检验和验收标准，结合本项目的技术要求、实施目标和具体特点，制定出合理的、具有可操作性的技术方案：</w:t>
            </w:r>
          </w:p>
          <w:p>
            <w:pPr>
              <w:numPr>
                <w:ilvl w:val="0"/>
                <w:numId w:val="124"/>
              </w:numPr>
              <w:spacing w:line="440" w:lineRule="exact"/>
              <w:ind w:left="5" w:hanging="5"/>
              <w:jc w:val="left"/>
              <w:rPr>
                <w:rFonts w:ascii="宋体" w:hAnsi="宋体" w:cs="宋体"/>
                <w:sz w:val="24"/>
                <w:highlight w:val="none"/>
              </w:rPr>
            </w:pPr>
            <w:r>
              <w:rPr>
                <w:rFonts w:hint="eastAsia" w:ascii="宋体" w:hAnsi="宋体" w:cs="宋体"/>
                <w:sz w:val="24"/>
                <w:highlight w:val="none"/>
              </w:rPr>
              <w:t>方案</w:t>
            </w:r>
            <w:r>
              <w:rPr>
                <w:rFonts w:hint="eastAsia" w:ascii="宋体" w:hAnsi="宋体" w:cs="宋体"/>
                <w:sz w:val="24"/>
                <w:highlight w:val="none"/>
                <w:lang w:val="en-US" w:eastAsia="zh-CN"/>
              </w:rPr>
              <w:t>满足或</w:t>
            </w:r>
            <w:r>
              <w:rPr>
                <w:rFonts w:hint="eastAsia" w:ascii="宋体" w:hAnsi="宋体" w:cs="宋体"/>
                <w:sz w:val="24"/>
                <w:highlight w:val="none"/>
              </w:rPr>
              <w:t>优于本项目要求，设备的选型配置科学合理，可操作性强，得</w:t>
            </w:r>
            <w:r>
              <w:rPr>
                <w:rFonts w:hint="eastAsia" w:ascii="宋体" w:hAnsi="宋体" w:cs="宋体"/>
                <w:sz w:val="24"/>
                <w:highlight w:val="none"/>
                <w:lang w:val="en-US" w:eastAsia="zh-CN"/>
              </w:rPr>
              <w:t>6.5</w:t>
            </w:r>
            <w:r>
              <w:rPr>
                <w:rFonts w:hint="eastAsia" w:ascii="宋体" w:hAnsi="宋体" w:cs="宋体"/>
                <w:sz w:val="24"/>
                <w:highlight w:val="none"/>
              </w:rPr>
              <w:t>分；</w:t>
            </w:r>
          </w:p>
          <w:p>
            <w:pPr>
              <w:numPr>
                <w:ilvl w:val="0"/>
                <w:numId w:val="124"/>
              </w:numPr>
              <w:spacing w:line="440" w:lineRule="exact"/>
              <w:ind w:left="5" w:hanging="5"/>
              <w:jc w:val="left"/>
              <w:rPr>
                <w:rFonts w:ascii="宋体" w:hAnsi="宋体" w:cs="宋体"/>
                <w:sz w:val="24"/>
                <w:highlight w:val="none"/>
              </w:rPr>
            </w:pPr>
            <w:r>
              <w:rPr>
                <w:rFonts w:hint="eastAsia" w:ascii="宋体" w:hAnsi="宋体" w:cs="宋体"/>
                <w:sz w:val="24"/>
                <w:highlight w:val="none"/>
              </w:rPr>
              <w:t>方案基本满足本项目要求，设备的选型配置具有一定的合理性和可操作性，得</w:t>
            </w:r>
            <w:r>
              <w:rPr>
                <w:rFonts w:hint="eastAsia" w:ascii="宋体" w:hAnsi="宋体" w:cs="宋体"/>
                <w:sz w:val="24"/>
                <w:highlight w:val="none"/>
                <w:lang w:val="en-US" w:eastAsia="zh-CN"/>
              </w:rPr>
              <w:t>4</w:t>
            </w:r>
            <w:r>
              <w:rPr>
                <w:rFonts w:hint="eastAsia" w:ascii="宋体" w:hAnsi="宋体" w:cs="宋体"/>
                <w:sz w:val="24"/>
                <w:highlight w:val="none"/>
              </w:rPr>
              <w:t>分；</w:t>
            </w:r>
          </w:p>
          <w:p>
            <w:pPr>
              <w:numPr>
                <w:ilvl w:val="0"/>
                <w:numId w:val="124"/>
              </w:numPr>
              <w:spacing w:line="440" w:lineRule="exact"/>
              <w:ind w:left="5" w:hanging="5"/>
              <w:rPr>
                <w:rFonts w:ascii="宋体" w:hAnsi="宋体" w:cs="宋体"/>
                <w:sz w:val="24"/>
                <w:highlight w:val="none"/>
              </w:rPr>
            </w:pPr>
            <w:r>
              <w:rPr>
                <w:rFonts w:hint="eastAsia" w:ascii="宋体" w:hAnsi="宋体" w:cs="宋体"/>
                <w:sz w:val="24"/>
                <w:highlight w:val="none"/>
              </w:rPr>
              <w:t>方案对本项目要求的响应有较多偏差或缺漏，可操作性一般，得</w:t>
            </w:r>
            <w:r>
              <w:rPr>
                <w:rFonts w:hint="eastAsia" w:ascii="宋体" w:hAnsi="宋体" w:cs="宋体"/>
                <w:sz w:val="24"/>
                <w:highlight w:val="none"/>
                <w:lang w:val="en-US" w:eastAsia="zh-CN"/>
              </w:rPr>
              <w:t>2</w:t>
            </w:r>
            <w:r>
              <w:rPr>
                <w:rFonts w:hint="eastAsia" w:ascii="宋体" w:hAnsi="宋体" w:cs="宋体"/>
                <w:sz w:val="24"/>
                <w:highlight w:val="none"/>
              </w:rPr>
              <w:t>分；</w:t>
            </w:r>
          </w:p>
          <w:p>
            <w:pPr>
              <w:numPr>
                <w:ilvl w:val="0"/>
                <w:numId w:val="124"/>
              </w:numPr>
              <w:spacing w:line="440" w:lineRule="exact"/>
              <w:ind w:left="5" w:hanging="5"/>
              <w:jc w:val="left"/>
              <w:rPr>
                <w:rFonts w:ascii="宋体" w:hAnsi="宋体" w:cs="宋体"/>
                <w:sz w:val="24"/>
                <w:highlight w:val="none"/>
              </w:rPr>
            </w:pPr>
            <w:r>
              <w:rPr>
                <w:rFonts w:hint="eastAsia" w:ascii="宋体" w:hAnsi="宋体" w:cs="宋体"/>
                <w:sz w:val="24"/>
                <w:highlight w:val="none"/>
              </w:rPr>
              <w:t>未提供方案不得分。</w:t>
            </w:r>
          </w:p>
        </w:tc>
        <w:tc>
          <w:tcPr>
            <w:tcW w:w="771" w:type="dxa"/>
            <w:vAlign w:val="center"/>
          </w:tcPr>
          <w:p>
            <w:pPr>
              <w:pStyle w:val="84"/>
              <w:tabs>
                <w:tab w:val="left" w:pos="305"/>
              </w:tabs>
              <w:spacing w:line="440" w:lineRule="exact"/>
              <w:ind w:firstLine="0" w:firstLineChars="0"/>
              <w:jc w:val="center"/>
              <w:rPr>
                <w:rFonts w:hint="default" w:ascii="宋体" w:eastAsia="宋体" w:cs="宋体"/>
                <w:b w:val="0"/>
                <w:bCs/>
                <w:sz w:val="24"/>
                <w:szCs w:val="24"/>
                <w:highlight w:val="none"/>
                <w:lang w:val="en-US" w:eastAsia="zh-CN"/>
              </w:rPr>
            </w:pPr>
            <w:r>
              <w:rPr>
                <w:rFonts w:hint="eastAsia" w:ascii="宋体" w:eastAsia="宋体" w:cs="宋体"/>
                <w:b w:val="0"/>
                <w:bCs/>
                <w:sz w:val="24"/>
                <w:szCs w:val="24"/>
                <w:highlight w:val="none"/>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numPr>
                <w:ilvl w:val="0"/>
                <w:numId w:val="123"/>
              </w:numPr>
              <w:spacing w:line="440" w:lineRule="exact"/>
              <w:jc w:val="center"/>
              <w:rPr>
                <w:rFonts w:ascii="宋体" w:hAnsi="宋体" w:cs="宋体"/>
                <w:sz w:val="24"/>
                <w:highlight w:val="none"/>
              </w:rPr>
            </w:pPr>
          </w:p>
        </w:tc>
        <w:tc>
          <w:tcPr>
            <w:tcW w:w="1183" w:type="dxa"/>
            <w:vAlign w:val="center"/>
          </w:tcPr>
          <w:p>
            <w:pPr>
              <w:spacing w:line="440" w:lineRule="exact"/>
              <w:jc w:val="center"/>
              <w:rPr>
                <w:rFonts w:ascii="宋体" w:hAnsi="宋体" w:cs="宋体"/>
                <w:sz w:val="24"/>
                <w:highlight w:val="none"/>
              </w:rPr>
            </w:pPr>
            <w:r>
              <w:rPr>
                <w:rFonts w:hint="eastAsia" w:ascii="宋体" w:hAnsi="宋体" w:cs="宋体"/>
                <w:sz w:val="24"/>
                <w:highlight w:val="none"/>
              </w:rPr>
              <w:t>伴随服务方案</w:t>
            </w:r>
          </w:p>
        </w:tc>
        <w:tc>
          <w:tcPr>
            <w:tcW w:w="6576" w:type="dxa"/>
          </w:tcPr>
          <w:p>
            <w:pPr>
              <w:spacing w:line="440" w:lineRule="exact"/>
              <w:jc w:val="left"/>
              <w:rPr>
                <w:rFonts w:ascii="宋体" w:hAnsi="宋体" w:cs="宋体"/>
                <w:sz w:val="24"/>
                <w:highlight w:val="none"/>
              </w:rPr>
            </w:pPr>
            <w:r>
              <w:rPr>
                <w:rFonts w:hint="eastAsia" w:ascii="宋体" w:hAnsi="宋体" w:cs="宋体"/>
                <w:sz w:val="24"/>
                <w:highlight w:val="none"/>
              </w:rPr>
              <w:t>根据投标人的伴随服务方案（包括但不限于交货、包装、安装、调试、培训、验收等对采购人配合内容的要求）进行评审：</w:t>
            </w:r>
          </w:p>
          <w:p>
            <w:pPr>
              <w:numPr>
                <w:ilvl w:val="0"/>
                <w:numId w:val="125"/>
              </w:numPr>
              <w:spacing w:line="440" w:lineRule="exact"/>
              <w:ind w:left="5" w:hanging="5"/>
              <w:jc w:val="left"/>
              <w:rPr>
                <w:rFonts w:ascii="宋体" w:hAnsi="宋体" w:cs="宋体"/>
                <w:sz w:val="24"/>
                <w:highlight w:val="none"/>
              </w:rPr>
            </w:pPr>
            <w:r>
              <w:rPr>
                <w:rFonts w:hint="eastAsia" w:ascii="宋体" w:hAnsi="宋体" w:cs="宋体"/>
                <w:sz w:val="24"/>
                <w:highlight w:val="none"/>
              </w:rPr>
              <w:t>伴随服务方案满足或优于本项目要求，合理性、可操作性强，得</w:t>
            </w:r>
            <w:r>
              <w:rPr>
                <w:rFonts w:hint="eastAsia" w:ascii="宋体" w:hAnsi="宋体" w:cs="宋体"/>
                <w:sz w:val="24"/>
                <w:highlight w:val="none"/>
                <w:lang w:val="en-US" w:eastAsia="zh-CN"/>
              </w:rPr>
              <w:t>5</w:t>
            </w:r>
            <w:r>
              <w:rPr>
                <w:rFonts w:hint="eastAsia" w:ascii="宋体" w:hAnsi="宋体" w:cs="宋体"/>
                <w:sz w:val="24"/>
                <w:highlight w:val="none"/>
              </w:rPr>
              <w:t>分；</w:t>
            </w:r>
          </w:p>
          <w:p>
            <w:pPr>
              <w:numPr>
                <w:ilvl w:val="0"/>
                <w:numId w:val="125"/>
              </w:numPr>
              <w:spacing w:line="440" w:lineRule="exact"/>
              <w:ind w:left="5" w:hanging="5"/>
              <w:jc w:val="left"/>
              <w:rPr>
                <w:rFonts w:ascii="宋体" w:hAnsi="宋体" w:cs="宋体"/>
                <w:sz w:val="24"/>
                <w:highlight w:val="none"/>
              </w:rPr>
            </w:pPr>
            <w:r>
              <w:rPr>
                <w:rFonts w:hint="eastAsia" w:ascii="宋体" w:hAnsi="宋体" w:cs="宋体"/>
                <w:sz w:val="24"/>
                <w:highlight w:val="none"/>
              </w:rPr>
              <w:t>伴随服务方案基本满足本项目要求，合理性、可操作性较强，得</w:t>
            </w:r>
            <w:r>
              <w:rPr>
                <w:rFonts w:hint="eastAsia" w:ascii="宋体" w:hAnsi="宋体" w:cs="宋体"/>
                <w:sz w:val="24"/>
                <w:highlight w:val="none"/>
                <w:lang w:val="en-US" w:eastAsia="zh-CN"/>
              </w:rPr>
              <w:t>3</w:t>
            </w:r>
            <w:r>
              <w:rPr>
                <w:rFonts w:hint="eastAsia" w:ascii="宋体" w:hAnsi="宋体" w:cs="宋体"/>
                <w:sz w:val="24"/>
                <w:highlight w:val="none"/>
              </w:rPr>
              <w:t>分；</w:t>
            </w:r>
          </w:p>
          <w:p>
            <w:pPr>
              <w:numPr>
                <w:ilvl w:val="0"/>
                <w:numId w:val="125"/>
              </w:numPr>
              <w:spacing w:line="440" w:lineRule="exact"/>
              <w:ind w:left="5" w:hanging="5"/>
              <w:jc w:val="left"/>
              <w:rPr>
                <w:rFonts w:ascii="宋体" w:hAnsi="宋体" w:cs="宋体"/>
                <w:sz w:val="24"/>
                <w:highlight w:val="none"/>
              </w:rPr>
            </w:pPr>
            <w:r>
              <w:rPr>
                <w:rFonts w:hint="eastAsia" w:ascii="宋体" w:hAnsi="宋体" w:cs="宋体"/>
                <w:sz w:val="24"/>
                <w:highlight w:val="none"/>
              </w:rPr>
              <w:t>伴随服务方案对本项目要求的响应有较多偏差或缺漏，伴随服务方案有一定合理性、可操作性，得1分；</w:t>
            </w:r>
          </w:p>
          <w:p>
            <w:pPr>
              <w:numPr>
                <w:ilvl w:val="0"/>
                <w:numId w:val="125"/>
              </w:numPr>
              <w:spacing w:line="440" w:lineRule="exact"/>
              <w:ind w:left="5" w:hanging="5"/>
              <w:jc w:val="left"/>
              <w:rPr>
                <w:rFonts w:ascii="宋体" w:hAnsi="宋体" w:cs="宋体"/>
                <w:sz w:val="24"/>
                <w:highlight w:val="none"/>
              </w:rPr>
            </w:pPr>
            <w:r>
              <w:rPr>
                <w:rFonts w:hint="eastAsia" w:ascii="宋体" w:hAnsi="宋体" w:cs="宋体"/>
                <w:sz w:val="24"/>
                <w:highlight w:val="none"/>
              </w:rPr>
              <w:t>无提供方案不得分。</w:t>
            </w:r>
          </w:p>
        </w:tc>
        <w:tc>
          <w:tcPr>
            <w:tcW w:w="771" w:type="dxa"/>
            <w:vAlign w:val="center"/>
          </w:tcPr>
          <w:p>
            <w:pPr>
              <w:pStyle w:val="84"/>
              <w:tabs>
                <w:tab w:val="left" w:pos="305"/>
              </w:tabs>
              <w:spacing w:line="440" w:lineRule="exact"/>
              <w:ind w:firstLine="0" w:firstLineChars="0"/>
              <w:jc w:val="center"/>
              <w:rPr>
                <w:rFonts w:hint="eastAsia" w:ascii="宋体" w:eastAsia="宋体" w:cs="宋体"/>
                <w:sz w:val="24"/>
                <w:szCs w:val="24"/>
                <w:highlight w:val="none"/>
                <w:lang w:eastAsia="zh-CN"/>
              </w:rPr>
            </w:pPr>
            <w:r>
              <w:rPr>
                <w:rFonts w:hint="eastAsia" w:ascii="宋体" w:eastAsia="宋体" w:cs="宋体"/>
                <w:bCs/>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numPr>
                <w:ilvl w:val="0"/>
                <w:numId w:val="123"/>
              </w:numPr>
              <w:spacing w:line="440" w:lineRule="exact"/>
              <w:jc w:val="center"/>
              <w:rPr>
                <w:rFonts w:ascii="宋体" w:hAnsi="宋体" w:cs="宋体"/>
                <w:sz w:val="24"/>
                <w:highlight w:val="none"/>
              </w:rPr>
            </w:pPr>
          </w:p>
        </w:tc>
        <w:tc>
          <w:tcPr>
            <w:tcW w:w="1183" w:type="dxa"/>
            <w:vAlign w:val="center"/>
          </w:tcPr>
          <w:p>
            <w:pPr>
              <w:spacing w:line="440" w:lineRule="exact"/>
              <w:jc w:val="center"/>
              <w:rPr>
                <w:rFonts w:ascii="宋体" w:hAnsi="宋体" w:cs="宋体"/>
                <w:sz w:val="24"/>
                <w:highlight w:val="none"/>
              </w:rPr>
            </w:pPr>
            <w:r>
              <w:rPr>
                <w:rFonts w:hint="eastAsia" w:ascii="宋体" w:hAnsi="宋体" w:cs="宋体"/>
                <w:sz w:val="24"/>
                <w:highlight w:val="none"/>
              </w:rPr>
              <w:t>项目质量保证措施和质量违约承诺</w:t>
            </w:r>
          </w:p>
        </w:tc>
        <w:tc>
          <w:tcPr>
            <w:tcW w:w="6576" w:type="dxa"/>
          </w:tcPr>
          <w:p>
            <w:pPr>
              <w:spacing w:line="440" w:lineRule="exact"/>
              <w:jc w:val="left"/>
              <w:rPr>
                <w:rFonts w:ascii="宋体" w:hAnsi="宋体" w:cs="宋体"/>
                <w:sz w:val="24"/>
                <w:highlight w:val="none"/>
              </w:rPr>
            </w:pPr>
            <w:r>
              <w:rPr>
                <w:rFonts w:hint="eastAsia" w:ascii="宋体" w:hAnsi="宋体" w:cs="宋体"/>
                <w:sz w:val="24"/>
                <w:highlight w:val="none"/>
              </w:rPr>
              <w:t>根据投标人的项目质量保证措施和质量违约承诺（包括但不限于：①有合理可行的维护计划；②完善的质量保证体系；③质量保证及服务承诺）进行评审：</w:t>
            </w:r>
          </w:p>
          <w:p>
            <w:pPr>
              <w:numPr>
                <w:ilvl w:val="0"/>
                <w:numId w:val="126"/>
              </w:numPr>
              <w:spacing w:line="440" w:lineRule="exact"/>
              <w:ind w:left="5" w:hanging="5"/>
              <w:jc w:val="left"/>
              <w:rPr>
                <w:rFonts w:ascii="宋体" w:hAnsi="宋体" w:cs="宋体"/>
                <w:sz w:val="24"/>
                <w:highlight w:val="none"/>
              </w:rPr>
            </w:pPr>
            <w:r>
              <w:rPr>
                <w:rFonts w:hint="eastAsia" w:ascii="宋体" w:hAnsi="宋体" w:cs="宋体"/>
                <w:sz w:val="24"/>
                <w:highlight w:val="none"/>
              </w:rPr>
              <w:t>维护计划合理可行，质量保证体系完善，质量保证及服务承诺（承诺质保期</w:t>
            </w:r>
            <w:r>
              <w:rPr>
                <w:rFonts w:hint="default" w:ascii="宋体" w:hAnsi="宋体" w:cs="宋体"/>
                <w:sz w:val="24"/>
                <w:highlight w:val="none"/>
                <w:lang w:val="en-US" w:eastAsia="zh-CN"/>
              </w:rPr>
              <w:t>3</w:t>
            </w:r>
            <w:r>
              <w:rPr>
                <w:rFonts w:hint="eastAsia" w:ascii="宋体" w:hAnsi="宋体" w:cs="宋体"/>
                <w:sz w:val="24"/>
                <w:highlight w:val="none"/>
              </w:rPr>
              <w:t>年以上）优于本项目要求，得</w:t>
            </w:r>
            <w:r>
              <w:rPr>
                <w:rFonts w:hint="eastAsia" w:ascii="宋体" w:hAnsi="宋体" w:cs="宋体"/>
                <w:sz w:val="24"/>
                <w:highlight w:val="none"/>
                <w:lang w:val="en-US" w:eastAsia="zh-CN"/>
              </w:rPr>
              <w:t>5</w:t>
            </w:r>
            <w:r>
              <w:rPr>
                <w:rFonts w:hint="eastAsia" w:ascii="宋体" w:hAnsi="宋体" w:cs="宋体"/>
                <w:sz w:val="24"/>
                <w:highlight w:val="none"/>
              </w:rPr>
              <w:t>分；</w:t>
            </w:r>
          </w:p>
          <w:p>
            <w:pPr>
              <w:numPr>
                <w:ilvl w:val="0"/>
                <w:numId w:val="126"/>
              </w:numPr>
              <w:spacing w:line="440" w:lineRule="exact"/>
              <w:ind w:left="5" w:hanging="5"/>
              <w:jc w:val="left"/>
              <w:rPr>
                <w:rFonts w:ascii="宋体" w:hAnsi="宋体" w:cs="宋体"/>
                <w:sz w:val="24"/>
                <w:highlight w:val="none"/>
              </w:rPr>
            </w:pPr>
            <w:r>
              <w:rPr>
                <w:rFonts w:hint="eastAsia" w:ascii="宋体" w:hAnsi="宋体" w:cs="宋体"/>
                <w:sz w:val="24"/>
                <w:highlight w:val="none"/>
              </w:rPr>
              <w:t>维护计划合理可行，质量保证体系完善，质量保证及服务承诺满足（无差异）本项目要求，得</w:t>
            </w:r>
            <w:r>
              <w:rPr>
                <w:rFonts w:hint="eastAsia" w:ascii="宋体" w:hAnsi="宋体" w:cs="宋体"/>
                <w:sz w:val="24"/>
                <w:highlight w:val="none"/>
                <w:lang w:val="en-US" w:eastAsia="zh-CN"/>
              </w:rPr>
              <w:t>3</w:t>
            </w:r>
            <w:r>
              <w:rPr>
                <w:rFonts w:hint="eastAsia" w:ascii="宋体" w:hAnsi="宋体" w:cs="宋体"/>
                <w:sz w:val="24"/>
                <w:highlight w:val="none"/>
              </w:rPr>
              <w:t>分；</w:t>
            </w:r>
          </w:p>
          <w:p>
            <w:pPr>
              <w:numPr>
                <w:ilvl w:val="0"/>
                <w:numId w:val="126"/>
              </w:numPr>
              <w:spacing w:line="440" w:lineRule="exact"/>
              <w:ind w:left="5" w:hanging="5"/>
              <w:jc w:val="left"/>
              <w:rPr>
                <w:rFonts w:ascii="宋体" w:hAnsi="宋体" w:cs="宋体"/>
                <w:sz w:val="24"/>
                <w:highlight w:val="none"/>
              </w:rPr>
            </w:pPr>
            <w:r>
              <w:rPr>
                <w:rFonts w:hint="eastAsia" w:ascii="宋体" w:hAnsi="宋体" w:cs="宋体"/>
                <w:sz w:val="24"/>
                <w:highlight w:val="none"/>
              </w:rPr>
              <w:t>维护计划、质量保证体系有部分偏差或缺漏，质量保证及服务承诺基本满足本项目要求，得</w:t>
            </w:r>
            <w:r>
              <w:rPr>
                <w:rFonts w:hint="eastAsia" w:ascii="宋体" w:hAnsi="宋体" w:cs="宋体"/>
                <w:sz w:val="24"/>
                <w:highlight w:val="none"/>
                <w:lang w:val="en-US" w:eastAsia="zh-CN"/>
              </w:rPr>
              <w:t>1</w:t>
            </w:r>
            <w:r>
              <w:rPr>
                <w:rFonts w:hint="eastAsia" w:ascii="宋体" w:hAnsi="宋体" w:cs="宋体"/>
                <w:sz w:val="24"/>
                <w:highlight w:val="none"/>
              </w:rPr>
              <w:t>分；</w:t>
            </w:r>
          </w:p>
          <w:p>
            <w:pPr>
              <w:numPr>
                <w:ilvl w:val="0"/>
                <w:numId w:val="126"/>
              </w:numPr>
              <w:spacing w:line="440" w:lineRule="exact"/>
              <w:ind w:left="5" w:hanging="5"/>
              <w:jc w:val="left"/>
              <w:rPr>
                <w:rFonts w:ascii="宋体" w:hAnsi="宋体" w:cs="宋体"/>
                <w:sz w:val="24"/>
                <w:highlight w:val="none"/>
              </w:rPr>
            </w:pPr>
            <w:r>
              <w:rPr>
                <w:rFonts w:hint="eastAsia" w:ascii="宋体" w:hAnsi="宋体" w:cs="宋体"/>
                <w:sz w:val="24"/>
                <w:highlight w:val="none"/>
              </w:rPr>
              <w:t>无提供措施和承诺不得分。</w:t>
            </w:r>
          </w:p>
        </w:tc>
        <w:tc>
          <w:tcPr>
            <w:tcW w:w="771" w:type="dxa"/>
            <w:vAlign w:val="center"/>
          </w:tcPr>
          <w:p>
            <w:pPr>
              <w:pStyle w:val="84"/>
              <w:tabs>
                <w:tab w:val="left" w:pos="305"/>
              </w:tabs>
              <w:spacing w:line="440" w:lineRule="exact"/>
              <w:ind w:firstLine="0" w:firstLineChars="0"/>
              <w:jc w:val="center"/>
              <w:rPr>
                <w:rFonts w:hint="eastAsia" w:ascii="宋体" w:eastAsia="宋体" w:cs="宋体"/>
                <w:bCs/>
                <w:sz w:val="24"/>
                <w:szCs w:val="24"/>
                <w:highlight w:val="none"/>
                <w:lang w:eastAsia="zh-CN"/>
              </w:rPr>
            </w:pPr>
            <w:r>
              <w:rPr>
                <w:rFonts w:hint="eastAsia" w:ascii="宋体" w:eastAsia="宋体" w:cs="宋体"/>
                <w:bCs/>
                <w:sz w:val="24"/>
                <w:szCs w:val="24"/>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0" w:type="dxa"/>
            <w:vAlign w:val="center"/>
          </w:tcPr>
          <w:p>
            <w:pPr>
              <w:numPr>
                <w:ilvl w:val="0"/>
                <w:numId w:val="123"/>
              </w:numPr>
              <w:spacing w:line="440" w:lineRule="exact"/>
              <w:jc w:val="center"/>
              <w:rPr>
                <w:rFonts w:ascii="宋体" w:hAnsi="宋体" w:cs="宋体"/>
                <w:sz w:val="24"/>
                <w:highlight w:val="none"/>
              </w:rPr>
            </w:pPr>
          </w:p>
        </w:tc>
        <w:tc>
          <w:tcPr>
            <w:tcW w:w="1183" w:type="dxa"/>
            <w:vAlign w:val="center"/>
          </w:tcPr>
          <w:p>
            <w:pPr>
              <w:spacing w:line="440" w:lineRule="exact"/>
              <w:jc w:val="center"/>
              <w:rPr>
                <w:rFonts w:ascii="宋体" w:hAnsi="宋体" w:cs="宋体"/>
                <w:sz w:val="24"/>
                <w:highlight w:val="none"/>
              </w:rPr>
            </w:pPr>
            <w:r>
              <w:rPr>
                <w:rFonts w:hint="eastAsia" w:ascii="宋体" w:hAnsi="宋体" w:cs="宋体"/>
                <w:sz w:val="24"/>
                <w:highlight w:val="none"/>
              </w:rPr>
              <w:t>供货保障</w:t>
            </w:r>
          </w:p>
        </w:tc>
        <w:tc>
          <w:tcPr>
            <w:tcW w:w="6576" w:type="dxa"/>
          </w:tcPr>
          <w:p>
            <w:pPr>
              <w:spacing w:line="440" w:lineRule="exact"/>
              <w:jc w:val="left"/>
              <w:rPr>
                <w:rFonts w:hint="eastAsia" w:ascii="宋体" w:hAnsi="宋体" w:cs="宋体"/>
                <w:sz w:val="24"/>
                <w:highlight w:val="none"/>
              </w:rPr>
            </w:pPr>
            <w:r>
              <w:rPr>
                <w:rFonts w:hint="eastAsia" w:ascii="宋体" w:hAnsi="宋体" w:cs="宋体"/>
                <w:sz w:val="24"/>
                <w:highlight w:val="none"/>
              </w:rPr>
              <w:t>投标人若非所投产品的制造商/生产厂家，每提供一份所投产品的制造商/生产厂家出具的授权书的得</w:t>
            </w:r>
            <w:r>
              <w:rPr>
                <w:rFonts w:hint="eastAsia" w:ascii="宋体" w:hAnsi="宋体" w:cs="宋体"/>
                <w:sz w:val="24"/>
                <w:highlight w:val="none"/>
                <w:lang w:val="en-US" w:eastAsia="zh-CN"/>
              </w:rPr>
              <w:t>0.5</w:t>
            </w:r>
            <w:r>
              <w:rPr>
                <w:rFonts w:hint="eastAsia" w:ascii="宋体" w:hAnsi="宋体" w:cs="宋体"/>
                <w:sz w:val="24"/>
                <w:highlight w:val="none"/>
              </w:rPr>
              <w:t>分；本项最高得</w:t>
            </w:r>
            <w:r>
              <w:rPr>
                <w:rFonts w:hint="eastAsia" w:ascii="宋体" w:hAnsi="宋体" w:cs="宋体"/>
                <w:sz w:val="24"/>
                <w:highlight w:val="none"/>
                <w:lang w:val="en-US" w:eastAsia="zh-CN"/>
              </w:rPr>
              <w:t>4.5</w:t>
            </w:r>
            <w:r>
              <w:rPr>
                <w:rFonts w:hint="eastAsia" w:ascii="宋体" w:hAnsi="宋体" w:cs="宋体"/>
                <w:sz w:val="24"/>
                <w:highlight w:val="none"/>
              </w:rPr>
              <w:t>分，无提供不得分。</w:t>
            </w:r>
          </w:p>
          <w:p>
            <w:pPr>
              <w:spacing w:line="440" w:lineRule="exact"/>
              <w:jc w:val="left"/>
              <w:rPr>
                <w:rFonts w:ascii="宋体" w:hAnsi="宋体" w:cs="宋体"/>
                <w:sz w:val="24"/>
                <w:highlight w:val="none"/>
              </w:rPr>
            </w:pPr>
            <w:r>
              <w:rPr>
                <w:rFonts w:hint="eastAsia" w:ascii="宋体" w:hAnsi="宋体" w:cs="宋体"/>
                <w:sz w:val="24"/>
                <w:highlight w:val="none"/>
              </w:rPr>
              <w:t>【注：制造商/生产厂家以其制造/生产的产品投标的，按有授权的计分。】</w:t>
            </w:r>
          </w:p>
        </w:tc>
        <w:tc>
          <w:tcPr>
            <w:tcW w:w="771" w:type="dxa"/>
            <w:vAlign w:val="center"/>
          </w:tcPr>
          <w:p>
            <w:pPr>
              <w:pStyle w:val="84"/>
              <w:tabs>
                <w:tab w:val="left" w:pos="305"/>
              </w:tabs>
              <w:spacing w:line="440" w:lineRule="exact"/>
              <w:ind w:firstLine="0" w:firstLineChars="0"/>
              <w:jc w:val="center"/>
              <w:rPr>
                <w:rFonts w:hint="default" w:ascii="宋体" w:eastAsia="宋体" w:cs="宋体"/>
                <w:bCs/>
                <w:sz w:val="24"/>
                <w:szCs w:val="24"/>
                <w:highlight w:val="none"/>
                <w:lang w:val="en-US" w:eastAsia="zh-CN"/>
              </w:rPr>
            </w:pPr>
            <w:r>
              <w:rPr>
                <w:rFonts w:hint="eastAsia" w:ascii="宋体" w:eastAsia="宋体" w:cs="宋体"/>
                <w:bCs/>
                <w:sz w:val="24"/>
                <w:szCs w:val="24"/>
                <w:highlight w:val="none"/>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9" w:type="dxa"/>
            <w:gridSpan w:val="3"/>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合计</w:t>
            </w:r>
          </w:p>
        </w:tc>
        <w:tc>
          <w:tcPr>
            <w:tcW w:w="771" w:type="dxa"/>
            <w:vAlign w:val="center"/>
          </w:tcPr>
          <w:p>
            <w:pPr>
              <w:spacing w:line="440" w:lineRule="exact"/>
              <w:jc w:val="center"/>
              <w:rPr>
                <w:rFonts w:ascii="宋体" w:hAnsi="宋体" w:cs="宋体"/>
                <w:b/>
                <w:sz w:val="24"/>
                <w:highlight w:val="none"/>
              </w:rPr>
            </w:pPr>
            <w:r>
              <w:rPr>
                <w:rFonts w:hint="eastAsia" w:ascii="宋体" w:hAnsi="宋体" w:cs="宋体"/>
                <w:b/>
                <w:sz w:val="24"/>
                <w:highlight w:val="none"/>
              </w:rPr>
              <w:t>5</w:t>
            </w:r>
            <w:r>
              <w:rPr>
                <w:rFonts w:hint="eastAsia" w:ascii="宋体" w:hAnsi="宋体" w:cs="宋体"/>
                <w:b/>
                <w:sz w:val="24"/>
                <w:highlight w:val="none"/>
                <w:lang w:val="en-US" w:eastAsia="zh-CN"/>
              </w:rPr>
              <w:t>5</w:t>
            </w:r>
            <w:r>
              <w:rPr>
                <w:rFonts w:hint="eastAsia" w:ascii="宋体" w:hAnsi="宋体" w:cs="宋体"/>
                <w:b/>
                <w:sz w:val="24"/>
                <w:highlight w:val="none"/>
              </w:rPr>
              <w:t>分</w:t>
            </w:r>
          </w:p>
        </w:tc>
      </w:tr>
    </w:tbl>
    <w:p>
      <w:pPr>
        <w:adjustRightInd w:val="0"/>
        <w:snapToGrid w:val="0"/>
        <w:spacing w:line="360" w:lineRule="auto"/>
        <w:rPr>
          <w:rFonts w:ascii="宋体" w:hAnsi="宋体" w:cs="宋体"/>
          <w:sz w:val="24"/>
          <w:highlight w:val="none"/>
        </w:rPr>
      </w:pPr>
      <w:r>
        <w:rPr>
          <w:rFonts w:hint="eastAsia" w:ascii="宋体" w:hAnsi="宋体" w:cs="宋体"/>
          <w:sz w:val="24"/>
          <w:highlight w:val="none"/>
        </w:rPr>
        <w:t>备注：1、上表中要求提供佐证材料的，投标人必须提供，否则计</w:t>
      </w:r>
      <w:r>
        <w:rPr>
          <w:rFonts w:ascii="宋体" w:hAnsi="宋体" w:cs="宋体"/>
          <w:sz w:val="24"/>
          <w:highlight w:val="none"/>
        </w:rPr>
        <w:t>0</w:t>
      </w:r>
      <w:r>
        <w:rPr>
          <w:rFonts w:hint="eastAsia" w:ascii="宋体" w:hAnsi="宋体" w:cs="宋体"/>
          <w:sz w:val="24"/>
          <w:highlight w:val="none"/>
        </w:rPr>
        <w:t>分。</w:t>
      </w:r>
    </w:p>
    <w:p>
      <w:pPr>
        <w:adjustRightInd w:val="0"/>
        <w:snapToGrid w:val="0"/>
        <w:spacing w:line="360" w:lineRule="auto"/>
        <w:ind w:firstLine="638" w:firstLineChars="266"/>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2、各评委按规定的范围内进行量化打分，并统计总分。</w:t>
      </w:r>
      <w:r>
        <w:rPr>
          <w:rFonts w:hint="eastAsia" w:ascii="宋体" w:hAnsi="宋体" w:cs="宋体"/>
          <w:sz w:val="24"/>
          <w:highlight w:val="none"/>
          <w:lang w:val="zh-CN"/>
        </w:rPr>
        <w:t>得分分值按四舍五入原则精确到小数点后两位数。</w:t>
      </w:r>
    </w:p>
    <w:p>
      <w:pPr>
        <w:tabs>
          <w:tab w:val="left" w:pos="720"/>
        </w:tabs>
        <w:adjustRightInd w:val="0"/>
        <w:snapToGrid w:val="0"/>
        <w:spacing w:line="360" w:lineRule="auto"/>
        <w:outlineLvl w:val="2"/>
        <w:rPr>
          <w:sz w:val="24"/>
          <w:highlight w:val="none"/>
        </w:rPr>
      </w:pPr>
      <w:bookmarkStart w:id="448" w:name="_Toc17485"/>
      <w:r>
        <w:rPr>
          <w:rFonts w:hint="eastAsia" w:ascii="宋体" w:hAnsi="宋体" w:cs="宋体"/>
          <w:b/>
          <w:bCs/>
          <w:sz w:val="24"/>
          <w:szCs w:val="24"/>
          <w:highlight w:val="none"/>
        </w:rPr>
        <w:t>附表5：</w:t>
      </w:r>
      <w:bookmarkStart w:id="449" w:name="_Toc31575"/>
      <w:r>
        <w:rPr>
          <w:rFonts w:hint="eastAsia"/>
          <w:b/>
          <w:bCs/>
          <w:sz w:val="24"/>
          <w:highlight w:val="none"/>
        </w:rPr>
        <w:t>商务评审表</w:t>
      </w:r>
      <w:bookmarkEnd w:id="448"/>
      <w:bookmarkEnd w:id="449"/>
    </w:p>
    <w:tbl>
      <w:tblPr>
        <w:tblStyle w:val="29"/>
        <w:tblW w:w="5082"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8" w:type="dxa"/>
          <w:bottom w:w="0" w:type="dxa"/>
          <w:right w:w="108" w:type="dxa"/>
        </w:tblCellMar>
      </w:tblPr>
      <w:tblGrid>
        <w:gridCol w:w="719"/>
        <w:gridCol w:w="1312"/>
        <w:gridCol w:w="6445"/>
        <w:gridCol w:w="91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87" w:hRule="atLeast"/>
          <w:tblHeader/>
          <w:jc w:val="center"/>
        </w:trPr>
        <w:tc>
          <w:tcPr>
            <w:tcW w:w="383" w:type="pct"/>
            <w:shd w:val="clear" w:color="auto" w:fill="D7D7D7"/>
            <w:vAlign w:val="center"/>
          </w:tcPr>
          <w:p>
            <w:pPr>
              <w:spacing w:line="440" w:lineRule="exact"/>
              <w:jc w:val="center"/>
              <w:rPr>
                <w:rFonts w:ascii="宋体" w:cs="宋体"/>
                <w:b/>
                <w:sz w:val="24"/>
                <w:highlight w:val="none"/>
              </w:rPr>
            </w:pPr>
            <w:r>
              <w:rPr>
                <w:rFonts w:hint="eastAsia" w:ascii="宋体" w:hAnsi="宋体" w:cs="宋体"/>
                <w:b/>
                <w:sz w:val="24"/>
                <w:highlight w:val="none"/>
              </w:rPr>
              <w:t>序号</w:t>
            </w:r>
          </w:p>
        </w:tc>
        <w:tc>
          <w:tcPr>
            <w:tcW w:w="698" w:type="pct"/>
            <w:shd w:val="clear" w:color="auto" w:fill="D7D7D7"/>
            <w:vAlign w:val="center"/>
          </w:tcPr>
          <w:p>
            <w:pPr>
              <w:spacing w:line="440" w:lineRule="exact"/>
              <w:jc w:val="center"/>
              <w:rPr>
                <w:rFonts w:ascii="宋体" w:cs="宋体"/>
                <w:b/>
                <w:sz w:val="24"/>
                <w:highlight w:val="none"/>
              </w:rPr>
            </w:pPr>
            <w:r>
              <w:rPr>
                <w:rFonts w:hint="eastAsia" w:ascii="宋体" w:hAnsi="宋体" w:cs="宋体"/>
                <w:b/>
                <w:sz w:val="24"/>
                <w:highlight w:val="none"/>
              </w:rPr>
              <w:t>评审项目</w:t>
            </w:r>
          </w:p>
        </w:tc>
        <w:tc>
          <w:tcPr>
            <w:tcW w:w="3428" w:type="pct"/>
            <w:shd w:val="clear" w:color="auto" w:fill="D7D7D7"/>
            <w:vAlign w:val="center"/>
          </w:tcPr>
          <w:p>
            <w:pPr>
              <w:spacing w:line="440" w:lineRule="exact"/>
              <w:jc w:val="center"/>
              <w:rPr>
                <w:rFonts w:ascii="宋体" w:cs="宋体"/>
                <w:b/>
                <w:sz w:val="24"/>
                <w:highlight w:val="none"/>
              </w:rPr>
            </w:pPr>
            <w:r>
              <w:rPr>
                <w:rFonts w:hint="eastAsia" w:ascii="宋体" w:hAnsi="宋体" w:cs="宋体"/>
                <w:b/>
                <w:sz w:val="24"/>
                <w:highlight w:val="none"/>
              </w:rPr>
              <w:t>评审标准</w:t>
            </w:r>
          </w:p>
        </w:tc>
        <w:tc>
          <w:tcPr>
            <w:tcW w:w="488" w:type="pct"/>
            <w:shd w:val="clear" w:color="auto" w:fill="D7D7D7"/>
            <w:vAlign w:val="center"/>
          </w:tcPr>
          <w:p>
            <w:pPr>
              <w:spacing w:line="440" w:lineRule="exact"/>
              <w:jc w:val="center"/>
              <w:rPr>
                <w:rFonts w:ascii="宋体" w:cs="宋体"/>
                <w:b/>
                <w:sz w:val="24"/>
                <w:highlight w:val="none"/>
              </w:rPr>
            </w:pPr>
            <w:r>
              <w:rPr>
                <w:rFonts w:hint="eastAsia" w:ascii="宋体" w:hAnsi="宋体" w:cs="宋体"/>
                <w:b/>
                <w:sz w:val="24"/>
                <w:highlight w:val="none"/>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2" w:hRule="atLeast"/>
          <w:jc w:val="center"/>
        </w:trPr>
        <w:tc>
          <w:tcPr>
            <w:tcW w:w="383" w:type="pct"/>
            <w:vAlign w:val="center"/>
          </w:tcPr>
          <w:p>
            <w:pPr>
              <w:adjustRightInd w:val="0"/>
              <w:snapToGrid w:val="0"/>
              <w:spacing w:line="440" w:lineRule="exact"/>
              <w:jc w:val="center"/>
              <w:rPr>
                <w:rFonts w:ascii="宋体" w:cs="宋体"/>
                <w:sz w:val="24"/>
                <w:highlight w:val="none"/>
              </w:rPr>
            </w:pPr>
            <w:r>
              <w:rPr>
                <w:rFonts w:ascii="宋体" w:hAnsi="宋体" w:cs="宋体"/>
                <w:sz w:val="24"/>
                <w:highlight w:val="none"/>
              </w:rPr>
              <w:t>1</w:t>
            </w:r>
          </w:p>
        </w:tc>
        <w:tc>
          <w:tcPr>
            <w:tcW w:w="698" w:type="pct"/>
            <w:vAlign w:val="center"/>
          </w:tcPr>
          <w:p>
            <w:pPr>
              <w:pStyle w:val="81"/>
              <w:widowControl w:val="0"/>
              <w:spacing w:line="440" w:lineRule="exact"/>
              <w:ind w:firstLine="0"/>
              <w:jc w:val="center"/>
              <w:rPr>
                <w:rFonts w:ascii="宋体" w:hAnsi="宋体" w:cs="宋体"/>
                <w:bCs/>
                <w:sz w:val="24"/>
                <w:szCs w:val="24"/>
                <w:highlight w:val="none"/>
              </w:rPr>
            </w:pPr>
            <w:r>
              <w:rPr>
                <w:rFonts w:hint="eastAsia" w:ascii="宋体" w:hAnsi="宋体" w:cs="宋体"/>
                <w:bCs/>
                <w:sz w:val="24"/>
                <w:szCs w:val="24"/>
                <w:highlight w:val="none"/>
              </w:rPr>
              <w:t>商务条款响应程度</w:t>
            </w:r>
          </w:p>
        </w:tc>
        <w:tc>
          <w:tcPr>
            <w:tcW w:w="3428" w:type="pct"/>
            <w:vAlign w:val="center"/>
          </w:tcPr>
          <w:p>
            <w:pPr>
              <w:spacing w:line="440" w:lineRule="exact"/>
              <w:rPr>
                <w:rFonts w:ascii="宋体" w:hAnsi="宋体" w:cs="宋体"/>
                <w:bCs/>
                <w:sz w:val="24"/>
                <w:highlight w:val="none"/>
              </w:rPr>
            </w:pPr>
            <w:r>
              <w:rPr>
                <w:rFonts w:hint="eastAsia" w:ascii="宋体" w:hAnsi="宋体" w:cs="宋体"/>
                <w:sz w:val="24"/>
                <w:highlight w:val="none"/>
              </w:rPr>
              <w:t>根据投标人的商务需求响应情况进行评分：完全满足或优于招标文件要求的，得5分；每负偏离一项扣1分，扣完为止。</w:t>
            </w:r>
          </w:p>
          <w:p>
            <w:pPr>
              <w:pStyle w:val="81"/>
              <w:spacing w:line="440" w:lineRule="exact"/>
              <w:ind w:firstLine="0"/>
              <w:rPr>
                <w:rFonts w:ascii="宋体" w:hAnsi="宋体" w:cs="宋体"/>
                <w:sz w:val="24"/>
                <w:szCs w:val="24"/>
                <w:highlight w:val="none"/>
              </w:rPr>
            </w:pPr>
            <w:r>
              <w:rPr>
                <w:rFonts w:hint="eastAsia" w:ascii="宋体" w:hAnsi="宋体" w:cs="宋体"/>
                <w:b/>
                <w:bCs/>
                <w:sz w:val="24"/>
                <w:szCs w:val="24"/>
                <w:highlight w:val="none"/>
              </w:rPr>
              <w:t>【注：以《一般商务条款响应表》响应情况为准。】</w:t>
            </w:r>
          </w:p>
        </w:tc>
        <w:tc>
          <w:tcPr>
            <w:tcW w:w="488" w:type="pct"/>
            <w:vAlign w:val="center"/>
          </w:tcPr>
          <w:p>
            <w:pPr>
              <w:spacing w:line="440" w:lineRule="exact"/>
              <w:jc w:val="center"/>
              <w:rPr>
                <w:rFonts w:ascii="宋体" w:hAnsi="宋体" w:cs="宋体"/>
                <w:bCs/>
                <w:sz w:val="24"/>
                <w:highlight w:val="none"/>
              </w:rPr>
            </w:pPr>
            <w:r>
              <w:rPr>
                <w:rFonts w:hint="eastAsia" w:ascii="宋体" w:hAnsi="宋体" w:cs="宋体"/>
                <w:bCs/>
                <w:sz w:val="24"/>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72" w:hRule="atLeast"/>
          <w:jc w:val="center"/>
        </w:trPr>
        <w:tc>
          <w:tcPr>
            <w:tcW w:w="383" w:type="pct"/>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698" w:type="pct"/>
            <w:vAlign w:val="center"/>
          </w:tcPr>
          <w:p>
            <w:pPr>
              <w:pStyle w:val="85"/>
              <w:spacing w:line="440" w:lineRule="exact"/>
              <w:jc w:val="center"/>
              <w:rPr>
                <w:rFonts w:ascii="宋体" w:cs="宋体"/>
                <w:sz w:val="24"/>
                <w:szCs w:val="24"/>
                <w:highlight w:val="none"/>
              </w:rPr>
            </w:pPr>
            <w:r>
              <w:rPr>
                <w:rFonts w:hint="eastAsia" w:ascii="宋体" w:hAnsi="宋体" w:cs="宋体"/>
                <w:sz w:val="24"/>
                <w:szCs w:val="24"/>
                <w:highlight w:val="none"/>
              </w:rPr>
              <w:t>同类项目业绩</w:t>
            </w:r>
          </w:p>
        </w:tc>
        <w:tc>
          <w:tcPr>
            <w:tcW w:w="3428" w:type="pct"/>
            <w:vAlign w:val="center"/>
          </w:tcPr>
          <w:p>
            <w:pPr>
              <w:pStyle w:val="85"/>
              <w:spacing w:line="440" w:lineRule="exact"/>
              <w:jc w:val="left"/>
              <w:rPr>
                <w:rFonts w:ascii="宋体" w:cs="宋体"/>
                <w:sz w:val="24"/>
                <w:szCs w:val="24"/>
                <w:highlight w:val="none"/>
              </w:rPr>
            </w:pPr>
            <w:r>
              <w:rPr>
                <w:rFonts w:hint="eastAsia" w:ascii="宋体" w:hAnsi="宋体" w:cs="宋体"/>
                <w:sz w:val="24"/>
                <w:highlight w:val="none"/>
              </w:rPr>
              <w:t>投标人</w:t>
            </w:r>
            <w:r>
              <w:rPr>
                <w:rFonts w:hint="eastAsia" w:ascii="宋体" w:hAnsi="宋体" w:cs="宋体"/>
                <w:kern w:val="0"/>
                <w:sz w:val="24"/>
                <w:highlight w:val="none"/>
              </w:rPr>
              <w:t>自</w:t>
            </w:r>
            <w:r>
              <w:rPr>
                <w:rFonts w:ascii="宋体" w:hAnsi="宋体" w:cs="宋体"/>
                <w:kern w:val="0"/>
                <w:sz w:val="24"/>
                <w:highlight w:val="none"/>
              </w:rPr>
              <w:t>20</w:t>
            </w:r>
            <w:r>
              <w:rPr>
                <w:rFonts w:hint="eastAsia" w:ascii="宋体" w:hAnsi="宋体" w:cs="宋体"/>
                <w:kern w:val="0"/>
                <w:sz w:val="24"/>
                <w:highlight w:val="none"/>
              </w:rPr>
              <w:t>21年</w:t>
            </w:r>
            <w:r>
              <w:rPr>
                <w:rFonts w:ascii="宋体" w:hAnsi="宋体" w:cs="宋体"/>
                <w:kern w:val="0"/>
                <w:sz w:val="24"/>
                <w:highlight w:val="none"/>
              </w:rPr>
              <w:t>1</w:t>
            </w:r>
            <w:r>
              <w:rPr>
                <w:rFonts w:hint="eastAsia" w:ascii="宋体" w:hAnsi="宋体" w:cs="宋体"/>
                <w:kern w:val="0"/>
                <w:sz w:val="24"/>
                <w:highlight w:val="none"/>
              </w:rPr>
              <w:t>月</w:t>
            </w:r>
            <w:r>
              <w:rPr>
                <w:rFonts w:ascii="宋体" w:hAnsi="宋体" w:cs="宋体"/>
                <w:kern w:val="0"/>
                <w:sz w:val="24"/>
                <w:highlight w:val="none"/>
              </w:rPr>
              <w:t>1</w:t>
            </w:r>
            <w:r>
              <w:rPr>
                <w:rFonts w:hint="eastAsia" w:ascii="宋体" w:hAnsi="宋体" w:cs="宋体"/>
                <w:kern w:val="0"/>
                <w:sz w:val="24"/>
                <w:highlight w:val="none"/>
              </w:rPr>
              <w:t>日至今（以合同签订日期为准）以</w:t>
            </w:r>
            <w:r>
              <w:rPr>
                <w:rFonts w:hint="eastAsia" w:ascii="宋体" w:hAnsi="宋体" w:cs="宋体"/>
                <w:sz w:val="24"/>
                <w:highlight w:val="none"/>
              </w:rPr>
              <w:t>投标人</w:t>
            </w:r>
            <w:r>
              <w:rPr>
                <w:rFonts w:hint="eastAsia" w:ascii="宋体" w:hAnsi="宋体" w:cs="宋体"/>
                <w:kern w:val="0"/>
                <w:sz w:val="24"/>
                <w:highlight w:val="none"/>
              </w:rPr>
              <w:t>的名义完成的同类项目业绩，每提供</w:t>
            </w:r>
            <w:r>
              <w:rPr>
                <w:rFonts w:ascii="宋体" w:hAnsi="宋体" w:cs="宋体"/>
                <w:kern w:val="0"/>
                <w:sz w:val="24"/>
                <w:highlight w:val="none"/>
              </w:rPr>
              <w:t>1</w:t>
            </w:r>
            <w:r>
              <w:rPr>
                <w:rFonts w:hint="eastAsia" w:ascii="宋体" w:hAnsi="宋体" w:cs="宋体"/>
                <w:kern w:val="0"/>
                <w:sz w:val="24"/>
                <w:highlight w:val="none"/>
              </w:rPr>
              <w:t>个业绩合同得</w:t>
            </w:r>
            <w:r>
              <w:rPr>
                <w:rFonts w:hint="eastAsia" w:ascii="宋体" w:hAnsi="宋体" w:cs="宋体"/>
                <w:kern w:val="0"/>
                <w:sz w:val="24"/>
                <w:highlight w:val="none"/>
                <w:lang w:val="en-US" w:eastAsia="zh-CN"/>
              </w:rPr>
              <w:t>1</w:t>
            </w:r>
            <w:r>
              <w:rPr>
                <w:rFonts w:hint="eastAsia" w:ascii="宋体" w:hAnsi="宋体" w:cs="宋体"/>
                <w:kern w:val="0"/>
                <w:sz w:val="24"/>
                <w:highlight w:val="none"/>
              </w:rPr>
              <w:t>分，最高得</w:t>
            </w:r>
            <w:r>
              <w:rPr>
                <w:rFonts w:hint="eastAsia" w:ascii="宋体" w:hAnsi="宋体" w:cs="宋体"/>
                <w:kern w:val="0"/>
                <w:sz w:val="24"/>
                <w:highlight w:val="none"/>
                <w:lang w:val="en-US" w:eastAsia="zh-CN"/>
              </w:rPr>
              <w:t>5</w:t>
            </w:r>
            <w:r>
              <w:rPr>
                <w:rFonts w:hint="eastAsia" w:ascii="宋体" w:hAnsi="宋体" w:cs="宋体"/>
                <w:kern w:val="0"/>
                <w:sz w:val="24"/>
                <w:highlight w:val="none"/>
              </w:rPr>
              <w:t>分。无提供或其他情况不得分。</w:t>
            </w:r>
          </w:p>
          <w:p>
            <w:pPr>
              <w:pStyle w:val="85"/>
              <w:spacing w:line="440" w:lineRule="exact"/>
              <w:jc w:val="left"/>
              <w:rPr>
                <w:rFonts w:ascii="宋体" w:cs="宋体"/>
                <w:sz w:val="24"/>
                <w:szCs w:val="24"/>
                <w:highlight w:val="none"/>
              </w:rPr>
            </w:pPr>
            <w:r>
              <w:rPr>
                <w:rFonts w:hint="eastAsia" w:ascii="宋体" w:hAnsi="宋体" w:cs="宋体"/>
                <w:b/>
                <w:bCs/>
                <w:kern w:val="0"/>
                <w:sz w:val="24"/>
                <w:szCs w:val="24"/>
                <w:highlight w:val="none"/>
              </w:rPr>
              <w:t>【</w:t>
            </w:r>
            <w:r>
              <w:rPr>
                <w:rFonts w:hint="eastAsia" w:ascii="宋体" w:hAnsi="宋体"/>
                <w:b/>
                <w:bCs/>
                <w:sz w:val="24"/>
                <w:szCs w:val="24"/>
                <w:highlight w:val="none"/>
              </w:rPr>
              <w:t>注：以合同签订时间为准，须提供合同关键页（须包括签订日期、双方盖章）及验收报告复印件并加盖公章，不提供或资料不全或专家无法认定的均不得分。投标人所投主要产品名称并不要求与招标文件的产品名称完全对应,功能和参数相当的设备认为可满足要求。</w:t>
            </w:r>
            <w:r>
              <w:rPr>
                <w:rFonts w:hint="eastAsia" w:ascii="宋体" w:hAnsi="宋体" w:cs="宋体"/>
                <w:b/>
                <w:bCs/>
                <w:kern w:val="0"/>
                <w:sz w:val="24"/>
                <w:szCs w:val="24"/>
                <w:highlight w:val="none"/>
              </w:rPr>
              <w:t>】</w:t>
            </w:r>
          </w:p>
        </w:tc>
        <w:tc>
          <w:tcPr>
            <w:tcW w:w="917" w:type="dxa"/>
            <w:vAlign w:val="center"/>
          </w:tcPr>
          <w:p>
            <w:pPr>
              <w:spacing w:line="440" w:lineRule="exact"/>
              <w:jc w:val="center"/>
              <w:rPr>
                <w:rFonts w:ascii="宋体"/>
                <w:sz w:val="24"/>
                <w:szCs w:val="24"/>
                <w:highlight w:val="none"/>
              </w:rPr>
            </w:pPr>
            <w:r>
              <w:rPr>
                <w:rFonts w:hint="eastAsia" w:ascii="宋体" w:hAnsi="宋体" w:cs="宋体"/>
                <w:bCs/>
                <w:sz w:val="24"/>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383" w:type="pct"/>
            <w:vAlign w:val="center"/>
          </w:tcPr>
          <w:p>
            <w:pPr>
              <w:pStyle w:val="10"/>
              <w:jc w:val="center"/>
              <w:rPr>
                <w:rFonts w:hAnsi="宋体" w:cs="宋体"/>
                <w:b w:val="0"/>
                <w:sz w:val="24"/>
                <w:highlight w:val="none"/>
              </w:rPr>
            </w:pPr>
            <w:r>
              <w:rPr>
                <w:rFonts w:hint="eastAsia" w:hAnsi="宋体" w:cs="宋体"/>
                <w:b w:val="0"/>
                <w:sz w:val="24"/>
                <w:highlight w:val="none"/>
              </w:rPr>
              <w:t>3</w:t>
            </w:r>
          </w:p>
        </w:tc>
        <w:tc>
          <w:tcPr>
            <w:tcW w:w="698" w:type="pct"/>
            <w:vAlign w:val="center"/>
          </w:tcPr>
          <w:p>
            <w:pPr>
              <w:pStyle w:val="85"/>
              <w:spacing w:line="440" w:lineRule="exact"/>
              <w:jc w:val="center"/>
              <w:rPr>
                <w:rFonts w:ascii="宋体" w:hAnsi="宋体" w:cs="宋体"/>
                <w:sz w:val="24"/>
                <w:highlight w:val="none"/>
              </w:rPr>
            </w:pPr>
            <w:r>
              <w:rPr>
                <w:rFonts w:hint="eastAsia" w:ascii="宋体" w:hAnsi="宋体" w:cs="宋体"/>
                <w:kern w:val="0"/>
                <w:sz w:val="24"/>
                <w:szCs w:val="24"/>
                <w:highlight w:val="none"/>
              </w:rPr>
              <w:t>客户满意度评价</w:t>
            </w:r>
          </w:p>
        </w:tc>
        <w:tc>
          <w:tcPr>
            <w:tcW w:w="3428" w:type="pct"/>
            <w:vAlign w:val="center"/>
          </w:tcPr>
          <w:p>
            <w:pPr>
              <w:widowControl/>
              <w:spacing w:line="440" w:lineRule="exact"/>
              <w:jc w:val="left"/>
              <w:rPr>
                <w:rFonts w:ascii="宋体" w:cs="宋体"/>
                <w:kern w:val="0"/>
                <w:sz w:val="24"/>
                <w:highlight w:val="none"/>
              </w:rPr>
            </w:pPr>
            <w:r>
              <w:rPr>
                <w:rFonts w:hint="eastAsia" w:ascii="宋体" w:hAnsi="宋体" w:cs="宋体"/>
                <w:kern w:val="0"/>
                <w:sz w:val="24"/>
                <w:highlight w:val="none"/>
              </w:rPr>
              <w:t>上述同类项目业绩中，具有甲方出具的评价，每获得一个好评（满意、优秀、好）等正面评价的得1分，最高</w:t>
            </w:r>
            <w:r>
              <w:rPr>
                <w:rFonts w:hint="eastAsia" w:ascii="宋体" w:hAnsi="宋体" w:cs="宋体"/>
                <w:sz w:val="24"/>
                <w:highlight w:val="none"/>
              </w:rPr>
              <w:t>得</w:t>
            </w:r>
            <w:r>
              <w:rPr>
                <w:rFonts w:hint="eastAsia" w:ascii="宋体" w:hAnsi="宋体" w:cs="宋体"/>
                <w:kern w:val="0"/>
                <w:sz w:val="24"/>
                <w:highlight w:val="none"/>
              </w:rPr>
              <w:t>5分。</w:t>
            </w:r>
            <w:r>
              <w:rPr>
                <w:rFonts w:hint="eastAsia" w:ascii="宋体" w:hAnsi="宋体" w:cs="宋体"/>
                <w:sz w:val="24"/>
                <w:highlight w:val="none"/>
              </w:rPr>
              <w:t>无或不符合要求的，得</w:t>
            </w:r>
            <w:r>
              <w:rPr>
                <w:rFonts w:ascii="宋体" w:cs="宋体"/>
                <w:sz w:val="24"/>
                <w:highlight w:val="none"/>
              </w:rPr>
              <w:t>0</w:t>
            </w:r>
            <w:r>
              <w:rPr>
                <w:rFonts w:hint="eastAsia" w:ascii="宋体" w:hAnsi="宋体" w:cs="宋体"/>
                <w:sz w:val="24"/>
                <w:highlight w:val="none"/>
              </w:rPr>
              <w:t>分。</w:t>
            </w:r>
          </w:p>
          <w:p>
            <w:pPr>
              <w:pStyle w:val="85"/>
              <w:spacing w:line="440" w:lineRule="exact"/>
              <w:jc w:val="left"/>
              <w:rPr>
                <w:rFonts w:ascii="宋体" w:hAnsi="宋体" w:cs="宋体"/>
                <w:sz w:val="24"/>
                <w:highlight w:val="none"/>
              </w:rPr>
            </w:pPr>
            <w:r>
              <w:rPr>
                <w:rFonts w:hint="eastAsia" w:ascii="宋体" w:hAnsi="宋体" w:cs="宋体"/>
                <w:b/>
                <w:bCs/>
                <w:kern w:val="0"/>
                <w:sz w:val="24"/>
                <w:highlight w:val="none"/>
              </w:rPr>
              <w:t>【注：须提供证明材料件复印件加盖响应供应商公章，同一客户或同一项目提供多项用户满意度评价的，按一项计算。】</w:t>
            </w:r>
          </w:p>
        </w:tc>
        <w:tc>
          <w:tcPr>
            <w:tcW w:w="917" w:type="dxa"/>
            <w:vAlign w:val="center"/>
          </w:tcPr>
          <w:p>
            <w:pPr>
              <w:spacing w:line="440" w:lineRule="exact"/>
              <w:jc w:val="center"/>
              <w:rPr>
                <w:rFonts w:ascii="宋体" w:cs="宋体"/>
                <w:sz w:val="24"/>
                <w:szCs w:val="24"/>
                <w:highlight w:val="none"/>
              </w:rPr>
            </w:pPr>
            <w:r>
              <w:rPr>
                <w:rFonts w:hint="eastAsia" w:ascii="宋体" w:hAnsi="宋体" w:cs="宋体"/>
                <w:bCs/>
                <w:sz w:val="24"/>
                <w:highlight w:val="none"/>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39" w:hRule="atLeast"/>
          <w:jc w:val="center"/>
        </w:trPr>
        <w:tc>
          <w:tcPr>
            <w:tcW w:w="4511" w:type="pct"/>
            <w:gridSpan w:val="3"/>
            <w:vAlign w:val="center"/>
          </w:tcPr>
          <w:p>
            <w:pPr>
              <w:spacing w:line="440" w:lineRule="exact"/>
              <w:jc w:val="center"/>
              <w:rPr>
                <w:rFonts w:ascii="宋体"/>
                <w:b/>
                <w:sz w:val="24"/>
                <w:highlight w:val="none"/>
              </w:rPr>
            </w:pPr>
            <w:r>
              <w:rPr>
                <w:rFonts w:hint="eastAsia" w:ascii="宋体" w:hAnsi="宋体" w:cs="宋体"/>
                <w:b/>
                <w:sz w:val="24"/>
                <w:highlight w:val="none"/>
              </w:rPr>
              <w:t>合计</w:t>
            </w:r>
          </w:p>
        </w:tc>
        <w:tc>
          <w:tcPr>
            <w:tcW w:w="488" w:type="pct"/>
            <w:vAlign w:val="center"/>
          </w:tcPr>
          <w:p>
            <w:pPr>
              <w:spacing w:line="440" w:lineRule="exact"/>
              <w:jc w:val="center"/>
              <w:rPr>
                <w:rFonts w:ascii="宋体"/>
                <w:b/>
                <w:sz w:val="24"/>
                <w:highlight w:val="none"/>
              </w:rPr>
            </w:pPr>
            <w:r>
              <w:rPr>
                <w:rFonts w:hint="eastAsia" w:ascii="宋体"/>
                <w:b/>
                <w:sz w:val="24"/>
                <w:highlight w:val="none"/>
                <w:lang w:val="en-US" w:eastAsia="zh-CN"/>
              </w:rPr>
              <w:t>15</w:t>
            </w:r>
            <w:r>
              <w:rPr>
                <w:rFonts w:hint="eastAsia" w:ascii="宋体"/>
                <w:b/>
                <w:sz w:val="24"/>
                <w:highlight w:val="none"/>
              </w:rPr>
              <w:t>分</w:t>
            </w:r>
          </w:p>
        </w:tc>
      </w:tr>
    </w:tbl>
    <w:p>
      <w:pPr>
        <w:adjustRightInd w:val="0"/>
        <w:snapToGrid w:val="0"/>
        <w:spacing w:line="360" w:lineRule="auto"/>
        <w:rPr>
          <w:rFonts w:ascii="宋体" w:hAnsi="宋体" w:cs="宋体"/>
          <w:sz w:val="24"/>
          <w:highlight w:val="none"/>
        </w:rPr>
      </w:pPr>
      <w:r>
        <w:rPr>
          <w:rFonts w:hint="eastAsia" w:ascii="宋体" w:hAnsi="宋体" w:cs="宋体"/>
          <w:sz w:val="24"/>
          <w:highlight w:val="none"/>
        </w:rPr>
        <w:t>备注：1、上表中要求提供佐证材料的，投标人必须提供，否则计0分。</w:t>
      </w:r>
    </w:p>
    <w:p>
      <w:pPr>
        <w:adjustRightInd w:val="0"/>
        <w:snapToGrid w:val="0"/>
        <w:spacing w:line="360" w:lineRule="auto"/>
        <w:ind w:firstLine="638" w:firstLineChars="266"/>
        <w:rPr>
          <w:rFonts w:ascii="宋体" w:hAnsi="宋体" w:cs="宋体"/>
          <w:sz w:val="24"/>
          <w:highlight w:val="none"/>
          <w:lang w:val="zh-CN"/>
        </w:rPr>
      </w:pPr>
      <w:r>
        <w:rPr>
          <w:rFonts w:hint="eastAsia" w:ascii="宋体" w:hAnsi="宋体" w:cs="宋体"/>
          <w:sz w:val="24"/>
          <w:highlight w:val="none"/>
        </w:rPr>
        <w:t>2、各评委按规定的范围内进行量化打分，并统计总分。</w:t>
      </w:r>
      <w:r>
        <w:rPr>
          <w:rFonts w:hint="eastAsia" w:ascii="宋体" w:hAnsi="宋体" w:cs="宋体"/>
          <w:sz w:val="24"/>
          <w:highlight w:val="none"/>
          <w:lang w:val="zh-CN"/>
        </w:rPr>
        <w:t>得分分值按四舍五入原则精确到小数点后两位数。</w:t>
      </w:r>
    </w:p>
    <w:bookmarkEnd w:id="442"/>
    <w:bookmarkEnd w:id="443"/>
    <w:bookmarkEnd w:id="444"/>
    <w:bookmarkEnd w:id="445"/>
    <w:bookmarkEnd w:id="446"/>
    <w:bookmarkEnd w:id="447"/>
    <w:p>
      <w:pPr>
        <w:rPr>
          <w:sz w:val="24"/>
          <w:highlight w:val="none"/>
        </w:rPr>
      </w:pPr>
      <w:bookmarkStart w:id="450" w:name="_Toc2375"/>
      <w:r>
        <w:rPr>
          <w:rFonts w:hint="eastAsia"/>
          <w:sz w:val="24"/>
          <w:highlight w:val="none"/>
        </w:rPr>
        <w:br w:type="page"/>
      </w:r>
    </w:p>
    <w:p>
      <w:pPr>
        <w:pStyle w:val="4"/>
        <w:adjustRightInd w:val="0"/>
        <w:snapToGrid w:val="0"/>
        <w:spacing w:before="0" w:after="0" w:line="360" w:lineRule="auto"/>
        <w:ind w:left="0" w:firstLine="0"/>
        <w:rPr>
          <w:sz w:val="24"/>
          <w:szCs w:val="24"/>
          <w:highlight w:val="none"/>
        </w:rPr>
      </w:pPr>
      <w:bookmarkStart w:id="451" w:name="_Toc10925"/>
      <w:r>
        <w:rPr>
          <w:rFonts w:hint="eastAsia"/>
          <w:sz w:val="24"/>
          <w:szCs w:val="24"/>
          <w:highlight w:val="none"/>
        </w:rPr>
        <w:t>附表</w:t>
      </w:r>
      <w:r>
        <w:rPr>
          <w:rFonts w:hint="eastAsia"/>
          <w:sz w:val="24"/>
          <w:szCs w:val="24"/>
          <w:highlight w:val="none"/>
          <w:lang w:val="en-US" w:eastAsia="zh-CN"/>
        </w:rPr>
        <w:t>6</w:t>
      </w:r>
      <w:r>
        <w:rPr>
          <w:rFonts w:hint="eastAsia"/>
          <w:sz w:val="24"/>
          <w:szCs w:val="24"/>
          <w:highlight w:val="none"/>
        </w:rPr>
        <w:t>：价格评审表</w:t>
      </w:r>
      <w:bookmarkEnd w:id="450"/>
      <w:bookmarkEnd w:id="451"/>
    </w:p>
    <w:tbl>
      <w:tblPr>
        <w:tblStyle w:val="2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1361"/>
        <w:gridCol w:w="78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7" w:hRule="atLeast"/>
          <w:tblHeader/>
          <w:jc w:val="center"/>
        </w:trPr>
        <w:tc>
          <w:tcPr>
            <w:tcW w:w="737" w:type="pct"/>
            <w:shd w:val="clear" w:color="auto" w:fill="D7D7D7"/>
            <w:vAlign w:val="center"/>
          </w:tcPr>
          <w:p>
            <w:pPr>
              <w:spacing w:line="440" w:lineRule="exact"/>
              <w:jc w:val="center"/>
              <w:rPr>
                <w:rFonts w:ascii="宋体" w:hAnsi="宋体" w:cs="宋体"/>
                <w:b/>
                <w:bCs/>
                <w:sz w:val="24"/>
                <w:highlight w:val="none"/>
              </w:rPr>
            </w:pPr>
            <w:r>
              <w:rPr>
                <w:rFonts w:hint="eastAsia" w:ascii="宋体" w:hAnsi="宋体" w:cs="宋体"/>
                <w:b/>
                <w:bCs/>
                <w:sz w:val="24"/>
                <w:highlight w:val="none"/>
              </w:rPr>
              <w:t>评审项目</w:t>
            </w:r>
          </w:p>
        </w:tc>
        <w:tc>
          <w:tcPr>
            <w:tcW w:w="4262" w:type="pct"/>
            <w:shd w:val="clear" w:color="auto" w:fill="D7D7D7"/>
            <w:vAlign w:val="center"/>
          </w:tcPr>
          <w:p>
            <w:pPr>
              <w:spacing w:line="440" w:lineRule="exact"/>
              <w:jc w:val="center"/>
              <w:rPr>
                <w:rFonts w:ascii="宋体" w:hAnsi="宋体" w:cs="宋体"/>
                <w:b/>
                <w:bCs/>
                <w:sz w:val="24"/>
                <w:highlight w:val="none"/>
              </w:rPr>
            </w:pPr>
            <w:r>
              <w:rPr>
                <w:rFonts w:hint="eastAsia" w:ascii="宋体" w:hAnsi="宋体" w:cs="宋体"/>
                <w:b/>
                <w:bCs/>
                <w:sz w:val="24"/>
                <w:highlight w:val="none"/>
              </w:rPr>
              <w:t>评审标准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3" w:hRule="atLeast"/>
          <w:tblHeader/>
          <w:jc w:val="center"/>
        </w:trPr>
        <w:tc>
          <w:tcPr>
            <w:tcW w:w="737" w:type="pct"/>
            <w:vAlign w:val="center"/>
          </w:tcPr>
          <w:p>
            <w:pPr>
              <w:spacing w:line="440" w:lineRule="exact"/>
              <w:jc w:val="center"/>
              <w:rPr>
                <w:rFonts w:ascii="宋体" w:hAnsi="宋体" w:cs="宋体"/>
                <w:sz w:val="24"/>
                <w:highlight w:val="none"/>
              </w:rPr>
            </w:pPr>
            <w:r>
              <w:rPr>
                <w:rFonts w:hint="eastAsia" w:ascii="宋体" w:hAnsi="宋体" w:cs="宋体"/>
                <w:sz w:val="24"/>
                <w:highlight w:val="none"/>
              </w:rPr>
              <w:t>投标得分</w:t>
            </w:r>
          </w:p>
        </w:tc>
        <w:tc>
          <w:tcPr>
            <w:tcW w:w="4262" w:type="pct"/>
            <w:vAlign w:val="center"/>
          </w:tcPr>
          <w:p>
            <w:pPr>
              <w:spacing w:line="440" w:lineRule="exact"/>
              <w:jc w:val="left"/>
              <w:rPr>
                <w:rFonts w:hAnsi="宋体" w:cs="宋体"/>
                <w:sz w:val="24"/>
                <w:highlight w:val="none"/>
              </w:rPr>
            </w:pPr>
            <w:r>
              <w:rPr>
                <w:rFonts w:hint="eastAsia" w:ascii="宋体" w:hAnsi="宋体" w:cs="宋体"/>
                <w:sz w:val="24"/>
                <w:highlight w:val="none"/>
              </w:rPr>
              <w:t>价格分计算方法：满足招标文件要求且投标价格最低的投标报价（以修正后价格为准）为评标基准价，其价格分为满分。其他投标人的价格分统一按照下列公式计算：投标报价得分=(评标基准价／投标报价)×价格分值。</w:t>
            </w:r>
          </w:p>
        </w:tc>
      </w:tr>
    </w:tbl>
    <w:p>
      <w:pPr>
        <w:spacing w:before="120" w:beforeLines="50" w:line="360" w:lineRule="auto"/>
        <w:ind w:firstLine="480" w:firstLineChars="200"/>
        <w:rPr>
          <w:rFonts w:ascii="宋体" w:hAnsi="宋体"/>
          <w:sz w:val="24"/>
          <w:highlight w:val="none"/>
        </w:rPr>
        <w:sectPr>
          <w:pgSz w:w="11905" w:h="16838"/>
          <w:pgMar w:top="1803" w:right="1440" w:bottom="1803" w:left="1440" w:header="850" w:footer="822" w:gutter="0"/>
          <w:cols w:space="0" w:num="1"/>
          <w:docGrid w:linePitch="312" w:charSpace="0"/>
        </w:sectPr>
      </w:pPr>
    </w:p>
    <w:p>
      <w:pPr>
        <w:ind w:left="420"/>
        <w:rPr>
          <w:highlight w:val="none"/>
        </w:rPr>
      </w:pPr>
      <w:bookmarkStart w:id="452" w:name="_Toc168288368"/>
      <w:bookmarkStart w:id="453" w:name="_Toc50737290"/>
      <w:bookmarkStart w:id="454" w:name="_Toc50736470"/>
      <w:bookmarkStart w:id="455" w:name="_Toc50737322"/>
      <w:bookmarkStart w:id="456" w:name="_Toc50691023"/>
      <w:bookmarkStart w:id="457" w:name="_Toc182886660"/>
      <w:bookmarkStart w:id="458" w:name="_Toc183316721"/>
      <w:bookmarkStart w:id="459" w:name="_Toc423021952"/>
      <w:bookmarkStart w:id="460" w:name="_Toc372468320"/>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pStyle w:val="2"/>
        <w:jc w:val="center"/>
        <w:rPr>
          <w:rFonts w:ascii="黑体" w:hAnsi="黑体" w:eastAsia="黑体" w:cs="黑体"/>
          <w:b/>
          <w:bCs/>
          <w:highlight w:val="none"/>
        </w:rPr>
      </w:pPr>
      <w:bookmarkStart w:id="461" w:name="_Toc12055"/>
      <w:bookmarkStart w:id="462" w:name="_Toc2691"/>
      <w:bookmarkStart w:id="463" w:name="_Toc16117"/>
      <w:r>
        <w:rPr>
          <w:rFonts w:hint="eastAsia" w:ascii="黑体" w:hAnsi="黑体" w:eastAsia="黑体" w:cs="黑体"/>
          <w:b/>
          <w:bCs/>
          <w:highlight w:val="none"/>
        </w:rPr>
        <w:t xml:space="preserve">第五章 </w:t>
      </w:r>
      <w:bookmarkEnd w:id="452"/>
      <w:bookmarkEnd w:id="453"/>
      <w:bookmarkEnd w:id="454"/>
      <w:bookmarkEnd w:id="455"/>
      <w:bookmarkEnd w:id="456"/>
      <w:r>
        <w:rPr>
          <w:rFonts w:hint="eastAsia" w:ascii="黑体" w:hAnsi="黑体" w:eastAsia="黑体" w:cs="黑体"/>
          <w:b/>
          <w:bCs/>
          <w:highlight w:val="none"/>
        </w:rPr>
        <w:t>合同格式</w:t>
      </w:r>
      <w:bookmarkEnd w:id="457"/>
      <w:bookmarkEnd w:id="458"/>
      <w:bookmarkEnd w:id="459"/>
      <w:bookmarkEnd w:id="460"/>
      <w:bookmarkEnd w:id="461"/>
      <w:bookmarkEnd w:id="462"/>
      <w:bookmarkEnd w:id="463"/>
    </w:p>
    <w:p>
      <w:pPr>
        <w:rPr>
          <w:highlight w:val="none"/>
        </w:rPr>
      </w:pPr>
      <w:r>
        <w:rPr>
          <w:highlight w:val="none"/>
        </w:rPr>
        <w:t xml:space="preserve"> </w:t>
      </w:r>
      <w:bookmarkStart w:id="464" w:name="_Toc417740583"/>
      <w:bookmarkEnd w:id="464"/>
      <w:bookmarkStart w:id="465" w:name="_Toc415496500"/>
      <w:bookmarkEnd w:id="465"/>
      <w:bookmarkStart w:id="466" w:name="_Toc413404707"/>
      <w:bookmarkEnd w:id="466"/>
      <w:bookmarkStart w:id="467" w:name="_Toc413372910"/>
      <w:bookmarkEnd w:id="467"/>
      <w:bookmarkStart w:id="468" w:name="_Toc417739812"/>
      <w:bookmarkEnd w:id="468"/>
      <w:bookmarkStart w:id="469" w:name="_Toc414383021"/>
      <w:bookmarkEnd w:id="469"/>
      <w:bookmarkStart w:id="470" w:name="_Toc414383236"/>
      <w:bookmarkEnd w:id="470"/>
      <w:bookmarkStart w:id="471" w:name="_Toc415494938"/>
      <w:bookmarkEnd w:id="471"/>
      <w:bookmarkStart w:id="472" w:name="_Toc413373057"/>
      <w:bookmarkEnd w:id="472"/>
      <w:bookmarkStart w:id="473" w:name="_Toc418782465"/>
      <w:bookmarkEnd w:id="473"/>
      <w:bookmarkStart w:id="474" w:name="_Toc417738405"/>
      <w:bookmarkEnd w:id="474"/>
      <w:bookmarkStart w:id="475" w:name="_Toc418782304"/>
      <w:bookmarkEnd w:id="475"/>
    </w:p>
    <w:p>
      <w:pPr>
        <w:spacing w:before="72" w:after="72"/>
        <w:jc w:val="center"/>
        <w:rPr>
          <w:rFonts w:eastAsia="仿宋_GB2312"/>
          <w:b/>
          <w:sz w:val="40"/>
          <w:szCs w:val="40"/>
          <w:highlight w:val="none"/>
        </w:rPr>
      </w:pPr>
    </w:p>
    <w:p>
      <w:pPr>
        <w:spacing w:before="72" w:after="72"/>
        <w:jc w:val="center"/>
        <w:rPr>
          <w:rFonts w:eastAsia="仿宋_GB2312"/>
          <w:b/>
          <w:sz w:val="40"/>
          <w:szCs w:val="40"/>
          <w:highlight w:val="none"/>
        </w:rPr>
      </w:pPr>
    </w:p>
    <w:p>
      <w:pPr>
        <w:spacing w:before="72" w:after="72"/>
        <w:jc w:val="center"/>
        <w:rPr>
          <w:rFonts w:eastAsia="仿宋_GB2312"/>
          <w:b/>
          <w:sz w:val="40"/>
          <w:szCs w:val="40"/>
          <w:highlight w:val="none"/>
        </w:rPr>
      </w:pPr>
    </w:p>
    <w:p>
      <w:pPr>
        <w:spacing w:before="72" w:after="72"/>
        <w:jc w:val="center"/>
        <w:rPr>
          <w:rFonts w:eastAsia="仿宋_GB2312"/>
          <w:b/>
          <w:sz w:val="40"/>
          <w:szCs w:val="40"/>
          <w:highlight w:val="none"/>
        </w:rPr>
      </w:pPr>
    </w:p>
    <w:p>
      <w:pPr>
        <w:spacing w:before="72" w:after="72"/>
        <w:jc w:val="center"/>
        <w:rPr>
          <w:rFonts w:eastAsia="仿宋_GB2312"/>
          <w:b/>
          <w:sz w:val="40"/>
          <w:szCs w:val="40"/>
          <w:highlight w:val="none"/>
        </w:rPr>
      </w:pPr>
    </w:p>
    <w:p>
      <w:pPr>
        <w:spacing w:before="72" w:after="72"/>
        <w:jc w:val="center"/>
        <w:rPr>
          <w:rFonts w:eastAsia="仿宋_GB2312"/>
          <w:b/>
          <w:sz w:val="40"/>
          <w:szCs w:val="40"/>
          <w:highlight w:val="none"/>
        </w:rPr>
      </w:pPr>
    </w:p>
    <w:p>
      <w:pPr>
        <w:spacing w:before="72" w:after="72"/>
        <w:jc w:val="center"/>
        <w:rPr>
          <w:rFonts w:eastAsia="仿宋_GB2312"/>
          <w:b/>
          <w:sz w:val="40"/>
          <w:szCs w:val="40"/>
          <w:highlight w:val="none"/>
        </w:rPr>
      </w:pPr>
    </w:p>
    <w:p>
      <w:pPr>
        <w:spacing w:before="72" w:after="72"/>
        <w:jc w:val="center"/>
        <w:rPr>
          <w:rFonts w:eastAsia="仿宋_GB2312"/>
          <w:b/>
          <w:sz w:val="40"/>
          <w:szCs w:val="40"/>
          <w:highlight w:val="none"/>
        </w:rPr>
      </w:pPr>
    </w:p>
    <w:p>
      <w:pPr>
        <w:tabs>
          <w:tab w:val="left" w:pos="720"/>
        </w:tabs>
        <w:spacing w:line="360" w:lineRule="auto"/>
        <w:rPr>
          <w:rFonts w:ascii="宋体" w:hAnsi="宋体"/>
          <w:b/>
          <w:szCs w:val="21"/>
          <w:highlight w:val="none"/>
        </w:rPr>
      </w:pPr>
    </w:p>
    <w:p>
      <w:pPr>
        <w:tabs>
          <w:tab w:val="left" w:pos="720"/>
        </w:tabs>
        <w:spacing w:line="360" w:lineRule="auto"/>
        <w:jc w:val="center"/>
        <w:rPr>
          <w:rFonts w:ascii="宋体" w:hAnsi="宋体"/>
          <w:b/>
          <w:sz w:val="44"/>
          <w:szCs w:val="44"/>
          <w:highlight w:val="none"/>
        </w:rPr>
      </w:pPr>
      <w:bookmarkStart w:id="476" w:name="_Toc50737323"/>
      <w:bookmarkStart w:id="477" w:name="_Toc50737291"/>
      <w:bookmarkStart w:id="478" w:name="_Toc50691025"/>
      <w:bookmarkStart w:id="479" w:name="_Toc87417453"/>
      <w:bookmarkStart w:id="480" w:name="_Toc50736471"/>
      <w:bookmarkStart w:id="481" w:name="_Toc168288374"/>
      <w:bookmarkStart w:id="482" w:name="_Toc182886662"/>
      <w:bookmarkStart w:id="483" w:name="_Toc183316722"/>
    </w:p>
    <w:p>
      <w:pPr>
        <w:rPr>
          <w:highlight w:val="none"/>
        </w:rPr>
      </w:pPr>
      <w:bookmarkStart w:id="484" w:name="_Toc423021953"/>
      <w:bookmarkStart w:id="485" w:name="_Toc28392"/>
      <w:bookmarkStart w:id="486" w:name="_Toc372468321"/>
    </w:p>
    <w:p>
      <w:pPr>
        <w:jc w:val="center"/>
        <w:rPr>
          <w:b/>
          <w:bCs/>
          <w:sz w:val="64"/>
          <w:szCs w:val="64"/>
          <w:highlight w:val="none"/>
        </w:rPr>
      </w:pPr>
      <w:r>
        <w:rPr>
          <w:rFonts w:hint="eastAsia"/>
          <w:b/>
          <w:bCs/>
          <w:sz w:val="64"/>
          <w:szCs w:val="64"/>
          <w:highlight w:val="none"/>
        </w:rPr>
        <w:t>农业农村部木薯种质资源保护</w:t>
      </w:r>
    </w:p>
    <w:p>
      <w:pPr>
        <w:jc w:val="center"/>
        <w:rPr>
          <w:b/>
          <w:bCs/>
          <w:sz w:val="64"/>
          <w:szCs w:val="64"/>
          <w:highlight w:val="none"/>
        </w:rPr>
      </w:pPr>
      <w:r>
        <w:rPr>
          <w:rFonts w:hint="eastAsia"/>
          <w:b/>
          <w:bCs/>
          <w:sz w:val="64"/>
          <w:szCs w:val="64"/>
          <w:highlight w:val="none"/>
        </w:rPr>
        <w:t>与利用重点实验室建设项目</w:t>
      </w:r>
    </w:p>
    <w:p>
      <w:pPr>
        <w:rPr>
          <w:highlight w:val="none"/>
        </w:rPr>
      </w:pPr>
    </w:p>
    <w:p>
      <w:pPr>
        <w:rPr>
          <w:highlight w:val="none"/>
        </w:rPr>
      </w:pPr>
    </w:p>
    <w:p>
      <w:pPr>
        <w:rPr>
          <w:highlight w:val="none"/>
        </w:rPr>
      </w:pPr>
    </w:p>
    <w:p>
      <w:pPr>
        <w:rPr>
          <w:highlight w:val="none"/>
        </w:rPr>
      </w:pPr>
    </w:p>
    <w:p>
      <w:pPr>
        <w:rPr>
          <w:highlight w:val="none"/>
        </w:rPr>
      </w:pPr>
    </w:p>
    <w:p>
      <w:pPr>
        <w:tabs>
          <w:tab w:val="left" w:pos="720"/>
        </w:tabs>
        <w:spacing w:line="360" w:lineRule="auto"/>
        <w:jc w:val="center"/>
        <w:rPr>
          <w:rFonts w:ascii="宋体" w:hAnsi="宋体"/>
          <w:b/>
          <w:sz w:val="52"/>
          <w:szCs w:val="52"/>
          <w:highlight w:val="none"/>
        </w:rPr>
      </w:pPr>
    </w:p>
    <w:p>
      <w:pPr>
        <w:tabs>
          <w:tab w:val="left" w:pos="720"/>
        </w:tabs>
        <w:spacing w:line="360" w:lineRule="auto"/>
        <w:jc w:val="center"/>
        <w:rPr>
          <w:rFonts w:ascii="宋体" w:hAnsi="宋体"/>
          <w:b/>
          <w:sz w:val="52"/>
          <w:szCs w:val="52"/>
          <w:highlight w:val="none"/>
        </w:rPr>
      </w:pPr>
    </w:p>
    <w:p>
      <w:pPr>
        <w:tabs>
          <w:tab w:val="left" w:pos="720"/>
        </w:tabs>
        <w:spacing w:line="360" w:lineRule="auto"/>
        <w:jc w:val="center"/>
        <w:rPr>
          <w:rFonts w:ascii="宋体" w:hAnsi="宋体"/>
          <w:b/>
          <w:sz w:val="52"/>
          <w:szCs w:val="52"/>
          <w:highlight w:val="none"/>
        </w:rPr>
      </w:pPr>
      <w:r>
        <w:rPr>
          <w:rFonts w:hint="eastAsia" w:ascii="宋体" w:hAnsi="宋体"/>
          <w:b/>
          <w:sz w:val="52"/>
          <w:szCs w:val="52"/>
          <w:highlight w:val="none"/>
        </w:rPr>
        <w:t>合　同　书</w:t>
      </w:r>
    </w:p>
    <w:p>
      <w:pPr>
        <w:tabs>
          <w:tab w:val="left" w:pos="720"/>
        </w:tabs>
        <w:spacing w:line="360" w:lineRule="auto"/>
        <w:jc w:val="center"/>
        <w:rPr>
          <w:rFonts w:ascii="宋体" w:hAnsi="宋体"/>
          <w:b/>
          <w:sz w:val="36"/>
          <w:szCs w:val="36"/>
          <w:highlight w:val="none"/>
        </w:rPr>
      </w:pPr>
    </w:p>
    <w:p>
      <w:pPr>
        <w:tabs>
          <w:tab w:val="left" w:pos="720"/>
        </w:tabs>
        <w:spacing w:line="360" w:lineRule="auto"/>
        <w:rPr>
          <w:rFonts w:ascii="宋体" w:hAnsi="宋体"/>
          <w:b/>
          <w:szCs w:val="21"/>
          <w:highlight w:val="none"/>
        </w:rPr>
      </w:pPr>
    </w:p>
    <w:p>
      <w:pPr>
        <w:tabs>
          <w:tab w:val="left" w:pos="720"/>
        </w:tabs>
        <w:spacing w:line="360" w:lineRule="auto"/>
        <w:rPr>
          <w:rFonts w:ascii="宋体" w:hAnsi="宋体"/>
          <w:b/>
          <w:szCs w:val="21"/>
          <w:highlight w:val="none"/>
        </w:rPr>
      </w:pPr>
    </w:p>
    <w:p>
      <w:pPr>
        <w:tabs>
          <w:tab w:val="left" w:pos="720"/>
        </w:tabs>
        <w:spacing w:line="360" w:lineRule="auto"/>
        <w:rPr>
          <w:rFonts w:ascii="宋体" w:hAnsi="宋体"/>
          <w:b/>
          <w:szCs w:val="21"/>
          <w:highlight w:val="none"/>
        </w:rPr>
      </w:pPr>
    </w:p>
    <w:p>
      <w:pPr>
        <w:tabs>
          <w:tab w:val="left" w:pos="720"/>
        </w:tabs>
        <w:spacing w:line="360" w:lineRule="auto"/>
        <w:rPr>
          <w:rFonts w:ascii="宋体" w:hAnsi="宋体"/>
          <w:b/>
          <w:szCs w:val="21"/>
          <w:highlight w:val="none"/>
        </w:rPr>
      </w:pPr>
    </w:p>
    <w:tbl>
      <w:tblPr>
        <w:tblStyle w:val="29"/>
        <w:tblW w:w="0" w:type="auto"/>
        <w:jc w:val="center"/>
        <w:tblLayout w:type="fixed"/>
        <w:tblCellMar>
          <w:top w:w="0" w:type="dxa"/>
          <w:left w:w="108" w:type="dxa"/>
          <w:bottom w:w="0" w:type="dxa"/>
          <w:right w:w="108" w:type="dxa"/>
        </w:tblCellMar>
      </w:tblPr>
      <w:tblGrid>
        <w:gridCol w:w="5400"/>
      </w:tblGrid>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24"/>
                <w:highlight w:val="none"/>
                <w:u w:val="single"/>
              </w:rPr>
            </w:pPr>
            <w:r>
              <w:rPr>
                <w:rFonts w:hint="eastAsia" w:ascii="宋体" w:hAnsi="宋体"/>
                <w:b/>
                <w:sz w:val="24"/>
                <w:highlight w:val="none"/>
              </w:rPr>
              <w:t>采购编号：</w:t>
            </w:r>
            <w:r>
              <w:rPr>
                <w:rFonts w:hint="eastAsia" w:ascii="宋体" w:hAnsi="宋体"/>
                <w:b/>
                <w:sz w:val="24"/>
                <w:highlight w:val="none"/>
                <w:u w:val="single"/>
              </w:rPr>
              <w:t xml:space="preserve">                          </w:t>
            </w: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24"/>
                <w:highlight w:val="none"/>
                <w:u w:val="single"/>
              </w:rPr>
            </w:pPr>
          </w:p>
        </w:tc>
      </w:tr>
      <w:tr>
        <w:tblPrEx>
          <w:tblCellMar>
            <w:top w:w="0" w:type="dxa"/>
            <w:left w:w="108" w:type="dxa"/>
            <w:bottom w:w="0" w:type="dxa"/>
            <w:right w:w="108" w:type="dxa"/>
          </w:tblCellMar>
        </w:tblPrEx>
        <w:trPr>
          <w:trHeight w:val="446" w:hRule="atLeast"/>
          <w:jc w:val="center"/>
        </w:trPr>
        <w:tc>
          <w:tcPr>
            <w:tcW w:w="5400" w:type="dxa"/>
          </w:tcPr>
          <w:p>
            <w:pPr>
              <w:tabs>
                <w:tab w:val="left" w:pos="720"/>
              </w:tabs>
              <w:spacing w:line="360" w:lineRule="auto"/>
              <w:rPr>
                <w:rFonts w:ascii="宋体" w:hAnsi="宋体"/>
                <w:b/>
                <w:sz w:val="24"/>
                <w:highlight w:val="none"/>
              </w:rPr>
            </w:pPr>
            <w:r>
              <w:rPr>
                <w:rFonts w:hint="eastAsia" w:ascii="宋体" w:hAnsi="宋体"/>
                <w:b/>
                <w:sz w:val="24"/>
                <w:highlight w:val="none"/>
              </w:rPr>
              <w:t>项目名称：</w:t>
            </w:r>
            <w:r>
              <w:rPr>
                <w:rFonts w:hint="eastAsia" w:ascii="宋体" w:hAnsi="宋体"/>
                <w:b/>
                <w:sz w:val="24"/>
                <w:highlight w:val="none"/>
                <w:u w:val="single"/>
              </w:rPr>
              <w:t xml:space="preserve">                          </w:t>
            </w: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b/>
                <w:szCs w:val="21"/>
                <w:highlight w:val="none"/>
                <w:lang w:eastAsia="zh-Hans"/>
              </w:rPr>
            </w:pPr>
          </w:p>
        </w:tc>
      </w:tr>
      <w:tr>
        <w:tblPrEx>
          <w:tblCellMar>
            <w:top w:w="0" w:type="dxa"/>
            <w:left w:w="108" w:type="dxa"/>
            <w:bottom w:w="0" w:type="dxa"/>
            <w:right w:w="108" w:type="dxa"/>
          </w:tblCellMar>
        </w:tblPrEx>
        <w:trPr>
          <w:trHeight w:val="460" w:hRule="atLeast"/>
          <w:jc w:val="center"/>
        </w:trPr>
        <w:tc>
          <w:tcPr>
            <w:tcW w:w="5400" w:type="dxa"/>
          </w:tcPr>
          <w:p>
            <w:pPr>
              <w:tabs>
                <w:tab w:val="left" w:pos="720"/>
              </w:tabs>
              <w:spacing w:line="360" w:lineRule="auto"/>
              <w:rPr>
                <w:rFonts w:ascii="宋体" w:hAnsi="宋体"/>
                <w:b/>
                <w:sz w:val="24"/>
                <w:highlight w:val="none"/>
                <w:lang w:eastAsia="zh-Hans"/>
              </w:rPr>
            </w:pPr>
          </w:p>
        </w:tc>
      </w:tr>
    </w:tbl>
    <w:p>
      <w:pPr>
        <w:spacing w:line="360" w:lineRule="auto"/>
        <w:rPr>
          <w:rFonts w:ascii="宋体" w:hAnsi="宋体"/>
          <w:szCs w:val="21"/>
          <w:highlight w:val="none"/>
        </w:rPr>
      </w:pPr>
    </w:p>
    <w:p>
      <w:pPr>
        <w:spacing w:line="360" w:lineRule="auto"/>
        <w:rPr>
          <w:rFonts w:ascii="宋体" w:hAnsi="宋体"/>
          <w:szCs w:val="21"/>
          <w:highlight w:val="none"/>
        </w:rPr>
      </w:pPr>
    </w:p>
    <w:p>
      <w:pPr>
        <w:spacing w:line="360" w:lineRule="auto"/>
        <w:rPr>
          <w:rFonts w:ascii="宋体" w:hAnsi="宋体"/>
          <w:szCs w:val="21"/>
          <w:highlight w:val="none"/>
        </w:rPr>
      </w:pPr>
      <w:r>
        <w:rPr>
          <w:rFonts w:hint="eastAsia" w:ascii="宋体" w:hAnsi="宋体"/>
          <w:b/>
          <w:szCs w:val="21"/>
          <w:highlight w:val="none"/>
        </w:rPr>
        <w:t>注：本合同仅为合同的参考文本，合同签订双方可根据项目的具体要求进行修订，但不得修改实质性条款。</w:t>
      </w:r>
    </w:p>
    <w:p>
      <w:pPr>
        <w:jc w:val="center"/>
        <w:rPr>
          <w:rFonts w:ascii="宋体"/>
          <w:b/>
          <w:color w:val="000000"/>
          <w:sz w:val="28"/>
          <w:szCs w:val="28"/>
          <w:highlight w:val="none"/>
        </w:rPr>
      </w:pPr>
      <w:bookmarkStart w:id="487" w:name="_Toc100568924"/>
      <w:bookmarkStart w:id="488" w:name="_Toc70255239"/>
      <w:bookmarkStart w:id="489" w:name="_Toc18504369"/>
      <w:bookmarkStart w:id="490" w:name="_Toc228438083"/>
      <w:bookmarkStart w:id="491" w:name="_Toc162083537"/>
      <w:bookmarkStart w:id="492" w:name="_Toc228270170"/>
      <w:bookmarkStart w:id="493" w:name="_Toc271838316"/>
      <w:bookmarkStart w:id="494" w:name="_Toc146213014"/>
      <w:bookmarkStart w:id="495" w:name="_Toc32273"/>
      <w:r>
        <w:rPr>
          <w:rFonts w:hint="eastAsia" w:ascii="宋体" w:hAnsi="宋体"/>
          <w:b/>
          <w:color w:val="000000"/>
          <w:sz w:val="28"/>
          <w:szCs w:val="28"/>
          <w:highlight w:val="none"/>
        </w:rPr>
        <w:t>合同通用条款</w:t>
      </w:r>
      <w:bookmarkEnd w:id="487"/>
      <w:bookmarkEnd w:id="488"/>
      <w:bookmarkEnd w:id="489"/>
      <w:bookmarkEnd w:id="490"/>
      <w:bookmarkEnd w:id="491"/>
      <w:bookmarkEnd w:id="492"/>
      <w:bookmarkEnd w:id="493"/>
      <w:bookmarkEnd w:id="494"/>
    </w:p>
    <w:p>
      <w:pPr>
        <w:spacing w:line="360" w:lineRule="auto"/>
        <w:rPr>
          <w:rFonts w:ascii="宋体"/>
          <w:b/>
          <w:color w:val="000000"/>
          <w:sz w:val="24"/>
          <w:highlight w:val="none"/>
        </w:rPr>
      </w:pPr>
      <w:bookmarkStart w:id="496" w:name="_Toc228438084"/>
      <w:bookmarkStart w:id="497" w:name="_Toc162083538"/>
      <w:r>
        <w:rPr>
          <w:rFonts w:ascii="宋体" w:hAnsi="宋体"/>
          <w:b/>
          <w:color w:val="000000"/>
          <w:sz w:val="24"/>
          <w:highlight w:val="none"/>
        </w:rPr>
        <w:t>1</w:t>
      </w:r>
      <w:r>
        <w:rPr>
          <w:rFonts w:hint="eastAsia" w:ascii="宋体" w:hAnsi="宋体"/>
          <w:b/>
          <w:color w:val="000000"/>
          <w:sz w:val="24"/>
          <w:highlight w:val="none"/>
        </w:rPr>
        <w:t>．定义</w:t>
      </w:r>
      <w:bookmarkEnd w:id="496"/>
      <w:bookmarkEnd w:id="497"/>
    </w:p>
    <w:p>
      <w:pPr>
        <w:spacing w:line="360" w:lineRule="auto"/>
        <w:rPr>
          <w:rFonts w:ascii="宋体"/>
          <w:color w:val="000000"/>
          <w:sz w:val="24"/>
          <w:highlight w:val="none"/>
        </w:rPr>
      </w:pPr>
      <w:r>
        <w:rPr>
          <w:rFonts w:hint="eastAsia" w:ascii="宋体" w:hAnsi="宋体"/>
          <w:color w:val="000000"/>
          <w:sz w:val="24"/>
          <w:highlight w:val="none"/>
        </w:rPr>
        <w:t>本合同下列术语应解释为：</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（1）“合同”系指甲方和乙方（以下简称合同双方）签署的、合同格式中列明的合同双方所达成的协议，包括所有的附件、附录和构成合同的所有文件。</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）“合同价”系指根据合同规定，乙方在完全履行合同义务后甲方应付给乙方的价格。</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）“货物（含软件及相关服务）”系指乙方按合同要求，须向甲方提供的一切设备、机械、仪器、备件、工具、技术及手册等有关资料。</w:t>
      </w:r>
      <w:r>
        <w:rPr>
          <w:rFonts w:ascii="宋体" w:hAnsi="宋体"/>
          <w:color w:val="000000"/>
          <w:sz w:val="24"/>
          <w:highlight w:val="none"/>
        </w:rPr>
        <w:t>"</w:t>
      </w:r>
      <w:r>
        <w:rPr>
          <w:rFonts w:hint="eastAsia" w:ascii="宋体" w:hAnsi="宋体"/>
          <w:color w:val="000000"/>
          <w:sz w:val="24"/>
          <w:highlight w:val="none"/>
        </w:rPr>
        <w:t>工程</w:t>
      </w:r>
      <w:r>
        <w:rPr>
          <w:rFonts w:ascii="宋体" w:hAnsi="宋体"/>
          <w:color w:val="000000"/>
          <w:sz w:val="24"/>
          <w:highlight w:val="none"/>
        </w:rPr>
        <w:t>"</w:t>
      </w:r>
      <w:r>
        <w:rPr>
          <w:rFonts w:hint="eastAsia" w:ascii="宋体" w:hAnsi="宋体"/>
          <w:color w:val="000000"/>
          <w:sz w:val="24"/>
          <w:highlight w:val="none"/>
        </w:rPr>
        <w:t>系指按合同要求进行施工。</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）“服务”系指根据合同规定乙方承担与供货有关的所有辅助服务，如运输、保险以及其它的服务，如安装、调试、提供技术援助、培训及其他类似的义务。</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5</w:t>
      </w:r>
      <w:r>
        <w:rPr>
          <w:rFonts w:hint="eastAsia" w:ascii="宋体" w:hAnsi="宋体"/>
          <w:color w:val="000000"/>
          <w:sz w:val="24"/>
          <w:highlight w:val="none"/>
        </w:rPr>
        <w:t>）“甲方”系指购买货物（含软件及相关服务）的单位。</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6</w:t>
      </w:r>
      <w:r>
        <w:rPr>
          <w:rFonts w:hint="eastAsia" w:ascii="宋体" w:hAnsi="宋体"/>
          <w:color w:val="000000"/>
          <w:sz w:val="24"/>
          <w:highlight w:val="none"/>
        </w:rPr>
        <w:t>）“乙方”系指根据合同规定提供货物（含软件及相关服务）和服务的制造商或代理商。</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7</w:t>
      </w:r>
      <w:r>
        <w:rPr>
          <w:rFonts w:hint="eastAsia" w:ascii="宋体" w:hAnsi="宋体"/>
          <w:color w:val="000000"/>
          <w:sz w:val="24"/>
          <w:highlight w:val="none"/>
        </w:rPr>
        <w:t>）“现场”系指将要进行货物（含软件及相关服务）安装和调试的地点。</w:t>
      </w:r>
    </w:p>
    <w:p>
      <w:pPr>
        <w:spacing w:line="360" w:lineRule="auto"/>
        <w:rPr>
          <w:rFonts w:ascii="宋体"/>
          <w:b/>
          <w:color w:val="000000"/>
          <w:sz w:val="24"/>
          <w:highlight w:val="none"/>
        </w:rPr>
      </w:pPr>
      <w:bookmarkStart w:id="498" w:name="_Toc228438085"/>
      <w:bookmarkStart w:id="499" w:name="_Toc162083539"/>
      <w:r>
        <w:rPr>
          <w:rFonts w:ascii="宋体" w:hAnsi="宋体"/>
          <w:b/>
          <w:color w:val="000000"/>
          <w:sz w:val="24"/>
          <w:highlight w:val="none"/>
        </w:rPr>
        <w:t>2</w:t>
      </w:r>
      <w:r>
        <w:rPr>
          <w:rFonts w:hint="eastAsia" w:ascii="宋体" w:hAnsi="宋体"/>
          <w:b/>
          <w:color w:val="000000"/>
          <w:sz w:val="24"/>
          <w:highlight w:val="none"/>
        </w:rPr>
        <w:t>．技术规范</w:t>
      </w:r>
      <w:bookmarkEnd w:id="498"/>
      <w:bookmarkEnd w:id="499"/>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提交货物（含软件及相关服务）的技术规范应与招标文件的技术规范和技术规范附件（如果有的话）及其投标文件的规格响应表（如果被甲方接受的话）相一致。若技术规范中无相应说明，则以国家有关部门最新颁布的相应标准及规范为准。</w:t>
      </w:r>
    </w:p>
    <w:p>
      <w:pPr>
        <w:spacing w:line="360" w:lineRule="auto"/>
        <w:rPr>
          <w:rFonts w:ascii="宋体"/>
          <w:b/>
          <w:color w:val="000000"/>
          <w:sz w:val="24"/>
          <w:highlight w:val="none"/>
        </w:rPr>
      </w:pPr>
      <w:bookmarkStart w:id="500" w:name="_Toc228438086"/>
      <w:bookmarkStart w:id="501" w:name="_Toc162083540"/>
      <w:r>
        <w:rPr>
          <w:rFonts w:ascii="宋体" w:hAnsi="宋体"/>
          <w:b/>
          <w:color w:val="000000"/>
          <w:sz w:val="24"/>
          <w:highlight w:val="none"/>
        </w:rPr>
        <w:t>3</w:t>
      </w:r>
      <w:r>
        <w:rPr>
          <w:rFonts w:hint="eastAsia" w:ascii="宋体" w:hAnsi="宋体"/>
          <w:b/>
          <w:color w:val="000000"/>
          <w:sz w:val="24"/>
          <w:highlight w:val="none"/>
        </w:rPr>
        <w:t>．专利权</w:t>
      </w:r>
      <w:bookmarkEnd w:id="500"/>
      <w:bookmarkEnd w:id="501"/>
    </w:p>
    <w:p>
      <w:pPr>
        <w:spacing w:line="360" w:lineRule="auto"/>
        <w:ind w:firstLine="480" w:firstLineChars="200"/>
        <w:rPr>
          <w:rFonts w:ascii="宋体"/>
          <w:color w:val="000000"/>
          <w:sz w:val="24"/>
          <w:highlight w:val="none"/>
        </w:rPr>
      </w:pPr>
      <w:r>
        <w:rPr>
          <w:rFonts w:hint="eastAsia" w:ascii="宋体" w:hAnsi="宋体"/>
          <w:color w:val="000000"/>
          <w:sz w:val="24"/>
          <w:highlight w:val="none"/>
        </w:rPr>
        <w:t>乙方须保障甲方在使用该货物（含软件及相关服务）或其任何一部分时不受到第三方关于侵犯专利权、商标权、版权、专有技术等权利的指控。如果任何第三方提出侵权指控，乙方须与第三方交涉并承担可能发生的一切损失和费用。</w:t>
      </w:r>
    </w:p>
    <w:p>
      <w:pPr>
        <w:spacing w:line="360" w:lineRule="auto"/>
        <w:rPr>
          <w:rFonts w:ascii="宋体"/>
          <w:b/>
          <w:color w:val="000000"/>
          <w:sz w:val="24"/>
          <w:highlight w:val="none"/>
        </w:rPr>
      </w:pPr>
      <w:bookmarkStart w:id="502" w:name="_Toc162083541"/>
      <w:bookmarkStart w:id="503" w:name="_Toc228438087"/>
      <w:r>
        <w:rPr>
          <w:rFonts w:ascii="宋体" w:hAnsi="宋体"/>
          <w:b/>
          <w:color w:val="000000"/>
          <w:sz w:val="24"/>
          <w:highlight w:val="none"/>
        </w:rPr>
        <w:t>4</w:t>
      </w:r>
      <w:r>
        <w:rPr>
          <w:rFonts w:hint="eastAsia" w:ascii="宋体" w:hAnsi="宋体"/>
          <w:b/>
          <w:color w:val="000000"/>
          <w:sz w:val="24"/>
          <w:highlight w:val="none"/>
        </w:rPr>
        <w:t>．包装要求</w:t>
      </w:r>
      <w:bookmarkEnd w:id="502"/>
      <w:bookmarkEnd w:id="503"/>
    </w:p>
    <w:p>
      <w:pPr>
        <w:spacing w:line="360" w:lineRule="auto"/>
        <w:ind w:firstLine="480" w:firstLineChars="200"/>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除合同另有规定外，乙方提供的全部货物（含软件及相关服务），均应采用相应的标准保护措施进行包装，使包装适应于远距离运输、防潮、防震、防锈和防粗暴装卸，确保货物（含软件及相关服务）安全无损运抵现场。由于包装不善所引起的货物（含软件及相关服务）锈蚀、损坏和损失均由乙方承担。</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4.2 </w:t>
      </w:r>
      <w:r>
        <w:rPr>
          <w:rFonts w:hint="eastAsia" w:ascii="宋体" w:hAnsi="宋体"/>
          <w:color w:val="000000"/>
          <w:sz w:val="24"/>
          <w:highlight w:val="none"/>
        </w:rPr>
        <w:t>每件包装箱内应附一份详细装箱单和质量合格证。</w:t>
      </w:r>
    </w:p>
    <w:p>
      <w:pPr>
        <w:spacing w:line="360" w:lineRule="auto"/>
        <w:rPr>
          <w:rFonts w:ascii="宋体"/>
          <w:b/>
          <w:color w:val="000000"/>
          <w:sz w:val="24"/>
          <w:highlight w:val="none"/>
        </w:rPr>
      </w:pPr>
      <w:r>
        <w:rPr>
          <w:rFonts w:ascii="宋体" w:hAnsi="宋体"/>
          <w:b/>
          <w:color w:val="000000"/>
          <w:sz w:val="24"/>
          <w:highlight w:val="none"/>
        </w:rPr>
        <w:t>5</w:t>
      </w:r>
      <w:r>
        <w:rPr>
          <w:rFonts w:hint="eastAsia" w:ascii="宋体" w:hAnsi="宋体"/>
          <w:b/>
          <w:color w:val="000000"/>
          <w:sz w:val="24"/>
          <w:highlight w:val="none"/>
        </w:rPr>
        <w:t>．装运标志</w:t>
      </w:r>
    </w:p>
    <w:p>
      <w:pPr>
        <w:spacing w:line="360" w:lineRule="auto"/>
        <w:ind w:firstLine="360" w:firstLineChars="150"/>
        <w:rPr>
          <w:rFonts w:ascii="宋体"/>
          <w:color w:val="000000"/>
          <w:sz w:val="24"/>
          <w:highlight w:val="none"/>
        </w:rPr>
      </w:pPr>
      <w:r>
        <w:rPr>
          <w:rFonts w:ascii="宋体" w:hAnsi="宋体"/>
          <w:color w:val="000000"/>
          <w:sz w:val="24"/>
          <w:highlight w:val="none"/>
        </w:rPr>
        <w:t xml:space="preserve"> 5.1 </w:t>
      </w:r>
      <w:r>
        <w:rPr>
          <w:rFonts w:hint="eastAsia" w:ascii="宋体" w:hAnsi="宋体"/>
          <w:color w:val="000000"/>
          <w:sz w:val="24"/>
          <w:highlight w:val="none"/>
        </w:rPr>
        <w:t>乙方应在每一包装箱邻接的四侧用不褪色的油漆以醒目的中文字样做出下列标记：</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（1）收货人</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）合同号</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）装运标志</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4</w:t>
      </w:r>
      <w:r>
        <w:rPr>
          <w:rFonts w:hint="eastAsia" w:ascii="宋体" w:hAnsi="宋体"/>
          <w:color w:val="000000"/>
          <w:sz w:val="24"/>
          <w:highlight w:val="none"/>
        </w:rPr>
        <w:t>）收货人代号</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5</w:t>
      </w:r>
      <w:r>
        <w:rPr>
          <w:rFonts w:hint="eastAsia" w:ascii="宋体" w:hAnsi="宋体"/>
          <w:color w:val="000000"/>
          <w:sz w:val="24"/>
          <w:highlight w:val="none"/>
        </w:rPr>
        <w:t>）目的地</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6</w:t>
      </w:r>
      <w:r>
        <w:rPr>
          <w:rFonts w:hint="eastAsia" w:ascii="宋体" w:hAnsi="宋体"/>
          <w:color w:val="000000"/>
          <w:sz w:val="24"/>
          <w:highlight w:val="none"/>
        </w:rPr>
        <w:t>）货物（含软件及相关服务）名称、品目号和箱号</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7</w:t>
      </w:r>
      <w:r>
        <w:rPr>
          <w:rFonts w:hint="eastAsia" w:ascii="宋体" w:hAnsi="宋体"/>
          <w:color w:val="000000"/>
          <w:sz w:val="24"/>
          <w:highlight w:val="none"/>
        </w:rPr>
        <w:t>）毛重／净重</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8</w:t>
      </w:r>
      <w:r>
        <w:rPr>
          <w:rFonts w:hint="eastAsia" w:ascii="宋体" w:hAnsi="宋体"/>
          <w:color w:val="000000"/>
          <w:sz w:val="24"/>
          <w:highlight w:val="none"/>
        </w:rPr>
        <w:t>）尺寸（长</w:t>
      </w:r>
      <w:r>
        <w:rPr>
          <w:rFonts w:ascii="宋体" w:hAnsi="宋体"/>
          <w:color w:val="000000"/>
          <w:sz w:val="24"/>
          <w:highlight w:val="none"/>
        </w:rPr>
        <w:t>X</w:t>
      </w:r>
      <w:r>
        <w:rPr>
          <w:rFonts w:hint="eastAsia" w:ascii="宋体" w:hAnsi="宋体"/>
          <w:color w:val="000000"/>
          <w:sz w:val="24"/>
          <w:highlight w:val="none"/>
        </w:rPr>
        <w:t>宽</w:t>
      </w:r>
      <w:r>
        <w:rPr>
          <w:rFonts w:ascii="宋体" w:hAnsi="宋体"/>
          <w:color w:val="000000"/>
          <w:sz w:val="24"/>
          <w:highlight w:val="none"/>
        </w:rPr>
        <w:t>X</w:t>
      </w:r>
      <w:r>
        <w:rPr>
          <w:rFonts w:hint="eastAsia" w:ascii="宋体" w:hAnsi="宋体"/>
          <w:color w:val="000000"/>
          <w:sz w:val="24"/>
          <w:highlight w:val="none"/>
        </w:rPr>
        <w:t>高，以厘米计）</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5.2 </w:t>
      </w:r>
      <w:r>
        <w:rPr>
          <w:rFonts w:hint="eastAsia" w:ascii="宋体" w:hAnsi="宋体"/>
          <w:color w:val="000000"/>
          <w:sz w:val="24"/>
          <w:highlight w:val="none"/>
        </w:rPr>
        <w:t>如果货物（含软件及相关服务）单件重量在两吨或两吨以上，乙方应在每件包装箱的两侧用中文和适当的运输标志标明“重心”和“吊装点”，以便装卸和搬运。根据货物（含软件及相关服务）的特点和运输的不同要求，乙方应在包装箱上清楚地标有‘小心轻放”、“勿倒置”、“防潮”等字样和其他适当的标记。</w:t>
      </w:r>
    </w:p>
    <w:p>
      <w:pPr>
        <w:spacing w:line="360" w:lineRule="auto"/>
        <w:ind w:firstLine="480" w:firstLineChars="200"/>
        <w:rPr>
          <w:rFonts w:ascii="宋体"/>
          <w:color w:val="000000"/>
          <w:sz w:val="24"/>
          <w:highlight w:val="none"/>
        </w:rPr>
      </w:pPr>
      <w:r>
        <w:rPr>
          <w:rFonts w:ascii="宋体" w:hAnsi="宋体"/>
          <w:color w:val="000000"/>
          <w:sz w:val="24"/>
          <w:highlight w:val="none"/>
        </w:rPr>
        <w:t>5.3</w:t>
      </w:r>
      <w:r>
        <w:rPr>
          <w:rFonts w:hint="eastAsia" w:ascii="宋体" w:hAnsi="宋体"/>
          <w:color w:val="000000"/>
          <w:sz w:val="24"/>
          <w:highlight w:val="none"/>
        </w:rPr>
        <w:t>因缺少装运标志或者装运标志不明确导致货物在运输、装卸过程中产生的损失，乙方应承担相应的过错责任。</w:t>
      </w:r>
    </w:p>
    <w:p>
      <w:pPr>
        <w:spacing w:line="360" w:lineRule="auto"/>
        <w:rPr>
          <w:rFonts w:ascii="宋体"/>
          <w:b/>
          <w:color w:val="000000"/>
          <w:sz w:val="24"/>
          <w:highlight w:val="none"/>
        </w:rPr>
      </w:pPr>
      <w:bookmarkStart w:id="504" w:name="_Toc162083543"/>
      <w:bookmarkStart w:id="505" w:name="_Toc228438089"/>
      <w:r>
        <w:rPr>
          <w:rFonts w:ascii="宋体" w:hAnsi="宋体"/>
          <w:b/>
          <w:color w:val="000000"/>
          <w:sz w:val="24"/>
          <w:highlight w:val="none"/>
        </w:rPr>
        <w:t>6</w:t>
      </w:r>
      <w:r>
        <w:rPr>
          <w:rFonts w:hint="eastAsia" w:ascii="宋体" w:hAnsi="宋体"/>
          <w:b/>
          <w:color w:val="000000"/>
          <w:sz w:val="24"/>
          <w:highlight w:val="none"/>
        </w:rPr>
        <w:t>．交货方式</w:t>
      </w:r>
      <w:bookmarkEnd w:id="504"/>
      <w:bookmarkEnd w:id="505"/>
    </w:p>
    <w:p>
      <w:pPr>
        <w:spacing w:line="360" w:lineRule="auto"/>
        <w:ind w:firstLine="480" w:firstLineChars="200"/>
        <w:rPr>
          <w:rFonts w:ascii="宋体"/>
          <w:color w:val="000000"/>
          <w:sz w:val="24"/>
          <w:highlight w:val="none"/>
        </w:rPr>
      </w:pPr>
      <w:r>
        <w:rPr>
          <w:rFonts w:ascii="宋体" w:hAnsi="宋体"/>
          <w:color w:val="000000"/>
          <w:sz w:val="24"/>
          <w:highlight w:val="none"/>
        </w:rPr>
        <w:t>6.</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交货方式一般为下列其中一种，具体在合同专用条款中规定。</w:t>
      </w:r>
    </w:p>
    <w:p>
      <w:pPr>
        <w:spacing w:line="360" w:lineRule="auto"/>
        <w:ind w:firstLine="480" w:firstLineChars="200"/>
        <w:rPr>
          <w:rFonts w:ascii="宋体"/>
          <w:color w:val="000000"/>
          <w:sz w:val="24"/>
          <w:highlight w:val="none"/>
        </w:rPr>
      </w:pPr>
      <w:r>
        <w:rPr>
          <w:rFonts w:ascii="宋体" w:hAnsi="宋体"/>
          <w:color w:val="000000"/>
          <w:sz w:val="24"/>
          <w:highlight w:val="none"/>
        </w:rPr>
        <w:t>6.1.</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现场交货：乙方负责办理运输和保险，将货物（含软件及相关服务）运抵现场。有关运输和保险的一切费用由乙方承担。所有货物（含软件及相关服务）运抵现扬的日期为交货日期。</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6.1.2 </w:t>
      </w:r>
      <w:r>
        <w:rPr>
          <w:rFonts w:hint="eastAsia" w:ascii="宋体" w:hAnsi="宋体"/>
          <w:color w:val="000000"/>
          <w:sz w:val="24"/>
          <w:highlight w:val="none"/>
        </w:rPr>
        <w:t>工厂交货：由乙方负责办理运输和保险事宜。运输费和保险费由甲方承担。运输部门出具收据的日期为交货日期。</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6.1.3 </w:t>
      </w:r>
      <w:r>
        <w:rPr>
          <w:rFonts w:hint="eastAsia" w:ascii="宋体" w:hAnsi="宋体"/>
          <w:color w:val="000000"/>
          <w:sz w:val="24"/>
          <w:highlight w:val="none"/>
        </w:rPr>
        <w:t>甲方自提货物（含软件及相关服务）：由甲方在合同规定地点自行办理提货。提单日期为交货日期。</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6.2 </w:t>
      </w:r>
      <w:r>
        <w:rPr>
          <w:rFonts w:hint="eastAsia" w:ascii="宋体" w:hAnsi="宋体"/>
          <w:color w:val="000000"/>
          <w:sz w:val="24"/>
          <w:highlight w:val="none"/>
        </w:rPr>
        <w:t>乙方应在合同规定的交货期前</w:t>
      </w:r>
      <w:r>
        <w:rPr>
          <w:rFonts w:ascii="宋体" w:hAnsi="宋体"/>
          <w:color w:val="000000"/>
          <w:sz w:val="24"/>
          <w:highlight w:val="none"/>
        </w:rPr>
        <w:t>30</w:t>
      </w:r>
      <w:r>
        <w:rPr>
          <w:rFonts w:hint="eastAsia" w:ascii="宋体" w:hAnsi="宋体"/>
          <w:color w:val="000000"/>
          <w:sz w:val="24"/>
          <w:highlight w:val="none"/>
        </w:rPr>
        <w:t>天以电报、传真或电传形式将合同号、货物（含软件及相关服务）名称、数量、包装箱件数、总毛重、总体积（立方米）和备妥交货日期通知甲方。同时乙方应用挂号信将详细交货清单一式六份包括合同号、货物（含软件及相关服务）名称、规格、数量、总毛重、总体积（立方米）、包装箱件数和每个包装箱的尺寸（长×宽×高）、单价、总价和备妥待交日期以及对货物（含软件及相关服务）在运输和仓储的特殊要求和注意事项通知甲方。</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6.3 </w:t>
      </w:r>
      <w:r>
        <w:rPr>
          <w:rFonts w:hint="eastAsia" w:ascii="宋体" w:hAnsi="宋体"/>
          <w:color w:val="000000"/>
          <w:sz w:val="24"/>
          <w:highlight w:val="none"/>
        </w:rPr>
        <w:t>在现场交货和工厂交货条件下，乙方装运的货物（含软件及相关服务）不应超过合同规定的数量或重量。否则，乙方应对超运部分的数量或重量而引起的一切后果负责。</w:t>
      </w:r>
    </w:p>
    <w:p>
      <w:pPr>
        <w:spacing w:line="360" w:lineRule="auto"/>
        <w:rPr>
          <w:rFonts w:ascii="宋体"/>
          <w:b/>
          <w:color w:val="000000"/>
          <w:sz w:val="24"/>
          <w:highlight w:val="none"/>
        </w:rPr>
      </w:pPr>
      <w:bookmarkStart w:id="506" w:name="_Toc228438090"/>
      <w:bookmarkStart w:id="507" w:name="_Toc162083544"/>
      <w:r>
        <w:rPr>
          <w:rFonts w:ascii="宋体" w:hAnsi="宋体"/>
          <w:b/>
          <w:color w:val="000000"/>
          <w:sz w:val="24"/>
          <w:highlight w:val="none"/>
        </w:rPr>
        <w:t>7</w:t>
      </w:r>
      <w:r>
        <w:rPr>
          <w:rFonts w:hint="eastAsia" w:ascii="宋体" w:hAnsi="宋体"/>
          <w:b/>
          <w:color w:val="000000"/>
          <w:sz w:val="24"/>
          <w:highlight w:val="none"/>
        </w:rPr>
        <w:t>．装运通知</w:t>
      </w:r>
      <w:bookmarkEnd w:id="506"/>
      <w:bookmarkEnd w:id="507"/>
    </w:p>
    <w:p>
      <w:pPr>
        <w:spacing w:line="360" w:lineRule="auto"/>
        <w:ind w:firstLine="480" w:firstLineChars="200"/>
        <w:rPr>
          <w:rFonts w:ascii="宋体"/>
          <w:color w:val="000000"/>
          <w:sz w:val="24"/>
          <w:highlight w:val="none"/>
        </w:rPr>
      </w:pPr>
      <w:r>
        <w:rPr>
          <w:rFonts w:hint="eastAsia" w:ascii="宋体" w:hAnsi="宋体"/>
          <w:color w:val="000000"/>
          <w:sz w:val="24"/>
          <w:highlight w:val="none"/>
        </w:rPr>
        <w:t>现场交货或工厂交货条件下的货物（含软件及相关服务），在乙方已通知甲方货物（含软件及相关服务）已备妥待运输后24小时之内，乙方应将合同号、货名、数量、毛重、总体积（立方米）、发票金额、运输工具名称及启运日期，以电报、传真或电传通知甲方。如因乙方延误将上述内容用电报、传真或电传通知甲方，由此引起的一切损失应由乙方负担。</w:t>
      </w:r>
    </w:p>
    <w:p>
      <w:pPr>
        <w:spacing w:line="360" w:lineRule="auto"/>
        <w:rPr>
          <w:rFonts w:ascii="宋体"/>
          <w:b/>
          <w:color w:val="000000"/>
          <w:sz w:val="24"/>
          <w:highlight w:val="none"/>
        </w:rPr>
      </w:pPr>
      <w:bookmarkStart w:id="508" w:name="_Toc228438091"/>
      <w:bookmarkStart w:id="509" w:name="_Toc162083545"/>
      <w:r>
        <w:rPr>
          <w:rFonts w:ascii="宋体" w:hAnsi="宋体"/>
          <w:b/>
          <w:color w:val="000000"/>
          <w:sz w:val="24"/>
          <w:highlight w:val="none"/>
        </w:rPr>
        <w:t>8</w:t>
      </w:r>
      <w:r>
        <w:rPr>
          <w:rFonts w:hint="eastAsia" w:ascii="宋体" w:hAnsi="宋体"/>
          <w:b/>
          <w:color w:val="000000"/>
          <w:sz w:val="24"/>
          <w:highlight w:val="none"/>
        </w:rPr>
        <w:t>．保险</w:t>
      </w:r>
      <w:bookmarkEnd w:id="508"/>
      <w:bookmarkEnd w:id="509"/>
    </w:p>
    <w:p>
      <w:pPr>
        <w:spacing w:line="360" w:lineRule="auto"/>
        <w:ind w:firstLine="480" w:firstLineChars="200"/>
        <w:rPr>
          <w:rFonts w:ascii="宋体"/>
          <w:color w:val="000000"/>
          <w:sz w:val="24"/>
          <w:highlight w:val="none"/>
        </w:rPr>
      </w:pPr>
      <w:r>
        <w:rPr>
          <w:rFonts w:hint="eastAsia" w:ascii="宋体" w:hAnsi="宋体"/>
          <w:color w:val="000000"/>
          <w:sz w:val="24"/>
          <w:highlight w:val="none"/>
        </w:rPr>
        <w:t>如果货物（含软件及相关服务）是按现场交货方式报价的，由乙方办理货物（含软件及相关服务）运抵现场这一段的保险，保险以人民币按照发票金额的</w:t>
      </w:r>
      <w:r>
        <w:rPr>
          <w:rFonts w:ascii="宋体" w:hAnsi="宋体"/>
          <w:color w:val="000000"/>
          <w:sz w:val="24"/>
          <w:highlight w:val="none"/>
        </w:rPr>
        <w:t>110</w:t>
      </w:r>
      <w:r>
        <w:rPr>
          <w:rFonts w:hint="eastAsia" w:ascii="宋体" w:hAnsi="宋体"/>
          <w:color w:val="000000"/>
          <w:sz w:val="24"/>
          <w:highlight w:val="none"/>
        </w:rPr>
        <w:t>％投保“一切险”，保险范围包括乙方承诺装运的货物（含软件及相关服务）；如果货物（含软件及相关服务）是按工厂交货或甲方自提货物（含软件及相关服务）方式报价的，其保险由甲方办理。</w:t>
      </w:r>
    </w:p>
    <w:p>
      <w:pPr>
        <w:spacing w:line="360" w:lineRule="auto"/>
        <w:rPr>
          <w:rFonts w:ascii="宋体"/>
          <w:b/>
          <w:color w:val="000000"/>
          <w:sz w:val="24"/>
          <w:highlight w:val="none"/>
        </w:rPr>
      </w:pPr>
      <w:bookmarkStart w:id="510" w:name="_Toc228438092"/>
      <w:bookmarkStart w:id="511" w:name="_Toc162083546"/>
      <w:r>
        <w:rPr>
          <w:rFonts w:ascii="宋体" w:hAnsi="宋体"/>
          <w:b/>
          <w:color w:val="000000"/>
          <w:sz w:val="24"/>
          <w:highlight w:val="none"/>
        </w:rPr>
        <w:t>9</w:t>
      </w:r>
      <w:r>
        <w:rPr>
          <w:rFonts w:hint="eastAsia" w:ascii="宋体" w:hAnsi="宋体"/>
          <w:b/>
          <w:color w:val="000000"/>
          <w:sz w:val="24"/>
          <w:highlight w:val="none"/>
        </w:rPr>
        <w:t>．付款方式</w:t>
      </w:r>
      <w:bookmarkEnd w:id="510"/>
      <w:bookmarkEnd w:id="511"/>
    </w:p>
    <w:p>
      <w:pPr>
        <w:spacing w:line="360" w:lineRule="auto"/>
        <w:ind w:firstLine="480" w:firstLineChars="200"/>
        <w:rPr>
          <w:rFonts w:ascii="宋体"/>
          <w:color w:val="000000"/>
          <w:sz w:val="24"/>
          <w:highlight w:val="none"/>
        </w:rPr>
      </w:pPr>
      <w:r>
        <w:rPr>
          <w:rFonts w:hint="eastAsia" w:ascii="宋体" w:hAnsi="宋体"/>
          <w:color w:val="000000"/>
          <w:sz w:val="24"/>
          <w:highlight w:val="none"/>
        </w:rPr>
        <w:t>付款方式见合同专用条款。</w:t>
      </w:r>
    </w:p>
    <w:p>
      <w:pPr>
        <w:spacing w:line="360" w:lineRule="auto"/>
        <w:rPr>
          <w:rFonts w:ascii="宋体"/>
          <w:b/>
          <w:color w:val="000000"/>
          <w:sz w:val="24"/>
          <w:highlight w:val="none"/>
        </w:rPr>
      </w:pPr>
      <w:bookmarkStart w:id="512" w:name="_Toc162083547"/>
      <w:bookmarkStart w:id="513" w:name="_Toc228438093"/>
      <w:r>
        <w:rPr>
          <w:rFonts w:ascii="宋体" w:hAnsi="宋体"/>
          <w:b/>
          <w:color w:val="000000"/>
          <w:sz w:val="24"/>
          <w:highlight w:val="none"/>
        </w:rPr>
        <w:t>10</w:t>
      </w:r>
      <w:r>
        <w:rPr>
          <w:rFonts w:hint="eastAsia" w:ascii="宋体" w:hAnsi="宋体"/>
          <w:b/>
          <w:color w:val="000000"/>
          <w:sz w:val="24"/>
          <w:highlight w:val="none"/>
        </w:rPr>
        <w:t>．技术资料</w:t>
      </w:r>
      <w:bookmarkEnd w:id="512"/>
      <w:bookmarkEnd w:id="513"/>
    </w:p>
    <w:p>
      <w:pPr>
        <w:spacing w:line="360" w:lineRule="auto"/>
        <w:ind w:firstLine="480" w:firstLineChars="200"/>
        <w:rPr>
          <w:rFonts w:ascii="宋体"/>
          <w:color w:val="000000"/>
          <w:sz w:val="24"/>
          <w:highlight w:val="none"/>
        </w:rPr>
      </w:pPr>
      <w:r>
        <w:rPr>
          <w:rFonts w:hint="eastAsia" w:ascii="宋体" w:hAnsi="宋体"/>
          <w:color w:val="000000"/>
          <w:sz w:val="24"/>
          <w:highlight w:val="none"/>
        </w:rPr>
        <w:t>合同项下技术资料（除合同专用条款规定外）将以下列方式交付：</w:t>
      </w:r>
    </w:p>
    <w:p>
      <w:pPr>
        <w:spacing w:line="360" w:lineRule="auto"/>
        <w:ind w:firstLine="480" w:firstLineChars="200"/>
        <w:rPr>
          <w:rFonts w:ascii="宋体"/>
          <w:color w:val="000000"/>
          <w:sz w:val="24"/>
          <w:highlight w:val="none"/>
        </w:rPr>
      </w:pPr>
      <w:r>
        <w:rPr>
          <w:rFonts w:ascii="宋体" w:hAnsi="宋体"/>
          <w:color w:val="000000"/>
          <w:sz w:val="24"/>
          <w:highlight w:val="none"/>
        </w:rPr>
        <w:t>10.</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合同生效后90天之内，乙方应将每台设备和仪器的中文技术资料一套，如目录索引、图纸、操作手册、使用指南、维修指南和服务手册等交给甲方。</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10.2 </w:t>
      </w:r>
      <w:r>
        <w:rPr>
          <w:rFonts w:hint="eastAsia" w:ascii="宋体" w:hAnsi="宋体"/>
          <w:color w:val="000000"/>
          <w:sz w:val="24"/>
          <w:highlight w:val="none"/>
        </w:rPr>
        <w:t>另外一套完整的上述资料应包装好随每批货物（含软件及相关服务）一起发运。</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10.3 </w:t>
      </w:r>
      <w:r>
        <w:rPr>
          <w:rFonts w:hint="eastAsia" w:ascii="宋体" w:hAnsi="宋体"/>
          <w:color w:val="000000"/>
          <w:sz w:val="24"/>
          <w:highlight w:val="none"/>
        </w:rPr>
        <w:t>如果甲方确认乙方提供的技术资料不完整或在运输过程中丢失，乙方将在收到甲方通知后</w:t>
      </w:r>
      <w:r>
        <w:rPr>
          <w:rFonts w:ascii="宋体" w:hAnsi="宋体"/>
          <w:color w:val="000000"/>
          <w:sz w:val="24"/>
          <w:highlight w:val="none"/>
        </w:rPr>
        <w:t>3</w:t>
      </w:r>
      <w:r>
        <w:rPr>
          <w:rFonts w:hint="eastAsia" w:ascii="宋体" w:hAnsi="宋体"/>
          <w:color w:val="000000"/>
          <w:sz w:val="24"/>
          <w:highlight w:val="none"/>
        </w:rPr>
        <w:t>天内将这些资料免费交给甲方。</w:t>
      </w:r>
    </w:p>
    <w:p>
      <w:pPr>
        <w:spacing w:line="360" w:lineRule="auto"/>
        <w:rPr>
          <w:rFonts w:ascii="宋体"/>
          <w:b/>
          <w:color w:val="000000"/>
          <w:sz w:val="24"/>
          <w:highlight w:val="none"/>
        </w:rPr>
      </w:pPr>
      <w:bookmarkStart w:id="514" w:name="_Toc228438094"/>
      <w:bookmarkStart w:id="515" w:name="_Toc162083548"/>
      <w:r>
        <w:rPr>
          <w:rFonts w:ascii="宋体" w:hAnsi="宋体"/>
          <w:b/>
          <w:color w:val="000000"/>
          <w:sz w:val="24"/>
          <w:highlight w:val="none"/>
        </w:rPr>
        <w:t>11</w:t>
      </w:r>
      <w:r>
        <w:rPr>
          <w:rFonts w:hint="eastAsia" w:ascii="宋体" w:hAnsi="宋体"/>
          <w:b/>
          <w:color w:val="000000"/>
          <w:sz w:val="24"/>
          <w:highlight w:val="none"/>
        </w:rPr>
        <w:t>．质量保证</w:t>
      </w:r>
      <w:bookmarkEnd w:id="514"/>
      <w:bookmarkEnd w:id="515"/>
    </w:p>
    <w:p>
      <w:pPr>
        <w:spacing w:line="360" w:lineRule="auto"/>
        <w:ind w:firstLine="480" w:firstLineChars="200"/>
        <w:rPr>
          <w:rFonts w:ascii="宋体"/>
          <w:color w:val="000000"/>
          <w:sz w:val="24"/>
          <w:highlight w:val="none"/>
        </w:rPr>
      </w:pPr>
      <w:r>
        <w:rPr>
          <w:rFonts w:ascii="宋体" w:hAnsi="宋体"/>
          <w:color w:val="000000"/>
          <w:sz w:val="24"/>
          <w:highlight w:val="none"/>
        </w:rPr>
        <w:t>11.</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乙方应保证货物（含软件及相关服务）是全新的，未使用过的，是用一流的工艺和最佳材料制造而成的，并完全符合合同规定的质量、规格和性能要求。乙方应保证所提供的货物（含软件及相关服务）经正确安装、正常运转和保养在其使用寿命期内应具有满意的性能。在货物（含软件及相关服务）质量保证期内，乙方应对由于设计、工艺或材料的缺陷而造成的任何不足或故障负责。</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11.2 </w:t>
      </w:r>
      <w:r>
        <w:rPr>
          <w:rFonts w:hint="eastAsia" w:ascii="宋体" w:hAnsi="宋体"/>
          <w:color w:val="000000"/>
          <w:sz w:val="24"/>
          <w:highlight w:val="none"/>
        </w:rPr>
        <w:t>根据甲方按检验标准自己检验的结果或当地商检部门检验结果，或者在质量保证期内，如果货物（含软件及相关服务）的数量、质量或规格与合同不符，或证实货物（含软件及相关服务）是有缺陷的，包括潜在缺陷或使用不符合要求的材料等，甲方应在一个月内以书面形式通知乙方，提出索赔。</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11.3 </w:t>
      </w:r>
      <w:r>
        <w:rPr>
          <w:rFonts w:hint="eastAsia" w:ascii="宋体" w:hAnsi="宋体"/>
          <w:color w:val="000000"/>
          <w:sz w:val="24"/>
          <w:highlight w:val="none"/>
        </w:rPr>
        <w:t>乙方在收到通知后三十天内应免费维修或更换有缺陷的货物（含软件及相关服务）或部件。</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11.4 </w:t>
      </w:r>
      <w:r>
        <w:rPr>
          <w:rFonts w:hint="eastAsia" w:ascii="宋体" w:hAnsi="宋体"/>
          <w:color w:val="000000"/>
          <w:sz w:val="24"/>
          <w:highlight w:val="none"/>
        </w:rPr>
        <w:t>如果乙方在收到通知后三十天内没有弥补缺陷，甲方可采取必要的补救措施，但风险和费用将由乙方承担。</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11.5 </w:t>
      </w:r>
      <w:r>
        <w:rPr>
          <w:rFonts w:hint="eastAsia" w:ascii="宋体" w:hAnsi="宋体"/>
          <w:color w:val="000000"/>
          <w:sz w:val="24"/>
          <w:highlight w:val="none"/>
        </w:rPr>
        <w:t>除合同专用条款规定外，合同项下货物（含软件及相关服务）的质量保证期为自货物（含软件及相关服务）通过最终验收起</w:t>
      </w:r>
      <w:r>
        <w:rPr>
          <w:rFonts w:hint="eastAsia" w:ascii="宋体" w:hAnsi="宋体"/>
          <w:color w:val="000000"/>
          <w:sz w:val="24"/>
          <w:highlight w:val="none"/>
          <w:lang w:val="en-US" w:eastAsia="zh-CN"/>
        </w:rPr>
        <w:t>24</w:t>
      </w:r>
      <w:r>
        <w:rPr>
          <w:rFonts w:hint="eastAsia" w:ascii="宋体" w:hAnsi="宋体"/>
          <w:color w:val="000000"/>
          <w:sz w:val="24"/>
          <w:highlight w:val="none"/>
        </w:rPr>
        <w:t>个月。</w:t>
      </w:r>
    </w:p>
    <w:p>
      <w:pPr>
        <w:spacing w:line="360" w:lineRule="auto"/>
        <w:rPr>
          <w:rFonts w:ascii="宋体"/>
          <w:b/>
          <w:color w:val="000000"/>
          <w:sz w:val="24"/>
          <w:highlight w:val="none"/>
        </w:rPr>
      </w:pPr>
      <w:bookmarkStart w:id="516" w:name="_Toc162083549"/>
      <w:bookmarkStart w:id="517" w:name="_Toc228438095"/>
      <w:r>
        <w:rPr>
          <w:rFonts w:ascii="宋体" w:hAnsi="宋体"/>
          <w:b/>
          <w:color w:val="000000"/>
          <w:sz w:val="24"/>
          <w:highlight w:val="none"/>
        </w:rPr>
        <w:t xml:space="preserve">12. </w:t>
      </w:r>
      <w:r>
        <w:rPr>
          <w:rFonts w:hint="eastAsia" w:ascii="宋体" w:hAnsi="宋体"/>
          <w:b/>
          <w:color w:val="000000"/>
          <w:sz w:val="24"/>
          <w:highlight w:val="none"/>
        </w:rPr>
        <w:t>检验及安装</w:t>
      </w:r>
      <w:bookmarkEnd w:id="516"/>
      <w:bookmarkEnd w:id="517"/>
    </w:p>
    <w:p>
      <w:pPr>
        <w:spacing w:line="360" w:lineRule="auto"/>
        <w:ind w:firstLine="480" w:firstLineChars="200"/>
        <w:rPr>
          <w:rFonts w:ascii="宋体"/>
          <w:color w:val="000000"/>
          <w:sz w:val="24"/>
          <w:highlight w:val="none"/>
        </w:rPr>
      </w:pPr>
      <w:r>
        <w:rPr>
          <w:rFonts w:ascii="宋体" w:hAnsi="宋体"/>
          <w:color w:val="000000"/>
          <w:sz w:val="24"/>
          <w:highlight w:val="none"/>
        </w:rPr>
        <w:t>12.</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在交货前，制造商应对货物（含软件及相关服务）的质量、规格、性能、数量和重量等进行详细而全面的检验，并出具一份证明货物（含软件及相关服务）符合合同规定的证书。该证书将作为申请付款单据的一部分，但有关质量、规格、性能、数量或重量的检验不应视为最终检验。制造商检验的结果和细节应在证书中加以说明。</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12.2 </w:t>
      </w:r>
      <w:r>
        <w:rPr>
          <w:rFonts w:hint="eastAsia" w:ascii="宋体" w:hAnsi="宋体"/>
          <w:color w:val="000000"/>
          <w:sz w:val="24"/>
          <w:highlight w:val="none"/>
        </w:rPr>
        <w:t>货物（含软件及相关服务）运抵现场后，甲方将对货物（含软件及相关服务）的质量、规格、数量和重量进行检验，并出具检验证书。如发现货物（含软件及相关服务）的规格或数量或两者都与合同不符，甲方有权在货物（含软件及相关服务）运抵现场后</w:t>
      </w:r>
      <w:r>
        <w:rPr>
          <w:rFonts w:ascii="宋体" w:hAnsi="宋体"/>
          <w:color w:val="000000"/>
          <w:sz w:val="24"/>
          <w:highlight w:val="none"/>
        </w:rPr>
        <w:t>90</w:t>
      </w:r>
      <w:r>
        <w:rPr>
          <w:rFonts w:hint="eastAsia" w:ascii="宋体" w:hAnsi="宋体"/>
          <w:color w:val="000000"/>
          <w:sz w:val="24"/>
          <w:highlight w:val="none"/>
        </w:rPr>
        <w:t>天内，根据甲方按检验标准自己检验的结果或当地商检部门出具的检验证书向乙方提出索赔，除责任由保险公司或运输部门承担的之外。</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12.3 </w:t>
      </w:r>
      <w:r>
        <w:rPr>
          <w:rFonts w:hint="eastAsia" w:ascii="宋体" w:hAnsi="宋体"/>
          <w:color w:val="000000"/>
          <w:sz w:val="24"/>
          <w:highlight w:val="none"/>
        </w:rPr>
        <w:t>如果货物（含软件及相关服务）的质量和规格与合同不符，或在第</w:t>
      </w:r>
      <w:r>
        <w:rPr>
          <w:rFonts w:ascii="宋体" w:hAnsi="宋体"/>
          <w:color w:val="000000"/>
          <w:sz w:val="24"/>
          <w:highlight w:val="none"/>
        </w:rPr>
        <w:t>11</w:t>
      </w:r>
      <w:r>
        <w:rPr>
          <w:rFonts w:hint="eastAsia" w:ascii="宋体" w:hAnsi="宋体"/>
          <w:color w:val="000000"/>
          <w:sz w:val="24"/>
          <w:highlight w:val="none"/>
        </w:rPr>
        <w:t>条规定的质量保证期内证实货物（含软件及相关服务）是有缺陷的，包括潜在的缺陷或使用不符合要求的材料，甲方将有权向乙方提出索赔。</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12.4 </w:t>
      </w:r>
      <w:r>
        <w:rPr>
          <w:rFonts w:hint="eastAsia" w:ascii="宋体" w:hAnsi="宋体"/>
          <w:color w:val="000000"/>
          <w:sz w:val="24"/>
          <w:highlight w:val="none"/>
        </w:rPr>
        <w:t>甲方有权提出在货物（含软件及相关服务）制造过程中派人到制造商进行监造，乙方有义务为甲方监造人员提供方便。</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12.5 </w:t>
      </w:r>
      <w:r>
        <w:rPr>
          <w:rFonts w:hint="eastAsia" w:ascii="宋体" w:hAnsi="宋体"/>
          <w:color w:val="000000"/>
          <w:sz w:val="24"/>
          <w:highlight w:val="none"/>
        </w:rPr>
        <w:t>制造商对所供货物（含软件及相关服务）进行机械运转试验和性能试验时，必须提前通知甲方。</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12.6 </w:t>
      </w:r>
      <w:r>
        <w:rPr>
          <w:rFonts w:hint="eastAsia" w:ascii="宋体" w:hAnsi="宋体"/>
          <w:color w:val="000000"/>
          <w:sz w:val="24"/>
          <w:highlight w:val="none"/>
        </w:rPr>
        <w:t>货物（含软件及相关服务）的安装按招标文件要求进行。</w:t>
      </w:r>
    </w:p>
    <w:p>
      <w:pPr>
        <w:spacing w:line="360" w:lineRule="auto"/>
        <w:rPr>
          <w:rFonts w:ascii="宋体"/>
          <w:b/>
          <w:color w:val="000000"/>
          <w:sz w:val="24"/>
          <w:highlight w:val="none"/>
        </w:rPr>
      </w:pPr>
      <w:bookmarkStart w:id="518" w:name="_Toc228438096"/>
      <w:bookmarkStart w:id="519" w:name="_Toc162083550"/>
      <w:r>
        <w:rPr>
          <w:rFonts w:ascii="宋体" w:hAnsi="宋体"/>
          <w:b/>
          <w:color w:val="000000"/>
          <w:sz w:val="24"/>
          <w:highlight w:val="none"/>
        </w:rPr>
        <w:t>13</w:t>
      </w:r>
      <w:r>
        <w:rPr>
          <w:rFonts w:hint="eastAsia" w:ascii="宋体" w:hAnsi="宋体"/>
          <w:b/>
          <w:color w:val="000000"/>
          <w:sz w:val="24"/>
          <w:highlight w:val="none"/>
        </w:rPr>
        <w:t>．索赔</w:t>
      </w:r>
      <w:bookmarkEnd w:id="518"/>
      <w:bookmarkEnd w:id="519"/>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13.1 </w:t>
      </w:r>
      <w:r>
        <w:rPr>
          <w:rFonts w:hint="eastAsia" w:ascii="宋体" w:hAnsi="宋体"/>
          <w:color w:val="000000"/>
          <w:sz w:val="24"/>
          <w:highlight w:val="none"/>
        </w:rPr>
        <w:t>除责任应由保险公司或运输部门承担的之外，甲方有权根据甲方按检验标准自己检验的结果或当地商检部门出具的商检证书向乙方提出索赔。</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13.2 </w:t>
      </w:r>
      <w:r>
        <w:rPr>
          <w:rFonts w:hint="eastAsia" w:ascii="宋体" w:hAnsi="宋体"/>
          <w:color w:val="000000"/>
          <w:sz w:val="24"/>
          <w:highlight w:val="none"/>
        </w:rPr>
        <w:t>在第</w:t>
      </w:r>
      <w:r>
        <w:rPr>
          <w:rFonts w:ascii="宋体" w:hAnsi="宋体"/>
          <w:color w:val="000000"/>
          <w:sz w:val="24"/>
          <w:highlight w:val="none"/>
        </w:rPr>
        <w:t>11</w:t>
      </w:r>
      <w:r>
        <w:rPr>
          <w:rFonts w:hint="eastAsia" w:ascii="宋体" w:hAnsi="宋体"/>
          <w:color w:val="000000"/>
          <w:sz w:val="24"/>
          <w:highlight w:val="none"/>
        </w:rPr>
        <w:t>条和第</w:t>
      </w:r>
      <w:r>
        <w:rPr>
          <w:rFonts w:ascii="宋体" w:hAnsi="宋体"/>
          <w:color w:val="000000"/>
          <w:sz w:val="24"/>
          <w:highlight w:val="none"/>
        </w:rPr>
        <w:t>12</w:t>
      </w:r>
      <w:r>
        <w:rPr>
          <w:rFonts w:hint="eastAsia" w:ascii="宋体" w:hAnsi="宋体"/>
          <w:color w:val="000000"/>
          <w:sz w:val="24"/>
          <w:highlight w:val="none"/>
        </w:rPr>
        <w:t>条规定的质量保证期和检验期内，如果乙方对甲方提出的索赔和差异负有责任，乙方应按照甲方同意的下列一种或多种方式解决索赔事宜：</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1</w:t>
      </w:r>
      <w:r>
        <w:rPr>
          <w:rFonts w:hint="eastAsia" w:ascii="宋体" w:hAnsi="宋体"/>
          <w:color w:val="000000"/>
          <w:sz w:val="24"/>
          <w:highlight w:val="none"/>
        </w:rPr>
        <w:t>）乙方同意退货，并按合同规定的同种货币将货款退还给甲方，并承担由此发生的一切损失和费用，包括利息、银行手续费、运费、保险费、检验费、仓储费、装卸费以及为保护退回货物（含软件及相关服务）所需的其它必要费用。</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）根据货物（含软件及相关服务）的低劣程度、损坏程度以及甲方遭受损失的数额，经买卖双方商定降低货物（含软件及相关服务）的价格。</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3</w:t>
      </w:r>
      <w:r>
        <w:rPr>
          <w:rFonts w:hint="eastAsia" w:ascii="宋体" w:hAnsi="宋体"/>
          <w:color w:val="000000"/>
          <w:sz w:val="24"/>
          <w:highlight w:val="none"/>
        </w:rPr>
        <w:t>）用符合规格、质量和性能要求的新零件、部件或货物（含软件及相关服务）来更换有缺陷的部分或修补缺陷部分，乙方应承担一切费用和风险并负担甲方所发生的一切直接费用。同时，乙方应按合同第</w:t>
      </w:r>
      <w:r>
        <w:rPr>
          <w:rFonts w:ascii="宋体" w:hAnsi="宋体"/>
          <w:color w:val="000000"/>
          <w:sz w:val="24"/>
          <w:highlight w:val="none"/>
        </w:rPr>
        <w:t>11</w:t>
      </w:r>
      <w:r>
        <w:rPr>
          <w:rFonts w:hint="eastAsia" w:ascii="宋体" w:hAnsi="宋体"/>
          <w:color w:val="000000"/>
          <w:sz w:val="24"/>
          <w:highlight w:val="none"/>
        </w:rPr>
        <w:t>条规定，相应延长修补或被更换部件或货物（含软件及相关服务）的质量保证期。</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13.3 </w:t>
      </w:r>
      <w:r>
        <w:rPr>
          <w:rFonts w:hint="eastAsia" w:ascii="宋体" w:hAnsi="宋体"/>
          <w:color w:val="000000"/>
          <w:sz w:val="24"/>
          <w:highlight w:val="none"/>
        </w:rPr>
        <w:t>如果在甲方发出索赔通知后30天内，乙方未能答复，上达索赔应视为已被乙方接受。若乙方未能在甲方提出索赔通知后</w:t>
      </w:r>
      <w:r>
        <w:rPr>
          <w:rFonts w:ascii="宋体" w:hAnsi="宋体"/>
          <w:color w:val="000000"/>
          <w:sz w:val="24"/>
          <w:highlight w:val="none"/>
        </w:rPr>
        <w:t>30</w:t>
      </w:r>
      <w:r>
        <w:rPr>
          <w:rFonts w:hint="eastAsia" w:ascii="宋体" w:hAnsi="宋体"/>
          <w:color w:val="000000"/>
          <w:sz w:val="24"/>
          <w:highlight w:val="none"/>
        </w:rPr>
        <w:t>天内或甲方同意的更长时间内，按照第</w:t>
      </w:r>
      <w:r>
        <w:rPr>
          <w:rFonts w:ascii="宋体" w:hAnsi="宋体"/>
          <w:color w:val="000000"/>
          <w:sz w:val="24"/>
          <w:highlight w:val="none"/>
        </w:rPr>
        <w:t>13</w:t>
      </w: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条规定的任何一种方法解决索赔事宜，甲方将从已付款或从乙方开具的履约保证金中扣回索赔金颔。如果这些金额不足以补偿索赔金额，甲方有权向乙方提出不足部分的补偿。</w:t>
      </w:r>
    </w:p>
    <w:p>
      <w:pPr>
        <w:spacing w:line="360" w:lineRule="auto"/>
        <w:rPr>
          <w:rFonts w:ascii="宋体"/>
          <w:b/>
          <w:color w:val="000000"/>
          <w:sz w:val="24"/>
          <w:highlight w:val="none"/>
        </w:rPr>
      </w:pPr>
      <w:bookmarkStart w:id="520" w:name="_Toc162083551"/>
      <w:bookmarkStart w:id="521" w:name="_Toc228438097"/>
      <w:r>
        <w:rPr>
          <w:rFonts w:ascii="宋体" w:hAnsi="宋体"/>
          <w:b/>
          <w:color w:val="000000"/>
          <w:sz w:val="24"/>
          <w:highlight w:val="none"/>
        </w:rPr>
        <w:t>14</w:t>
      </w:r>
      <w:r>
        <w:rPr>
          <w:rFonts w:hint="eastAsia" w:ascii="宋体" w:hAnsi="宋体"/>
          <w:b/>
          <w:color w:val="000000"/>
          <w:sz w:val="24"/>
          <w:highlight w:val="none"/>
        </w:rPr>
        <w:t>．拖延交货</w:t>
      </w:r>
      <w:bookmarkEnd w:id="520"/>
      <w:bookmarkEnd w:id="521"/>
    </w:p>
    <w:p>
      <w:pPr>
        <w:spacing w:line="360" w:lineRule="auto"/>
        <w:ind w:firstLine="480" w:firstLineChars="200"/>
        <w:rPr>
          <w:rFonts w:ascii="宋体"/>
          <w:color w:val="000000"/>
          <w:sz w:val="24"/>
          <w:highlight w:val="none"/>
        </w:rPr>
      </w:pPr>
      <w:r>
        <w:rPr>
          <w:rFonts w:ascii="宋体" w:hAnsi="宋体"/>
          <w:color w:val="000000"/>
          <w:sz w:val="24"/>
          <w:highlight w:val="none"/>
        </w:rPr>
        <w:t>14.</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乙方应按照合同专用条款中规定的交货期交货和提供服务。</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14.2 </w:t>
      </w:r>
      <w:r>
        <w:rPr>
          <w:rFonts w:hint="eastAsia" w:ascii="宋体" w:hAnsi="宋体"/>
          <w:color w:val="000000"/>
          <w:sz w:val="24"/>
          <w:highlight w:val="none"/>
        </w:rPr>
        <w:t>如果乙方毫无理由地拖延交货，将受到以下制裁：没收履约保证金，加收违约损失赔偿和／或终止合同。</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14.3 </w:t>
      </w:r>
      <w:r>
        <w:rPr>
          <w:rFonts w:hint="eastAsia" w:ascii="宋体" w:hAnsi="宋体"/>
          <w:color w:val="000000"/>
          <w:sz w:val="24"/>
          <w:highlight w:val="none"/>
        </w:rPr>
        <w:t>在履行合同过程中，如果乙方遇到不能按时交货和提供服务的情况，应及时以书面形式将不能按时交货的理由、延误时间通知甲方。甲方在收到乙方通知后，应进行分析，可通过修改合同，酌情延长交货时间。</w:t>
      </w:r>
    </w:p>
    <w:p>
      <w:pPr>
        <w:spacing w:line="360" w:lineRule="auto"/>
        <w:rPr>
          <w:rFonts w:ascii="宋体"/>
          <w:b/>
          <w:color w:val="000000"/>
          <w:sz w:val="24"/>
          <w:highlight w:val="none"/>
        </w:rPr>
      </w:pPr>
      <w:bookmarkStart w:id="522" w:name="_Toc162083552"/>
      <w:bookmarkStart w:id="523" w:name="_Toc228438098"/>
      <w:r>
        <w:rPr>
          <w:rFonts w:ascii="宋体" w:hAnsi="宋体"/>
          <w:b/>
          <w:color w:val="000000"/>
          <w:sz w:val="24"/>
          <w:highlight w:val="none"/>
        </w:rPr>
        <w:t>15</w:t>
      </w:r>
      <w:r>
        <w:rPr>
          <w:rFonts w:hint="eastAsia" w:ascii="宋体" w:hAnsi="宋体"/>
          <w:b/>
          <w:color w:val="000000"/>
          <w:sz w:val="24"/>
          <w:highlight w:val="none"/>
        </w:rPr>
        <w:t>．违约赔偿</w:t>
      </w:r>
      <w:bookmarkEnd w:id="522"/>
      <w:bookmarkEnd w:id="523"/>
    </w:p>
    <w:p>
      <w:pPr>
        <w:spacing w:line="360" w:lineRule="auto"/>
        <w:ind w:firstLine="480" w:firstLineChars="200"/>
        <w:rPr>
          <w:rFonts w:ascii="宋体"/>
          <w:color w:val="000000"/>
          <w:sz w:val="24"/>
          <w:highlight w:val="none"/>
        </w:rPr>
      </w:pPr>
      <w:r>
        <w:rPr>
          <w:rFonts w:hint="eastAsia" w:ascii="宋体" w:hAnsi="宋体"/>
          <w:color w:val="000000"/>
          <w:sz w:val="24"/>
          <w:highlight w:val="none"/>
        </w:rPr>
        <w:t>除第</w:t>
      </w:r>
      <w:r>
        <w:rPr>
          <w:rFonts w:ascii="宋体" w:hAnsi="宋体"/>
          <w:color w:val="000000"/>
          <w:sz w:val="24"/>
          <w:highlight w:val="none"/>
        </w:rPr>
        <w:t>16</w:t>
      </w:r>
      <w:r>
        <w:rPr>
          <w:rFonts w:hint="eastAsia" w:ascii="宋体" w:hAnsi="宋体"/>
          <w:color w:val="000000"/>
          <w:sz w:val="24"/>
          <w:highlight w:val="none"/>
        </w:rPr>
        <w:t>条规定的不可抗力外。</w:t>
      </w:r>
    </w:p>
    <w:p>
      <w:pPr>
        <w:spacing w:line="360" w:lineRule="auto"/>
        <w:ind w:firstLine="480" w:firstLineChars="200"/>
        <w:rPr>
          <w:rFonts w:ascii="宋体"/>
          <w:color w:val="000000"/>
          <w:sz w:val="24"/>
          <w:highlight w:val="none"/>
        </w:rPr>
      </w:pPr>
      <w:bookmarkStart w:id="524" w:name="_Toc162083553"/>
      <w:bookmarkStart w:id="525" w:name="_Toc228438099"/>
      <w:r>
        <w:rPr>
          <w:rFonts w:ascii="宋体" w:hAnsi="宋体"/>
          <w:color w:val="000000"/>
          <w:sz w:val="24"/>
          <w:highlight w:val="none"/>
        </w:rPr>
        <w:t>1.</w:t>
      </w:r>
      <w:r>
        <w:rPr>
          <w:rFonts w:hint="eastAsia" w:ascii="宋体" w:hAnsi="宋体"/>
          <w:color w:val="000000"/>
          <w:sz w:val="24"/>
          <w:highlight w:val="none"/>
        </w:rPr>
        <w:t>乙方未按要求履行合同义务时，甲方有权拒绝验收，且乙方须向甲方支付合同总额</w:t>
      </w:r>
      <w:r>
        <w:rPr>
          <w:rFonts w:ascii="宋体" w:hAnsi="宋体"/>
          <w:color w:val="000000"/>
          <w:sz w:val="24"/>
          <w:highlight w:val="none"/>
        </w:rPr>
        <w:t>10%</w:t>
      </w:r>
      <w:r>
        <w:rPr>
          <w:rFonts w:hint="eastAsia" w:ascii="宋体" w:hAnsi="宋体"/>
          <w:color w:val="000000"/>
          <w:sz w:val="24"/>
          <w:highlight w:val="none"/>
        </w:rPr>
        <w:t>的违约金；逾期交付的货物，从逾期之日起每日按合同总额</w:t>
      </w:r>
      <w:r>
        <w:rPr>
          <w:rFonts w:ascii="宋体" w:hAnsi="宋体"/>
          <w:color w:val="000000"/>
          <w:sz w:val="24"/>
          <w:highlight w:val="none"/>
        </w:rPr>
        <w:t>2</w:t>
      </w:r>
      <w:r>
        <w:rPr>
          <w:rFonts w:hint="eastAsia" w:ascii="宋体" w:hAnsi="宋体"/>
          <w:color w:val="000000"/>
          <w:sz w:val="24"/>
          <w:highlight w:val="none"/>
        </w:rPr>
        <w:t>‰的数额向甲方另加付违约金；仪器设备逾期</w:t>
      </w:r>
      <w:r>
        <w:rPr>
          <w:rFonts w:ascii="宋体" w:hAnsi="宋体"/>
          <w:color w:val="000000"/>
          <w:sz w:val="24"/>
          <w:highlight w:val="none"/>
        </w:rPr>
        <w:t>15</w:t>
      </w:r>
      <w:r>
        <w:rPr>
          <w:rFonts w:hint="eastAsia" w:ascii="宋体" w:hAnsi="宋体"/>
          <w:color w:val="000000"/>
          <w:sz w:val="24"/>
          <w:highlight w:val="none"/>
        </w:rPr>
        <w:t>日</w:t>
      </w:r>
      <w:r>
        <w:rPr>
          <w:rFonts w:ascii="宋体" w:hAnsi="宋体"/>
          <w:color w:val="000000"/>
          <w:sz w:val="24"/>
          <w:highlight w:val="none"/>
        </w:rPr>
        <w:t>(</w:t>
      </w:r>
      <w:r>
        <w:rPr>
          <w:rFonts w:hint="eastAsia" w:ascii="宋体" w:hAnsi="宋体"/>
          <w:color w:val="000000"/>
          <w:sz w:val="24"/>
          <w:highlight w:val="none"/>
        </w:rPr>
        <w:t>免税进口仪器设备逾期</w:t>
      </w:r>
      <w:r>
        <w:rPr>
          <w:rFonts w:ascii="宋体" w:hAnsi="宋体"/>
          <w:color w:val="000000"/>
          <w:sz w:val="24"/>
          <w:highlight w:val="none"/>
        </w:rPr>
        <w:t>30</w:t>
      </w:r>
      <w:r>
        <w:rPr>
          <w:rFonts w:hint="eastAsia" w:ascii="宋体" w:hAnsi="宋体"/>
          <w:color w:val="000000"/>
          <w:sz w:val="24"/>
          <w:highlight w:val="none"/>
        </w:rPr>
        <w:t>日</w:t>
      </w:r>
      <w:r>
        <w:rPr>
          <w:rFonts w:ascii="宋体" w:hAnsi="宋体"/>
          <w:color w:val="000000"/>
          <w:sz w:val="24"/>
          <w:highlight w:val="none"/>
        </w:rPr>
        <w:t>)</w:t>
      </w:r>
      <w:r>
        <w:rPr>
          <w:rFonts w:hint="eastAsia" w:ascii="宋体" w:hAnsi="宋体"/>
          <w:color w:val="000000"/>
          <w:sz w:val="24"/>
          <w:highlight w:val="none"/>
        </w:rPr>
        <w:t>以上时，甲方有权终止合同，如甲方损失超过违约金数额则乙方应按实际损失额赔偿；在货到验收之日起</w:t>
      </w:r>
      <w:r>
        <w:rPr>
          <w:rFonts w:ascii="宋体" w:hAnsi="宋体"/>
          <w:color w:val="000000"/>
          <w:sz w:val="24"/>
          <w:highlight w:val="none"/>
        </w:rPr>
        <w:t>15</w:t>
      </w:r>
      <w:r>
        <w:rPr>
          <w:rFonts w:hint="eastAsia" w:ascii="宋体" w:hAnsi="宋体"/>
          <w:color w:val="000000"/>
          <w:sz w:val="24"/>
          <w:highlight w:val="none"/>
        </w:rPr>
        <w:t>日内仍不能按约定提供发票的，每日按未开具发票总额的</w:t>
      </w:r>
      <w:r>
        <w:rPr>
          <w:rFonts w:ascii="宋体" w:hAnsi="宋体"/>
          <w:color w:val="000000"/>
          <w:sz w:val="24"/>
          <w:highlight w:val="none"/>
        </w:rPr>
        <w:t>2</w:t>
      </w:r>
      <w:r>
        <w:rPr>
          <w:rFonts w:hint="eastAsia" w:ascii="宋体" w:hAnsi="宋体"/>
          <w:color w:val="000000"/>
          <w:sz w:val="24"/>
          <w:highlight w:val="none"/>
        </w:rPr>
        <w:t>‰支付违约金，并且乙方仍然负提供发票的责任。</w:t>
      </w:r>
    </w:p>
    <w:p>
      <w:pPr>
        <w:spacing w:line="360" w:lineRule="auto"/>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甲方未按要求履行合同义务时，且无正当理由拖延付款时，甲方须向乙方支付滞纳金，标准为每日按违约总额的</w:t>
      </w:r>
      <w:r>
        <w:rPr>
          <w:rFonts w:ascii="宋体" w:hAnsi="宋体"/>
          <w:color w:val="000000"/>
          <w:sz w:val="24"/>
          <w:highlight w:val="none"/>
        </w:rPr>
        <w:t>2</w:t>
      </w:r>
      <w:r>
        <w:rPr>
          <w:rFonts w:hint="eastAsia" w:ascii="宋体" w:hAnsi="宋体"/>
          <w:color w:val="000000"/>
          <w:sz w:val="24"/>
          <w:highlight w:val="none"/>
        </w:rPr>
        <w:t>‰计算。</w:t>
      </w:r>
    </w:p>
    <w:p>
      <w:pPr>
        <w:spacing w:line="360" w:lineRule="auto"/>
        <w:rPr>
          <w:rFonts w:ascii="宋体"/>
          <w:b/>
          <w:color w:val="000000"/>
          <w:sz w:val="24"/>
          <w:highlight w:val="none"/>
        </w:rPr>
      </w:pPr>
      <w:r>
        <w:rPr>
          <w:rFonts w:ascii="宋体" w:hAnsi="宋体"/>
          <w:b/>
          <w:color w:val="000000"/>
          <w:sz w:val="24"/>
          <w:highlight w:val="none"/>
        </w:rPr>
        <w:t>16</w:t>
      </w:r>
      <w:r>
        <w:rPr>
          <w:rFonts w:hint="eastAsia" w:ascii="宋体" w:hAnsi="宋体"/>
          <w:b/>
          <w:color w:val="000000"/>
          <w:sz w:val="24"/>
          <w:highlight w:val="none"/>
        </w:rPr>
        <w:t>．不可抗力</w:t>
      </w:r>
      <w:bookmarkEnd w:id="524"/>
      <w:bookmarkEnd w:id="525"/>
    </w:p>
    <w:p>
      <w:pPr>
        <w:spacing w:line="360" w:lineRule="auto"/>
        <w:ind w:firstLine="480" w:firstLineChars="200"/>
        <w:rPr>
          <w:rFonts w:ascii="宋体"/>
          <w:color w:val="000000"/>
          <w:sz w:val="24"/>
          <w:highlight w:val="none"/>
        </w:rPr>
      </w:pPr>
      <w:r>
        <w:rPr>
          <w:rFonts w:ascii="宋体" w:hAnsi="宋体"/>
          <w:color w:val="000000"/>
          <w:sz w:val="24"/>
          <w:highlight w:val="none"/>
        </w:rPr>
        <w:t>16.</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如果双方中任何一方由于战争、严重火灾、水灾、台风和地震以及其它经双方同意属于不可抗力的事故，致使合同履行受阻时，履行合同的期限应予以延长，延长的期限应相当于事故所影响的时间。</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16.2 </w:t>
      </w:r>
      <w:r>
        <w:rPr>
          <w:rFonts w:hint="eastAsia" w:ascii="宋体" w:hAnsi="宋体"/>
          <w:color w:val="000000"/>
          <w:sz w:val="24"/>
          <w:highlight w:val="none"/>
        </w:rPr>
        <w:t>受事故影响的一方应在不可抗力事故发生后尽快以电报、传真或电传通知另一方，并在事故发生后</w:t>
      </w:r>
      <w:r>
        <w:rPr>
          <w:rFonts w:ascii="宋体" w:hAnsi="宋体"/>
          <w:color w:val="000000"/>
          <w:sz w:val="24"/>
          <w:highlight w:val="none"/>
        </w:rPr>
        <w:t>14</w:t>
      </w:r>
      <w:r>
        <w:rPr>
          <w:rFonts w:hint="eastAsia" w:ascii="宋体" w:hAnsi="宋体"/>
          <w:color w:val="000000"/>
          <w:sz w:val="24"/>
          <w:highlight w:val="none"/>
        </w:rPr>
        <w:t>天内，将有关部门出具的证明文件用特快专递寄给或送给另一方。如果不可抗力影响时间延续</w:t>
      </w:r>
      <w:r>
        <w:rPr>
          <w:rFonts w:ascii="宋体" w:hAnsi="宋体"/>
          <w:color w:val="000000"/>
          <w:sz w:val="24"/>
          <w:highlight w:val="none"/>
        </w:rPr>
        <w:t>120</w:t>
      </w:r>
      <w:r>
        <w:rPr>
          <w:rFonts w:hint="eastAsia" w:ascii="宋体" w:hAnsi="宋体"/>
          <w:color w:val="000000"/>
          <w:sz w:val="24"/>
          <w:highlight w:val="none"/>
        </w:rPr>
        <w:t>天以上，双方应通过友好协商在合理的时间内达成进一步履行合同的协议。</w:t>
      </w:r>
    </w:p>
    <w:p>
      <w:pPr>
        <w:spacing w:line="360" w:lineRule="auto"/>
        <w:rPr>
          <w:rFonts w:ascii="宋体"/>
          <w:b/>
          <w:color w:val="000000"/>
          <w:sz w:val="24"/>
          <w:highlight w:val="none"/>
        </w:rPr>
      </w:pPr>
      <w:bookmarkStart w:id="526" w:name="_Toc162083554"/>
      <w:bookmarkStart w:id="527" w:name="_Toc228438100"/>
      <w:r>
        <w:rPr>
          <w:rFonts w:ascii="宋体" w:hAnsi="宋体"/>
          <w:b/>
          <w:color w:val="000000"/>
          <w:sz w:val="24"/>
          <w:highlight w:val="none"/>
        </w:rPr>
        <w:t>17</w:t>
      </w:r>
      <w:r>
        <w:rPr>
          <w:rFonts w:hint="eastAsia" w:ascii="宋体" w:hAnsi="宋体"/>
          <w:b/>
          <w:color w:val="000000"/>
          <w:sz w:val="24"/>
          <w:highlight w:val="none"/>
        </w:rPr>
        <w:t>．税费</w:t>
      </w:r>
      <w:bookmarkEnd w:id="526"/>
      <w:bookmarkEnd w:id="527"/>
    </w:p>
    <w:p>
      <w:pPr>
        <w:spacing w:line="360" w:lineRule="auto"/>
        <w:ind w:firstLine="480" w:firstLineChars="200"/>
        <w:rPr>
          <w:rFonts w:ascii="宋体"/>
          <w:color w:val="000000"/>
          <w:sz w:val="24"/>
          <w:highlight w:val="none"/>
        </w:rPr>
      </w:pPr>
      <w:r>
        <w:rPr>
          <w:rFonts w:ascii="宋体" w:hAnsi="宋体"/>
          <w:color w:val="000000"/>
          <w:sz w:val="24"/>
          <w:highlight w:val="none"/>
        </w:rPr>
        <w:t>17.</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中国政府根据现行税法对甲方征收的与本合同有关的一切税费均由甲方承担。</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17.2 </w:t>
      </w:r>
      <w:r>
        <w:rPr>
          <w:rFonts w:hint="eastAsia" w:ascii="宋体" w:hAnsi="宋体"/>
          <w:color w:val="000000"/>
          <w:sz w:val="24"/>
          <w:highlight w:val="none"/>
        </w:rPr>
        <w:t>中国政府根据现行税法对乙方征收的与本合同有关的一切税费均由乙方承担。</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17.3 </w:t>
      </w:r>
      <w:r>
        <w:rPr>
          <w:rFonts w:hint="eastAsia" w:ascii="宋体" w:hAnsi="宋体"/>
          <w:color w:val="000000"/>
          <w:sz w:val="24"/>
          <w:highlight w:val="none"/>
        </w:rPr>
        <w:t>在中国境外发生的与执行本合同有关的一切税费均由乙方承担。</w:t>
      </w:r>
    </w:p>
    <w:p>
      <w:pPr>
        <w:spacing w:line="360" w:lineRule="auto"/>
        <w:rPr>
          <w:rFonts w:ascii="宋体"/>
          <w:b/>
          <w:color w:val="000000"/>
          <w:sz w:val="24"/>
          <w:highlight w:val="none"/>
        </w:rPr>
      </w:pPr>
      <w:bookmarkStart w:id="528" w:name="_Toc228438101"/>
      <w:bookmarkStart w:id="529" w:name="_Toc162083556"/>
      <w:r>
        <w:rPr>
          <w:rFonts w:ascii="宋体" w:hAnsi="宋体"/>
          <w:b/>
          <w:color w:val="000000"/>
          <w:sz w:val="24"/>
          <w:highlight w:val="none"/>
        </w:rPr>
        <w:t>18</w:t>
      </w:r>
      <w:r>
        <w:rPr>
          <w:rFonts w:hint="eastAsia" w:ascii="宋体" w:hAnsi="宋体"/>
          <w:b/>
          <w:color w:val="000000"/>
          <w:sz w:val="24"/>
          <w:highlight w:val="none"/>
        </w:rPr>
        <w:t>．仲裁</w:t>
      </w:r>
      <w:bookmarkEnd w:id="528"/>
      <w:bookmarkEnd w:id="529"/>
    </w:p>
    <w:p>
      <w:pPr>
        <w:spacing w:line="360" w:lineRule="auto"/>
        <w:ind w:firstLine="480" w:firstLineChars="200"/>
        <w:rPr>
          <w:rFonts w:ascii="宋体"/>
          <w:color w:val="000000"/>
          <w:sz w:val="24"/>
          <w:highlight w:val="none"/>
        </w:rPr>
      </w:pPr>
      <w:r>
        <w:rPr>
          <w:rFonts w:ascii="宋体" w:hAnsi="宋体"/>
          <w:color w:val="000000"/>
          <w:sz w:val="24"/>
          <w:highlight w:val="none"/>
        </w:rPr>
        <w:t>18.</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买卖双方应通过友好协商，解决在执行本合同中所发生的或与本合同有关的一切争端，如果协商仍得不到解决，任何一方均可按“中华人民共和国民法典”规定提交调解和仲裁。</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18.2 </w:t>
      </w:r>
      <w:r>
        <w:rPr>
          <w:rFonts w:hint="eastAsia" w:ascii="宋体" w:hAnsi="宋体"/>
          <w:color w:val="000000"/>
          <w:sz w:val="24"/>
          <w:highlight w:val="none"/>
        </w:rPr>
        <w:t>仲裁裁决应为终局裁决，对双方均具有约束力。</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18.3 </w:t>
      </w:r>
      <w:r>
        <w:rPr>
          <w:rFonts w:hint="eastAsia" w:ascii="宋体" w:hAnsi="宋体"/>
          <w:color w:val="000000"/>
          <w:sz w:val="24"/>
          <w:highlight w:val="none"/>
        </w:rPr>
        <w:t>仲裁费除仲裁机构另有裁决外应由败诉方负担。</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18.4 </w:t>
      </w:r>
      <w:r>
        <w:rPr>
          <w:rFonts w:hint="eastAsia" w:ascii="宋体" w:hAnsi="宋体"/>
          <w:color w:val="000000"/>
          <w:sz w:val="24"/>
          <w:highlight w:val="none"/>
        </w:rPr>
        <w:t>在仲裁期间，除正在进行仲裁的部分外，合同其它部分继续执行。</w:t>
      </w:r>
    </w:p>
    <w:p>
      <w:pPr>
        <w:spacing w:line="360" w:lineRule="auto"/>
        <w:rPr>
          <w:rFonts w:ascii="宋体"/>
          <w:b/>
          <w:color w:val="000000"/>
          <w:sz w:val="24"/>
          <w:highlight w:val="none"/>
        </w:rPr>
      </w:pPr>
      <w:bookmarkStart w:id="530" w:name="_Toc162083557"/>
      <w:bookmarkStart w:id="531" w:name="_Toc228438102"/>
      <w:r>
        <w:rPr>
          <w:rFonts w:ascii="宋体" w:hAnsi="宋体"/>
          <w:b/>
          <w:color w:val="000000"/>
          <w:sz w:val="24"/>
          <w:highlight w:val="none"/>
        </w:rPr>
        <w:t>19</w:t>
      </w:r>
      <w:r>
        <w:rPr>
          <w:rFonts w:hint="eastAsia" w:ascii="宋体" w:hAnsi="宋体"/>
          <w:b/>
          <w:color w:val="000000"/>
          <w:sz w:val="24"/>
          <w:highlight w:val="none"/>
        </w:rPr>
        <w:t>．违约终止合同</w:t>
      </w:r>
      <w:bookmarkEnd w:id="530"/>
      <w:bookmarkEnd w:id="531"/>
    </w:p>
    <w:p>
      <w:pPr>
        <w:spacing w:line="360" w:lineRule="auto"/>
        <w:ind w:firstLine="480" w:firstLineChars="200"/>
        <w:rPr>
          <w:rFonts w:ascii="宋体"/>
          <w:color w:val="000000"/>
          <w:sz w:val="24"/>
          <w:highlight w:val="none"/>
        </w:rPr>
      </w:pPr>
      <w:r>
        <w:rPr>
          <w:rFonts w:ascii="宋体" w:hAnsi="宋体"/>
          <w:color w:val="000000"/>
          <w:sz w:val="24"/>
          <w:highlight w:val="none"/>
        </w:rPr>
        <w:t>19.</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乙方有下列违约情况之一，并在收到甲方违约通知后的合理时间内，或经甲方书面认可延长的时间内未能纠正其过失，甲方可向乙方发出书面通知，终止部分或全部合同。在这种情况下，并不影响甲方向乙方提出索赔。</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l</w:t>
      </w:r>
      <w:r>
        <w:rPr>
          <w:rFonts w:hint="eastAsia" w:ascii="宋体" w:hAnsi="宋体"/>
          <w:color w:val="000000"/>
          <w:sz w:val="24"/>
          <w:highlight w:val="none"/>
        </w:rPr>
        <w:t>）如果乙方未能在合同规定的期限或甲方同意延期的限期内提供全部或部分货物（含软件及相关服务）；</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w:t>
      </w:r>
      <w:r>
        <w:rPr>
          <w:rFonts w:ascii="宋体" w:hAnsi="宋体"/>
          <w:color w:val="000000"/>
          <w:sz w:val="24"/>
          <w:highlight w:val="none"/>
        </w:rPr>
        <w:t>2</w:t>
      </w:r>
      <w:r>
        <w:rPr>
          <w:rFonts w:hint="eastAsia" w:ascii="宋体" w:hAnsi="宋体"/>
          <w:color w:val="000000"/>
          <w:sz w:val="24"/>
          <w:highlight w:val="none"/>
        </w:rPr>
        <w:t>）如果乙方未能履行合同规定的其它义务。</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19.2 </w:t>
      </w:r>
      <w:r>
        <w:rPr>
          <w:rFonts w:hint="eastAsia" w:ascii="宋体" w:hAnsi="宋体"/>
          <w:color w:val="000000"/>
          <w:sz w:val="24"/>
          <w:highlight w:val="none"/>
        </w:rPr>
        <w:t>在甲方根据第20条规定，终止了全部或部分合同，甲方可以依其认为适当的条件和方式购买与未交货物（含软件及相关服务）类似的货物（含软件及相关服务），乙方应对购买类似货物（含软件及相关服务）所超出的费用负责。而且乙方还应继续执行合同中未终止的部分。</w:t>
      </w:r>
    </w:p>
    <w:p>
      <w:pPr>
        <w:spacing w:line="360" w:lineRule="auto"/>
        <w:rPr>
          <w:rFonts w:ascii="宋体"/>
          <w:b/>
          <w:color w:val="000000"/>
          <w:sz w:val="24"/>
          <w:highlight w:val="none"/>
        </w:rPr>
      </w:pPr>
      <w:bookmarkStart w:id="532" w:name="_Toc162083558"/>
      <w:bookmarkStart w:id="533" w:name="_Toc228438103"/>
      <w:r>
        <w:rPr>
          <w:rFonts w:ascii="宋体" w:hAnsi="宋体"/>
          <w:b/>
          <w:color w:val="000000"/>
          <w:sz w:val="24"/>
          <w:highlight w:val="none"/>
        </w:rPr>
        <w:t>20</w:t>
      </w:r>
      <w:r>
        <w:rPr>
          <w:rFonts w:hint="eastAsia" w:ascii="宋体" w:hAnsi="宋体"/>
          <w:b/>
          <w:color w:val="000000"/>
          <w:sz w:val="24"/>
          <w:highlight w:val="none"/>
        </w:rPr>
        <w:t>．破产终止合同</w:t>
      </w:r>
      <w:bookmarkEnd w:id="532"/>
      <w:bookmarkEnd w:id="533"/>
    </w:p>
    <w:p>
      <w:pPr>
        <w:spacing w:line="360" w:lineRule="auto"/>
        <w:ind w:firstLine="480" w:firstLineChars="200"/>
        <w:rPr>
          <w:rFonts w:ascii="宋体"/>
          <w:color w:val="000000"/>
          <w:sz w:val="24"/>
          <w:highlight w:val="none"/>
        </w:rPr>
      </w:pPr>
      <w:r>
        <w:rPr>
          <w:rFonts w:hint="eastAsia" w:ascii="宋体" w:hAnsi="宋体"/>
          <w:color w:val="000000"/>
          <w:sz w:val="24"/>
          <w:highlight w:val="none"/>
        </w:rPr>
        <w:t>如果乙方破产或无清偿能力，甲方可在任何时候以书面通知乙方终止合同，该终止合同以不损害或影响甲方已经采取或将采取补救措施的权利。</w:t>
      </w:r>
    </w:p>
    <w:p>
      <w:pPr>
        <w:spacing w:line="360" w:lineRule="auto"/>
        <w:rPr>
          <w:rFonts w:ascii="宋体"/>
          <w:b/>
          <w:color w:val="000000"/>
          <w:sz w:val="24"/>
          <w:highlight w:val="none"/>
        </w:rPr>
      </w:pPr>
      <w:bookmarkStart w:id="534" w:name="_Toc162083559"/>
      <w:bookmarkStart w:id="535" w:name="_Toc228438104"/>
      <w:r>
        <w:rPr>
          <w:rFonts w:ascii="宋体" w:hAnsi="宋体"/>
          <w:b/>
          <w:color w:val="000000"/>
          <w:sz w:val="24"/>
          <w:highlight w:val="none"/>
        </w:rPr>
        <w:t>21</w:t>
      </w:r>
      <w:r>
        <w:rPr>
          <w:rFonts w:hint="eastAsia" w:ascii="宋体" w:hAnsi="宋体"/>
          <w:b/>
          <w:color w:val="000000"/>
          <w:sz w:val="24"/>
          <w:highlight w:val="none"/>
        </w:rPr>
        <w:t>．转让与分包</w:t>
      </w:r>
      <w:bookmarkEnd w:id="534"/>
      <w:bookmarkEnd w:id="535"/>
    </w:p>
    <w:p>
      <w:pPr>
        <w:spacing w:line="360" w:lineRule="auto"/>
        <w:ind w:firstLine="480" w:firstLineChars="200"/>
        <w:rPr>
          <w:rFonts w:ascii="宋体"/>
          <w:color w:val="000000"/>
          <w:sz w:val="24"/>
          <w:highlight w:val="none"/>
        </w:rPr>
      </w:pPr>
      <w:r>
        <w:rPr>
          <w:rFonts w:ascii="宋体" w:hAnsi="宋体"/>
          <w:color w:val="000000"/>
          <w:sz w:val="24"/>
          <w:highlight w:val="none"/>
        </w:rPr>
        <w:t>21.</w:t>
      </w:r>
      <w:r>
        <w:rPr>
          <w:rFonts w:hint="eastAsia" w:ascii="宋体" w:hAnsi="宋体"/>
          <w:color w:val="000000"/>
          <w:sz w:val="24"/>
          <w:highlight w:val="none"/>
        </w:rPr>
        <w:t>1</w:t>
      </w:r>
      <w:r>
        <w:rPr>
          <w:rFonts w:ascii="宋体" w:hAnsi="宋体"/>
          <w:color w:val="000000"/>
          <w:sz w:val="24"/>
          <w:highlight w:val="none"/>
        </w:rPr>
        <w:t xml:space="preserve"> </w:t>
      </w:r>
      <w:r>
        <w:rPr>
          <w:rFonts w:hint="eastAsia" w:ascii="宋体" w:hAnsi="宋体"/>
          <w:color w:val="000000"/>
          <w:sz w:val="24"/>
          <w:highlight w:val="none"/>
        </w:rPr>
        <w:t>未经甲方事先书面同意，乙方不得部分转让或全部转让其应履行的合同义务。</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21.2 </w:t>
      </w:r>
      <w:r>
        <w:rPr>
          <w:rFonts w:hint="eastAsia" w:ascii="宋体" w:hAnsi="宋体"/>
          <w:color w:val="000000"/>
          <w:sz w:val="24"/>
          <w:highlight w:val="none"/>
        </w:rPr>
        <w:t>对投标中没有明确分包的合同，乙方应书面通知甲方本合同中将分包的全部分包合同，在原投标文件中或后来发出的分包通知均不能解除乙方履行本合同的义务。</w:t>
      </w:r>
    </w:p>
    <w:p>
      <w:pPr>
        <w:spacing w:line="360" w:lineRule="auto"/>
        <w:rPr>
          <w:rFonts w:ascii="宋体"/>
          <w:b/>
          <w:color w:val="000000"/>
          <w:sz w:val="24"/>
          <w:highlight w:val="none"/>
        </w:rPr>
      </w:pPr>
      <w:bookmarkStart w:id="536" w:name="_Toc228438105"/>
      <w:bookmarkStart w:id="537" w:name="_Toc162083560"/>
      <w:r>
        <w:rPr>
          <w:rFonts w:ascii="宋体" w:hAnsi="宋体"/>
          <w:b/>
          <w:color w:val="000000"/>
          <w:sz w:val="24"/>
          <w:highlight w:val="none"/>
        </w:rPr>
        <w:t>22</w:t>
      </w:r>
      <w:r>
        <w:rPr>
          <w:rFonts w:hint="eastAsia" w:ascii="宋体" w:hAnsi="宋体"/>
          <w:b/>
          <w:color w:val="000000"/>
          <w:sz w:val="24"/>
          <w:highlight w:val="none"/>
        </w:rPr>
        <w:t>．适用法律</w:t>
      </w:r>
      <w:bookmarkEnd w:id="536"/>
      <w:bookmarkEnd w:id="537"/>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本合同应按中华人民共和国的法律进行解释。</w:t>
      </w:r>
    </w:p>
    <w:p>
      <w:pPr>
        <w:spacing w:line="360" w:lineRule="auto"/>
        <w:rPr>
          <w:rFonts w:ascii="宋体"/>
          <w:b/>
          <w:color w:val="000000"/>
          <w:sz w:val="24"/>
          <w:highlight w:val="none"/>
        </w:rPr>
      </w:pPr>
      <w:bookmarkStart w:id="538" w:name="_Toc228438106"/>
      <w:bookmarkStart w:id="539" w:name="_Toc162083561"/>
      <w:r>
        <w:rPr>
          <w:rFonts w:ascii="宋体" w:hAnsi="宋体"/>
          <w:b/>
          <w:color w:val="000000"/>
          <w:sz w:val="24"/>
          <w:highlight w:val="none"/>
        </w:rPr>
        <w:t>23</w:t>
      </w:r>
      <w:r>
        <w:rPr>
          <w:rFonts w:hint="eastAsia" w:ascii="宋体" w:hAnsi="宋体"/>
          <w:b/>
          <w:color w:val="000000"/>
          <w:sz w:val="24"/>
          <w:highlight w:val="none"/>
        </w:rPr>
        <w:t>．合同生效及其它</w:t>
      </w:r>
      <w:bookmarkEnd w:id="538"/>
      <w:bookmarkEnd w:id="539"/>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23.1 </w:t>
      </w:r>
      <w:r>
        <w:rPr>
          <w:rFonts w:hint="eastAsia" w:ascii="宋体" w:hAnsi="宋体"/>
          <w:color w:val="000000"/>
          <w:sz w:val="24"/>
          <w:highlight w:val="none"/>
        </w:rPr>
        <w:t>合同在双方签字盖章后生效。</w:t>
      </w:r>
    </w:p>
    <w:p>
      <w:pPr>
        <w:spacing w:line="360" w:lineRule="auto"/>
        <w:ind w:firstLine="480" w:firstLineChars="200"/>
        <w:rPr>
          <w:rFonts w:ascii="宋体"/>
          <w:color w:val="000000"/>
          <w:sz w:val="24"/>
          <w:highlight w:val="none"/>
        </w:rPr>
      </w:pPr>
      <w:r>
        <w:rPr>
          <w:rFonts w:ascii="宋体" w:hAnsi="宋体"/>
          <w:color w:val="000000"/>
          <w:sz w:val="24"/>
          <w:highlight w:val="none"/>
        </w:rPr>
        <w:t xml:space="preserve">23.2 </w:t>
      </w:r>
      <w:r>
        <w:rPr>
          <w:rFonts w:hint="eastAsia" w:ascii="宋体" w:hAnsi="宋体"/>
          <w:color w:val="000000"/>
          <w:sz w:val="24"/>
          <w:highlight w:val="none"/>
        </w:rPr>
        <w:t>如需修改或补充合同内容，经协商，双方应签署书面修改或补充协议并经采购代理机构鉴证，该协议将作为本合同的一个组成部分。</w:t>
      </w:r>
    </w:p>
    <w:p>
      <w:pPr>
        <w:spacing w:line="360" w:lineRule="auto"/>
        <w:rPr>
          <w:rFonts w:ascii="宋体"/>
          <w:b/>
          <w:color w:val="000000"/>
          <w:sz w:val="24"/>
          <w:highlight w:val="none"/>
        </w:rPr>
      </w:pPr>
      <w:bookmarkStart w:id="540" w:name="_Toc228438107"/>
      <w:r>
        <w:rPr>
          <w:rFonts w:ascii="宋体" w:hAnsi="宋体"/>
          <w:b/>
          <w:color w:val="000000"/>
          <w:sz w:val="24"/>
          <w:highlight w:val="none"/>
        </w:rPr>
        <w:t xml:space="preserve">24. </w:t>
      </w:r>
      <w:r>
        <w:rPr>
          <w:rFonts w:hint="eastAsia" w:ascii="宋体" w:hAnsi="宋体"/>
          <w:b/>
          <w:color w:val="000000"/>
          <w:sz w:val="24"/>
          <w:highlight w:val="none"/>
        </w:rPr>
        <w:t>合同适用</w:t>
      </w:r>
      <w:bookmarkEnd w:id="540"/>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本合同通用条款适用货物和服务类采购项目，工程类项目的合同通用条款按建设部门颁发的有关标准通用合同执行。</w:t>
      </w:r>
    </w:p>
    <w:p>
      <w:pPr>
        <w:rPr>
          <w:rFonts w:ascii="宋体" w:hAnsi="宋体"/>
          <w:b/>
          <w:bCs/>
          <w:color w:val="000000"/>
          <w:sz w:val="44"/>
          <w:szCs w:val="44"/>
          <w:highlight w:val="none"/>
        </w:rPr>
      </w:pPr>
      <w:bookmarkStart w:id="541" w:name="_Toc228438108"/>
      <w:bookmarkStart w:id="542" w:name="_Toc171325093"/>
      <w:bookmarkStart w:id="543" w:name="_Toc271838317"/>
      <w:bookmarkStart w:id="544" w:name="_Toc171325094"/>
      <w:bookmarkStart w:id="545" w:name="_Toc228270171"/>
      <w:r>
        <w:rPr>
          <w:rFonts w:hint="eastAsia" w:ascii="宋体" w:hAnsi="宋体"/>
          <w:b/>
          <w:bCs/>
          <w:color w:val="000000"/>
          <w:sz w:val="44"/>
          <w:szCs w:val="44"/>
          <w:highlight w:val="none"/>
        </w:rPr>
        <w:br w:type="page"/>
      </w:r>
    </w:p>
    <w:p>
      <w:pPr>
        <w:jc w:val="center"/>
        <w:rPr>
          <w:rFonts w:ascii="宋体"/>
          <w:b/>
          <w:bCs/>
          <w:color w:val="000000"/>
          <w:sz w:val="44"/>
          <w:szCs w:val="44"/>
          <w:highlight w:val="none"/>
        </w:rPr>
      </w:pPr>
      <w:r>
        <w:rPr>
          <w:rFonts w:hint="eastAsia" w:ascii="宋体" w:hAnsi="宋体"/>
          <w:b/>
          <w:bCs/>
          <w:color w:val="000000"/>
          <w:sz w:val="44"/>
          <w:szCs w:val="44"/>
          <w:highlight w:val="none"/>
        </w:rPr>
        <w:t>中国热带农业科学院热带作物品种资源研究所</w:t>
      </w:r>
    </w:p>
    <w:p>
      <w:pPr>
        <w:jc w:val="center"/>
        <w:rPr>
          <w:rFonts w:ascii="宋体"/>
          <w:b/>
          <w:bCs/>
          <w:color w:val="000000"/>
          <w:sz w:val="44"/>
          <w:szCs w:val="44"/>
          <w:highlight w:val="none"/>
        </w:rPr>
      </w:pPr>
      <w:r>
        <w:rPr>
          <w:rFonts w:hint="eastAsia" w:ascii="宋体" w:hAnsi="宋体"/>
          <w:b/>
          <w:bCs/>
          <w:color w:val="000000"/>
          <w:sz w:val="44"/>
          <w:szCs w:val="44"/>
          <w:highlight w:val="none"/>
        </w:rPr>
        <w:t>仪器设备采购合同书</w:t>
      </w:r>
    </w:p>
    <w:p>
      <w:pPr>
        <w:jc w:val="center"/>
        <w:rPr>
          <w:rFonts w:ascii="宋体"/>
          <w:b/>
          <w:bCs/>
          <w:color w:val="000000"/>
          <w:sz w:val="36"/>
          <w:szCs w:val="36"/>
          <w:highlight w:val="none"/>
        </w:rPr>
      </w:pPr>
    </w:p>
    <w:p>
      <w:pPr>
        <w:spacing w:line="520" w:lineRule="exact"/>
        <w:jc w:val="center"/>
        <w:rPr>
          <w:rFonts w:ascii="宋体"/>
          <w:bCs/>
          <w:color w:val="000000"/>
          <w:sz w:val="28"/>
          <w:szCs w:val="28"/>
          <w:highlight w:val="none"/>
        </w:rPr>
      </w:pPr>
      <w:r>
        <w:rPr>
          <w:rFonts w:hint="eastAsia" w:ascii="宋体" w:hAnsi="宋体"/>
          <w:bCs/>
          <w:color w:val="000000"/>
          <w:sz w:val="28"/>
          <w:szCs w:val="28"/>
          <w:highlight w:val="none"/>
        </w:rPr>
        <w:t>合同编号：</w:t>
      </w:r>
      <w:r>
        <w:rPr>
          <w:rFonts w:ascii="宋体" w:hAnsi="宋体"/>
          <w:bCs/>
          <w:color w:val="000000"/>
          <w:sz w:val="28"/>
          <w:szCs w:val="28"/>
          <w:highlight w:val="none"/>
        </w:rPr>
        <w:t>________________________</w:t>
      </w:r>
    </w:p>
    <w:p>
      <w:pPr>
        <w:spacing w:line="520" w:lineRule="exact"/>
        <w:ind w:firstLine="560" w:firstLineChars="200"/>
        <w:rPr>
          <w:rFonts w:ascii="宋体"/>
          <w:color w:val="000000"/>
          <w:sz w:val="28"/>
          <w:szCs w:val="28"/>
          <w:highlight w:val="none"/>
        </w:rPr>
      </w:pPr>
    </w:p>
    <w:p>
      <w:pPr>
        <w:spacing w:line="520" w:lineRule="exact"/>
        <w:ind w:firstLine="562" w:firstLineChars="200"/>
        <w:rPr>
          <w:rFonts w:ascii="宋体"/>
          <w:color w:val="000000"/>
          <w:sz w:val="28"/>
          <w:szCs w:val="28"/>
          <w:highlight w:val="none"/>
          <w:u w:val="single"/>
        </w:rPr>
      </w:pPr>
      <w:r>
        <w:rPr>
          <w:rFonts w:hint="eastAsia" w:ascii="宋体" w:hAnsi="宋体"/>
          <w:b/>
          <w:color w:val="000000"/>
          <w:sz w:val="28"/>
          <w:szCs w:val="28"/>
          <w:highlight w:val="none"/>
        </w:rPr>
        <w:t>甲方：</w:t>
      </w:r>
      <w:r>
        <w:rPr>
          <w:rFonts w:hint="eastAsia" w:ascii="宋体" w:hAnsi="宋体"/>
          <w:color w:val="000000"/>
          <w:sz w:val="28"/>
          <w:szCs w:val="28"/>
          <w:highlight w:val="none"/>
          <w:u w:val="single"/>
        </w:rPr>
        <w:t>（采购人</w:t>
      </w:r>
      <w:r>
        <w:rPr>
          <w:rFonts w:ascii="宋体" w:hAnsi="宋体"/>
          <w:color w:val="000000"/>
          <w:sz w:val="28"/>
          <w:szCs w:val="28"/>
          <w:highlight w:val="none"/>
          <w:u w:val="single"/>
        </w:rPr>
        <w:t>/</w:t>
      </w:r>
      <w:r>
        <w:rPr>
          <w:rFonts w:hint="eastAsia" w:ascii="宋体" w:hAnsi="宋体"/>
          <w:color w:val="000000"/>
          <w:sz w:val="28"/>
          <w:szCs w:val="28"/>
          <w:highlight w:val="none"/>
          <w:u w:val="single"/>
        </w:rPr>
        <w:t>用户单位）</w:t>
      </w:r>
    </w:p>
    <w:p>
      <w:pPr>
        <w:spacing w:line="520" w:lineRule="exact"/>
        <w:ind w:firstLine="560" w:firstLineChars="200"/>
        <w:rPr>
          <w:rFonts w:ascii="宋体"/>
          <w:color w:val="000000"/>
          <w:sz w:val="28"/>
          <w:szCs w:val="28"/>
          <w:highlight w:val="none"/>
        </w:rPr>
      </w:pPr>
    </w:p>
    <w:p>
      <w:pPr>
        <w:spacing w:line="520" w:lineRule="exact"/>
        <w:ind w:firstLine="562" w:firstLineChars="200"/>
        <w:rPr>
          <w:rFonts w:ascii="宋体"/>
          <w:color w:val="000000"/>
          <w:sz w:val="28"/>
          <w:szCs w:val="28"/>
          <w:highlight w:val="none"/>
          <w:u w:val="single"/>
        </w:rPr>
      </w:pPr>
      <w:r>
        <w:rPr>
          <w:rFonts w:hint="eastAsia" w:ascii="宋体" w:hAnsi="宋体"/>
          <w:b/>
          <w:color w:val="000000"/>
          <w:sz w:val="28"/>
          <w:szCs w:val="28"/>
          <w:highlight w:val="none"/>
        </w:rPr>
        <w:t>乙方：</w:t>
      </w:r>
      <w:r>
        <w:rPr>
          <w:rFonts w:hint="eastAsia" w:ascii="宋体" w:hAnsi="宋体"/>
          <w:color w:val="000000"/>
          <w:sz w:val="28"/>
          <w:szCs w:val="28"/>
          <w:highlight w:val="none"/>
          <w:u w:val="single"/>
        </w:rPr>
        <w:t>（中标人</w:t>
      </w:r>
      <w:r>
        <w:rPr>
          <w:rFonts w:ascii="宋体" w:hAnsi="宋体"/>
          <w:color w:val="000000"/>
          <w:sz w:val="28"/>
          <w:szCs w:val="28"/>
          <w:highlight w:val="none"/>
          <w:u w:val="single"/>
        </w:rPr>
        <w:t>/</w:t>
      </w:r>
      <w:r>
        <w:rPr>
          <w:rFonts w:hint="eastAsia" w:ascii="宋体" w:hAnsi="宋体"/>
          <w:color w:val="000000"/>
          <w:sz w:val="28"/>
          <w:szCs w:val="28"/>
          <w:highlight w:val="none"/>
          <w:u w:val="single"/>
        </w:rPr>
        <w:t>供应方）</w:t>
      </w:r>
    </w:p>
    <w:p>
      <w:pPr>
        <w:spacing w:line="520" w:lineRule="exact"/>
        <w:ind w:firstLine="560" w:firstLineChars="200"/>
        <w:rPr>
          <w:rFonts w:ascii="宋体"/>
          <w:color w:val="000000"/>
          <w:sz w:val="28"/>
          <w:szCs w:val="28"/>
          <w:highlight w:val="none"/>
        </w:rPr>
      </w:pPr>
    </w:p>
    <w:p>
      <w:pPr>
        <w:spacing w:line="520" w:lineRule="exact"/>
        <w:ind w:firstLine="480" w:firstLineChars="200"/>
        <w:rPr>
          <w:rFonts w:ascii="宋体"/>
          <w:color w:val="000000"/>
          <w:kern w:val="28"/>
          <w:sz w:val="24"/>
          <w:highlight w:val="none"/>
        </w:rPr>
      </w:pPr>
      <w:r>
        <w:rPr>
          <w:rFonts w:hint="eastAsia" w:ascii="宋体" w:hAnsi="宋体"/>
          <w:color w:val="000000"/>
          <w:kern w:val="28"/>
          <w:sz w:val="24"/>
          <w:highlight w:val="none"/>
        </w:rPr>
        <w:t>甲方为仪器设备的采购人</w:t>
      </w:r>
      <w:r>
        <w:rPr>
          <w:rFonts w:ascii="宋体" w:hAnsi="宋体"/>
          <w:color w:val="000000"/>
          <w:kern w:val="28"/>
          <w:sz w:val="24"/>
          <w:highlight w:val="none"/>
        </w:rPr>
        <w:t>/</w:t>
      </w:r>
      <w:r>
        <w:rPr>
          <w:rFonts w:hint="eastAsia" w:ascii="宋体" w:hAnsi="宋体"/>
          <w:color w:val="000000"/>
          <w:kern w:val="28"/>
          <w:sz w:val="24"/>
          <w:highlight w:val="none"/>
        </w:rPr>
        <w:t>用户单位，乙方为设备制造商或制造商的授权代理人。</w:t>
      </w:r>
      <w:r>
        <w:rPr>
          <w:rFonts w:hint="eastAsia" w:ascii="宋体" w:hAnsi="宋体"/>
          <w:color w:val="000000"/>
          <w:sz w:val="24"/>
          <w:highlight w:val="none"/>
        </w:rPr>
        <w:t>根据《中华人民共和国政府采购法》、《中华人民共和国民法典》、甲方招标文件的要求，</w:t>
      </w:r>
      <w:r>
        <w:rPr>
          <w:rFonts w:hint="eastAsia" w:ascii="宋体" w:hAnsi="宋体"/>
          <w:color w:val="000000"/>
          <w:kern w:val="28"/>
          <w:sz w:val="24"/>
          <w:highlight w:val="none"/>
        </w:rPr>
        <w:t>经双方协商，</w:t>
      </w:r>
      <w:r>
        <w:rPr>
          <w:rFonts w:hint="eastAsia" w:ascii="宋体" w:hAnsi="宋体"/>
          <w:color w:val="000000"/>
          <w:sz w:val="24"/>
          <w:highlight w:val="none"/>
        </w:rPr>
        <w:t>本着平等互利和诚实守信的原则，</w:t>
      </w:r>
      <w:r>
        <w:rPr>
          <w:rFonts w:hint="eastAsia" w:ascii="宋体" w:hAnsi="宋体"/>
          <w:color w:val="000000"/>
          <w:kern w:val="28"/>
          <w:sz w:val="24"/>
          <w:highlight w:val="none"/>
        </w:rPr>
        <w:t>一致同意签订本合同如下。</w:t>
      </w:r>
    </w:p>
    <w:p>
      <w:pPr>
        <w:pStyle w:val="86"/>
        <w:numPr>
          <w:ilvl w:val="0"/>
          <w:numId w:val="127"/>
        </w:numPr>
        <w:ind w:left="0" w:leftChars="0" w:firstLine="420" w:firstLineChars="0"/>
        <w:rPr>
          <w:rFonts w:ascii="宋体" w:hAnsi="宋体" w:eastAsia="宋体"/>
          <w:color w:val="000000"/>
          <w:sz w:val="24"/>
          <w:szCs w:val="24"/>
          <w:highlight w:val="none"/>
        </w:rPr>
      </w:pPr>
      <w:r>
        <w:rPr>
          <w:rFonts w:hint="eastAsia" w:ascii="宋体" w:hAnsi="宋体" w:eastAsia="宋体"/>
          <w:color w:val="000000"/>
          <w:sz w:val="24"/>
          <w:szCs w:val="24"/>
          <w:highlight w:val="none"/>
        </w:rPr>
        <w:t>项目名称</w:t>
      </w:r>
    </w:p>
    <w:p>
      <w:pPr>
        <w:spacing w:line="520" w:lineRule="exact"/>
        <w:ind w:left="2099" w:leftChars="228" w:hanging="1620" w:hangingChars="675"/>
        <w:rPr>
          <w:rFonts w:ascii="宋体"/>
          <w:color w:val="000000"/>
          <w:sz w:val="24"/>
          <w:highlight w:val="none"/>
        </w:rPr>
      </w:pPr>
      <w:r>
        <w:rPr>
          <w:rFonts w:hint="eastAsia" w:ascii="宋体" w:hAnsi="宋体"/>
          <w:color w:val="000000"/>
          <w:sz w:val="24"/>
          <w:highlight w:val="none"/>
        </w:rPr>
        <w:t>项目名称：农业农村部木薯种质资源保护与利用重点实验室建设项目</w:t>
      </w:r>
    </w:p>
    <w:p>
      <w:pPr>
        <w:spacing w:line="520" w:lineRule="exact"/>
        <w:ind w:firstLine="480" w:firstLineChars="200"/>
        <w:rPr>
          <w:rFonts w:ascii="宋体"/>
          <w:color w:val="000000"/>
          <w:sz w:val="24"/>
          <w:highlight w:val="none"/>
          <w:u w:val="single"/>
        </w:rPr>
      </w:pPr>
      <w:r>
        <w:rPr>
          <w:rFonts w:hint="eastAsia" w:ascii="宋体" w:hAnsi="宋体"/>
          <w:color w:val="000000"/>
          <w:sz w:val="24"/>
          <w:highlight w:val="none"/>
        </w:rPr>
        <w:t>项目编号：1210-2441YDZB7762</w:t>
      </w:r>
    </w:p>
    <w:p>
      <w:pPr>
        <w:pStyle w:val="86"/>
        <w:numPr>
          <w:ilvl w:val="0"/>
          <w:numId w:val="127"/>
        </w:numPr>
        <w:ind w:left="0" w:leftChars="0" w:firstLine="420" w:firstLineChars="0"/>
        <w:rPr>
          <w:rFonts w:ascii="宋体" w:hAnsi="宋体" w:eastAsia="宋体"/>
          <w:color w:val="000000"/>
          <w:sz w:val="24"/>
          <w:szCs w:val="24"/>
          <w:highlight w:val="none"/>
        </w:rPr>
      </w:pPr>
      <w:r>
        <w:rPr>
          <w:rFonts w:hint="eastAsia" w:ascii="宋体" w:hAnsi="宋体" w:eastAsia="宋体"/>
          <w:color w:val="000000"/>
          <w:sz w:val="24"/>
          <w:szCs w:val="24"/>
          <w:highlight w:val="none"/>
        </w:rPr>
        <w:t>货物及其数量、金额等</w:t>
      </w:r>
    </w:p>
    <w:tbl>
      <w:tblPr>
        <w:tblStyle w:val="29"/>
        <w:tblW w:w="9591" w:type="dxa"/>
        <w:jc w:val="center"/>
        <w:tblLayout w:type="fixed"/>
        <w:tblCellMar>
          <w:top w:w="0" w:type="dxa"/>
          <w:left w:w="30" w:type="dxa"/>
          <w:bottom w:w="0" w:type="dxa"/>
          <w:right w:w="30" w:type="dxa"/>
        </w:tblCellMar>
      </w:tblPr>
      <w:tblGrid>
        <w:gridCol w:w="720"/>
        <w:gridCol w:w="1234"/>
        <w:gridCol w:w="1980"/>
        <w:gridCol w:w="720"/>
        <w:gridCol w:w="718"/>
        <w:gridCol w:w="720"/>
        <w:gridCol w:w="902"/>
        <w:gridCol w:w="1157"/>
        <w:gridCol w:w="720"/>
        <w:gridCol w:w="720"/>
      </w:tblGrid>
      <w:tr>
        <w:tblPrEx>
          <w:tblCellMar>
            <w:top w:w="0" w:type="dxa"/>
            <w:left w:w="30" w:type="dxa"/>
            <w:bottom w:w="0" w:type="dxa"/>
            <w:right w:w="30" w:type="dxa"/>
          </w:tblCellMar>
        </w:tblPrEx>
        <w:trPr>
          <w:cantSplit/>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序号</w:t>
            </w:r>
          </w:p>
        </w:tc>
        <w:tc>
          <w:tcPr>
            <w:tcW w:w="12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名称</w:t>
            </w: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品牌、型号规格</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产地</w:t>
            </w:r>
          </w:p>
        </w:tc>
        <w:tc>
          <w:tcPr>
            <w:tcW w:w="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单位</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数量</w:t>
            </w:r>
          </w:p>
        </w:tc>
        <w:tc>
          <w:tcPr>
            <w:tcW w:w="902" w:type="dxa"/>
            <w:tcBorders>
              <w:top w:val="single" w:color="auto" w:sz="6" w:space="0"/>
              <w:left w:val="single" w:color="auto" w:sz="6" w:space="0"/>
              <w:bottom w:val="single" w:color="auto" w:sz="6" w:space="0"/>
              <w:right w:val="single" w:color="auto" w:sz="4" w:space="0"/>
            </w:tcBorders>
            <w:vAlign w:val="center"/>
          </w:tcPr>
          <w:p>
            <w:pPr>
              <w:pStyle w:val="60"/>
              <w:autoSpaceDE w:val="0"/>
              <w:autoSpaceDN w:val="0"/>
              <w:spacing w:line="240" w:lineRule="auto"/>
              <w:textAlignment w:val="auto"/>
              <w:rPr>
                <w:rFonts w:ascii="宋体"/>
                <w:b/>
                <w:color w:val="000000"/>
                <w:spacing w:val="0"/>
                <w:kern w:val="2"/>
                <w:szCs w:val="24"/>
                <w:highlight w:val="none"/>
              </w:rPr>
            </w:pPr>
            <w:r>
              <w:rPr>
                <w:rFonts w:hint="eastAsia" w:ascii="宋体" w:hAnsi="宋体"/>
                <w:b/>
                <w:color w:val="000000"/>
                <w:spacing w:val="0"/>
                <w:kern w:val="2"/>
                <w:szCs w:val="24"/>
                <w:highlight w:val="none"/>
              </w:rPr>
              <w:t>单价</w:t>
            </w:r>
          </w:p>
        </w:tc>
        <w:tc>
          <w:tcPr>
            <w:tcW w:w="115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合计（</w:t>
            </w:r>
            <w:r>
              <w:rPr>
                <w:rFonts w:ascii="宋体" w:hAnsi="宋体"/>
                <w:b/>
                <w:color w:val="000000"/>
                <w:sz w:val="24"/>
                <w:highlight w:val="none"/>
              </w:rPr>
              <w:t>RMB</w:t>
            </w:r>
            <w:r>
              <w:rPr>
                <w:rFonts w:hint="eastAsia" w:ascii="宋体" w:hAnsi="宋体"/>
                <w:b/>
                <w:color w:val="000000"/>
                <w:sz w:val="24"/>
                <w:highlight w:val="none"/>
              </w:rPr>
              <w:t>）</w:t>
            </w: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免费质保期</w:t>
            </w: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b/>
                <w:color w:val="000000"/>
                <w:sz w:val="24"/>
                <w:highlight w:val="none"/>
              </w:rPr>
            </w:pPr>
            <w:r>
              <w:rPr>
                <w:rFonts w:hint="eastAsia" w:ascii="宋体" w:hAnsi="宋体"/>
                <w:b/>
                <w:color w:val="000000"/>
                <w:sz w:val="24"/>
                <w:highlight w:val="none"/>
              </w:rPr>
              <w:t>备注</w:t>
            </w: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sz w:val="24"/>
                <w:highlight w:val="none"/>
              </w:rPr>
            </w:pPr>
            <w:r>
              <w:rPr>
                <w:rFonts w:ascii="宋体" w:hAnsi="宋体"/>
                <w:color w:val="000000"/>
                <w:sz w:val="24"/>
                <w:highlight w:val="none"/>
              </w:rPr>
              <w:t>1</w:t>
            </w:r>
          </w:p>
        </w:tc>
        <w:tc>
          <w:tcPr>
            <w:tcW w:w="12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1980" w:type="dxa"/>
            <w:tcBorders>
              <w:top w:val="single" w:color="auto" w:sz="6" w:space="0"/>
              <w:left w:val="single" w:color="auto" w:sz="6" w:space="0"/>
              <w:bottom w:val="single" w:color="auto" w:sz="6" w:space="0"/>
              <w:right w:val="single" w:color="auto" w:sz="6" w:space="0"/>
            </w:tcBorders>
            <w:vAlign w:val="center"/>
          </w:tcPr>
          <w:p>
            <w:pPr>
              <w:pStyle w:val="60"/>
              <w:autoSpaceDE w:val="0"/>
              <w:autoSpaceDN w:val="0"/>
              <w:spacing w:line="240" w:lineRule="auto"/>
              <w:jc w:val="both"/>
              <w:textAlignment w:val="auto"/>
              <w:rPr>
                <w:rFonts w:ascii="宋体"/>
                <w:color w:val="000000"/>
                <w:spacing w:val="0"/>
                <w:kern w:val="2"/>
                <w:szCs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90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宋体"/>
                <w:color w:val="000000"/>
                <w:sz w:val="24"/>
                <w:highlight w:val="none"/>
              </w:rPr>
            </w:pPr>
          </w:p>
        </w:tc>
        <w:tc>
          <w:tcPr>
            <w:tcW w:w="115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sz w:val="24"/>
                <w:highlight w:val="none"/>
              </w:rPr>
            </w:pPr>
            <w:r>
              <w:rPr>
                <w:rFonts w:ascii="宋体" w:hAnsi="宋体"/>
                <w:color w:val="000000"/>
                <w:sz w:val="24"/>
                <w:highlight w:val="none"/>
              </w:rPr>
              <w:t>2</w:t>
            </w:r>
          </w:p>
        </w:tc>
        <w:tc>
          <w:tcPr>
            <w:tcW w:w="12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90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宋体"/>
                <w:color w:val="000000"/>
                <w:sz w:val="24"/>
                <w:highlight w:val="none"/>
              </w:rPr>
            </w:pPr>
          </w:p>
        </w:tc>
        <w:tc>
          <w:tcPr>
            <w:tcW w:w="115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sz w:val="24"/>
                <w:highlight w:val="none"/>
              </w:rPr>
            </w:pPr>
            <w:r>
              <w:rPr>
                <w:rFonts w:ascii="宋体" w:hAnsi="宋体"/>
                <w:color w:val="000000"/>
                <w:sz w:val="24"/>
                <w:highlight w:val="none"/>
              </w:rPr>
              <w:t>3</w:t>
            </w:r>
          </w:p>
        </w:tc>
        <w:tc>
          <w:tcPr>
            <w:tcW w:w="12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90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宋体"/>
                <w:color w:val="000000"/>
                <w:sz w:val="24"/>
                <w:highlight w:val="none"/>
              </w:rPr>
            </w:pPr>
          </w:p>
        </w:tc>
        <w:tc>
          <w:tcPr>
            <w:tcW w:w="115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r>
      <w:tr>
        <w:tblPrEx>
          <w:tblCellMar>
            <w:top w:w="0" w:type="dxa"/>
            <w:left w:w="30" w:type="dxa"/>
            <w:bottom w:w="0" w:type="dxa"/>
            <w:right w:w="30" w:type="dxa"/>
          </w:tblCellMar>
        </w:tblPrEx>
        <w:trPr>
          <w:trHeight w:val="460" w:hRule="atLeast"/>
          <w:jc w:val="center"/>
        </w:trPr>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jc w:val="center"/>
              <w:rPr>
                <w:rFonts w:ascii="宋体"/>
                <w:color w:val="000000"/>
                <w:sz w:val="24"/>
                <w:highlight w:val="none"/>
              </w:rPr>
            </w:pPr>
            <w:r>
              <w:rPr>
                <w:rFonts w:hint="eastAsia" w:ascii="宋体"/>
                <w:color w:val="000000"/>
                <w:sz w:val="24"/>
                <w:highlight w:val="none"/>
              </w:rPr>
              <w:t>…</w:t>
            </w:r>
          </w:p>
        </w:tc>
        <w:tc>
          <w:tcPr>
            <w:tcW w:w="12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198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18"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902" w:type="dxa"/>
            <w:tcBorders>
              <w:top w:val="single" w:color="auto" w:sz="6" w:space="0"/>
              <w:left w:val="single" w:color="auto" w:sz="6" w:space="0"/>
              <w:bottom w:val="single" w:color="auto" w:sz="6" w:space="0"/>
              <w:right w:val="single" w:color="auto" w:sz="4" w:space="0"/>
            </w:tcBorders>
            <w:vAlign w:val="center"/>
          </w:tcPr>
          <w:p>
            <w:pPr>
              <w:autoSpaceDE w:val="0"/>
              <w:autoSpaceDN w:val="0"/>
              <w:adjustRightInd w:val="0"/>
              <w:rPr>
                <w:rFonts w:ascii="宋体"/>
                <w:color w:val="000000"/>
                <w:sz w:val="24"/>
                <w:highlight w:val="none"/>
              </w:rPr>
            </w:pPr>
          </w:p>
        </w:tc>
        <w:tc>
          <w:tcPr>
            <w:tcW w:w="1157" w:type="dxa"/>
            <w:tcBorders>
              <w:top w:val="single" w:color="auto" w:sz="6" w:space="0"/>
              <w:left w:val="single" w:color="auto" w:sz="4"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tcPr>
          <w:p>
            <w:pPr>
              <w:autoSpaceDE w:val="0"/>
              <w:autoSpaceDN w:val="0"/>
              <w:adjustRightInd w:val="0"/>
              <w:rPr>
                <w:rFonts w:ascii="宋体"/>
                <w:color w:val="000000"/>
                <w:sz w:val="24"/>
                <w:highlight w:val="none"/>
              </w:rPr>
            </w:pPr>
          </w:p>
        </w:tc>
        <w:tc>
          <w:tcPr>
            <w:tcW w:w="72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rPr>
                <w:rFonts w:ascii="宋体"/>
                <w:color w:val="000000"/>
                <w:sz w:val="24"/>
                <w:highlight w:val="none"/>
              </w:rPr>
            </w:pPr>
          </w:p>
        </w:tc>
      </w:tr>
    </w:tbl>
    <w:p>
      <w:pPr>
        <w:pStyle w:val="86"/>
        <w:numPr>
          <w:ilvl w:val="0"/>
          <w:numId w:val="127"/>
        </w:numPr>
        <w:ind w:left="0" w:leftChars="0" w:firstLine="420" w:firstLineChars="0"/>
        <w:rPr>
          <w:rFonts w:ascii="宋体" w:hAnsi="宋体" w:eastAsia="宋体"/>
          <w:color w:val="000000"/>
          <w:sz w:val="24"/>
          <w:szCs w:val="24"/>
          <w:highlight w:val="none"/>
        </w:rPr>
      </w:pPr>
      <w:r>
        <w:rPr>
          <w:rFonts w:hint="eastAsia" w:ascii="宋体" w:hAnsi="宋体" w:eastAsia="宋体"/>
          <w:color w:val="000000"/>
          <w:sz w:val="24"/>
          <w:szCs w:val="24"/>
          <w:highlight w:val="none"/>
        </w:rPr>
        <w:t>项目内容与范围</w:t>
      </w:r>
    </w:p>
    <w:p>
      <w:pPr>
        <w:spacing w:line="520" w:lineRule="exact"/>
        <w:ind w:firstLine="480" w:firstLineChars="200"/>
        <w:rPr>
          <w:rFonts w:ascii="宋体"/>
          <w:bCs/>
          <w:color w:val="000000"/>
          <w:sz w:val="24"/>
          <w:highlight w:val="none"/>
        </w:rPr>
      </w:pPr>
      <w:r>
        <w:rPr>
          <w:rFonts w:ascii="宋体" w:hAnsi="宋体"/>
          <w:bCs/>
          <w:color w:val="000000"/>
          <w:sz w:val="24"/>
          <w:highlight w:val="none"/>
        </w:rPr>
        <w:t>___________________________________________________________</w:t>
      </w:r>
    </w:p>
    <w:p>
      <w:pPr>
        <w:spacing w:line="520" w:lineRule="exact"/>
        <w:ind w:firstLine="480" w:firstLineChars="200"/>
        <w:rPr>
          <w:rFonts w:ascii="宋体"/>
          <w:bCs/>
          <w:color w:val="000000"/>
          <w:sz w:val="24"/>
          <w:highlight w:val="none"/>
        </w:rPr>
      </w:pPr>
      <w:r>
        <w:rPr>
          <w:rFonts w:ascii="宋体" w:hAnsi="宋体"/>
          <w:bCs/>
          <w:color w:val="000000"/>
          <w:sz w:val="24"/>
          <w:highlight w:val="none"/>
        </w:rPr>
        <w:t>___________________________________________________________</w:t>
      </w:r>
    </w:p>
    <w:p>
      <w:pPr>
        <w:rPr>
          <w:rFonts w:ascii="宋体" w:hAnsi="宋体"/>
          <w:color w:val="000000"/>
          <w:sz w:val="24"/>
          <w:highlight w:val="none"/>
        </w:rPr>
      </w:pPr>
      <w:r>
        <w:rPr>
          <w:rFonts w:hint="eastAsia" w:ascii="宋体" w:hAnsi="宋体"/>
          <w:color w:val="000000"/>
          <w:sz w:val="24"/>
          <w:highlight w:val="none"/>
        </w:rPr>
        <w:br w:type="page"/>
      </w:r>
    </w:p>
    <w:p>
      <w:pPr>
        <w:pStyle w:val="86"/>
        <w:numPr>
          <w:ilvl w:val="0"/>
          <w:numId w:val="127"/>
        </w:numPr>
        <w:ind w:left="0" w:leftChars="0" w:firstLine="420" w:firstLineChars="0"/>
        <w:rPr>
          <w:rFonts w:ascii="宋体" w:hAnsi="宋体" w:eastAsia="宋体"/>
          <w:color w:val="000000"/>
          <w:sz w:val="24"/>
          <w:szCs w:val="24"/>
          <w:highlight w:val="none"/>
        </w:rPr>
      </w:pPr>
      <w:r>
        <w:rPr>
          <w:rFonts w:hint="eastAsia" w:ascii="宋体" w:hAnsi="宋体" w:eastAsia="宋体"/>
          <w:color w:val="000000"/>
          <w:sz w:val="24"/>
          <w:szCs w:val="24"/>
          <w:highlight w:val="none"/>
        </w:rPr>
        <w:t>合同金额</w:t>
      </w:r>
    </w:p>
    <w:p>
      <w:pPr>
        <w:keepNext w:val="0"/>
        <w:keepLines w:val="0"/>
        <w:pageBreakBefore w:val="0"/>
        <w:widowControl w:val="0"/>
        <w:numPr>
          <w:ilvl w:val="0"/>
          <w:numId w:val="128"/>
        </w:numPr>
        <w:kinsoku/>
        <w:wordWrap/>
        <w:overflowPunct/>
        <w:topLinePunct w:val="0"/>
        <w:autoSpaceDE/>
        <w:autoSpaceDN/>
        <w:bidi w:val="0"/>
        <w:adjustRightInd/>
        <w:snapToGrid/>
        <w:spacing w:line="360" w:lineRule="auto"/>
        <w:ind w:left="0" w:leftChars="0" w:firstLine="480" w:firstLineChars="200"/>
        <w:textAlignment w:val="auto"/>
        <w:rPr>
          <w:rFonts w:ascii="宋体"/>
          <w:color w:val="000000"/>
          <w:sz w:val="24"/>
          <w:highlight w:val="none"/>
        </w:rPr>
      </w:pPr>
      <w:r>
        <w:rPr>
          <w:rFonts w:hint="eastAsia" w:ascii="宋体" w:hAnsi="宋体"/>
          <w:color w:val="000000"/>
          <w:sz w:val="24"/>
          <w:highlight w:val="none"/>
        </w:rPr>
        <w:t>合同总额：币种为人民币，小写：</w:t>
      </w:r>
      <w:r>
        <w:rPr>
          <w:rFonts w:hint="eastAsia" w:ascii="宋体" w:hAnsi="宋体"/>
          <w:color w:val="000000"/>
          <w:sz w:val="24"/>
          <w:highlight w:val="none"/>
          <w:u w:val="single"/>
        </w:rPr>
        <w:t xml:space="preserve">        </w:t>
      </w:r>
      <w:r>
        <w:rPr>
          <w:rFonts w:hint="eastAsia" w:ascii="宋体" w:hAnsi="宋体"/>
          <w:color w:val="000000"/>
          <w:sz w:val="24"/>
          <w:highlight w:val="none"/>
        </w:rPr>
        <w:t>；大写：</w:t>
      </w:r>
      <w:r>
        <w:rPr>
          <w:rFonts w:hint="eastAsia" w:ascii="宋体" w:hAnsi="宋体"/>
          <w:color w:val="000000"/>
          <w:sz w:val="24"/>
          <w:highlight w:val="none"/>
          <w:u w:val="single"/>
        </w:rPr>
        <w:t xml:space="preserve">        </w:t>
      </w:r>
      <w:r>
        <w:rPr>
          <w:rFonts w:hint="eastAsia" w:ascii="宋体" w:hAnsi="宋体"/>
          <w:color w:val="000000"/>
          <w:sz w:val="24"/>
          <w:highlight w:val="none"/>
        </w:rPr>
        <w:t>。</w:t>
      </w:r>
    </w:p>
    <w:p>
      <w:pPr>
        <w:keepNext w:val="0"/>
        <w:keepLines w:val="0"/>
        <w:pageBreakBefore w:val="0"/>
        <w:widowControl w:val="0"/>
        <w:numPr>
          <w:ilvl w:val="0"/>
          <w:numId w:val="12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合同总额包括乙方设计、制造、采购、各项税费、交货、技术服务、技术培训、安装、调试、随机零配件、标配工具、运输保险、可靠性运行、预验收、最终验收及质量保证期期间的全部责任和义务及合同实施过程中不可预见费用等。</w:t>
      </w:r>
    </w:p>
    <w:p>
      <w:pPr>
        <w:keepNext w:val="0"/>
        <w:keepLines w:val="0"/>
        <w:pageBreakBefore w:val="0"/>
        <w:widowControl w:val="0"/>
        <w:numPr>
          <w:ilvl w:val="0"/>
          <w:numId w:val="128"/>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color w:val="000000"/>
          <w:sz w:val="24"/>
          <w:highlight w:val="none"/>
        </w:rPr>
      </w:pPr>
      <w:r>
        <w:rPr>
          <w:rFonts w:hint="eastAsia" w:ascii="宋体" w:hAnsi="宋体"/>
          <w:color w:val="000000"/>
          <w:sz w:val="24"/>
          <w:highlight w:val="none"/>
        </w:rPr>
        <w:t>价格为固定不变价，天数为日历日。</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交货期及交货地点</w:t>
      </w:r>
    </w:p>
    <w:p>
      <w:pPr>
        <w:pStyle w:val="86"/>
        <w:keepNext w:val="0"/>
        <w:keepLines w:val="0"/>
        <w:pageBreakBefore w:val="0"/>
        <w:widowControl w:val="0"/>
        <w:numPr>
          <w:ilvl w:val="0"/>
          <w:numId w:val="129"/>
        </w:numPr>
        <w:kinsoku/>
        <w:wordWrap/>
        <w:overflowPunct/>
        <w:topLinePunct w:val="0"/>
        <w:autoSpaceDE/>
        <w:autoSpaceDN/>
        <w:bidi w:val="0"/>
        <w:adjustRightInd/>
        <w:snapToGrid/>
        <w:spacing w:line="360" w:lineRule="auto"/>
        <w:ind w:firstLine="482"/>
        <w:textAlignment w:val="auto"/>
        <w:rPr>
          <w:rFonts w:hint="eastAsia" w:ascii="宋体" w:hAnsi="宋体" w:eastAsia="宋体"/>
          <w:b w:val="0"/>
          <w:bCs/>
          <w:color w:val="000000"/>
          <w:sz w:val="24"/>
          <w:szCs w:val="24"/>
          <w:highlight w:val="none"/>
        </w:rPr>
      </w:pPr>
      <w:r>
        <w:rPr>
          <w:rFonts w:hint="eastAsia" w:ascii="宋体" w:hAnsi="宋体" w:eastAsia="宋体"/>
          <w:b w:val="0"/>
          <w:bCs/>
          <w:color w:val="000000"/>
          <w:sz w:val="24"/>
          <w:szCs w:val="24"/>
          <w:highlight w:val="none"/>
        </w:rPr>
        <w:t>交货期：自合同签订之日起</w:t>
      </w:r>
      <w:r>
        <w:rPr>
          <w:rFonts w:hint="eastAsia" w:ascii="宋体" w:hAnsi="宋体" w:eastAsia="宋体"/>
          <w:b w:val="0"/>
          <w:bCs/>
          <w:color w:val="000000"/>
          <w:sz w:val="24"/>
          <w:szCs w:val="24"/>
          <w:highlight w:val="none"/>
          <w:u w:val="single"/>
          <w:lang w:val="en-US" w:eastAsia="zh-CN"/>
        </w:rPr>
        <w:t xml:space="preserve">    </w:t>
      </w:r>
      <w:r>
        <w:rPr>
          <w:rFonts w:hint="eastAsia" w:ascii="宋体" w:hAnsi="宋体" w:eastAsia="宋体"/>
          <w:b w:val="0"/>
          <w:bCs/>
          <w:color w:val="000000"/>
          <w:sz w:val="24"/>
          <w:szCs w:val="24"/>
          <w:highlight w:val="none"/>
        </w:rPr>
        <w:t>个日历天内完成供货并交付验收。</w:t>
      </w:r>
    </w:p>
    <w:p>
      <w:pPr>
        <w:pStyle w:val="86"/>
        <w:keepNext w:val="0"/>
        <w:keepLines w:val="0"/>
        <w:pageBreakBefore w:val="0"/>
        <w:widowControl w:val="0"/>
        <w:numPr>
          <w:ilvl w:val="0"/>
          <w:numId w:val="129"/>
        </w:numPr>
        <w:kinsoku/>
        <w:wordWrap/>
        <w:overflowPunct/>
        <w:topLinePunct w:val="0"/>
        <w:autoSpaceDE/>
        <w:autoSpaceDN/>
        <w:bidi w:val="0"/>
        <w:adjustRightInd/>
        <w:snapToGrid/>
        <w:spacing w:line="360" w:lineRule="auto"/>
        <w:ind w:firstLine="482"/>
        <w:textAlignment w:val="auto"/>
        <w:rPr>
          <w:rFonts w:hint="eastAsia" w:ascii="宋体" w:hAnsi="宋体" w:eastAsia="宋体"/>
          <w:b w:val="0"/>
          <w:bCs/>
          <w:color w:val="000000"/>
          <w:sz w:val="24"/>
          <w:szCs w:val="24"/>
          <w:highlight w:val="none"/>
        </w:rPr>
      </w:pPr>
      <w:r>
        <w:rPr>
          <w:rFonts w:hint="eastAsia" w:ascii="宋体" w:hAnsi="宋体" w:eastAsia="宋体"/>
          <w:b w:val="0"/>
          <w:bCs/>
          <w:color w:val="000000"/>
          <w:sz w:val="24"/>
          <w:szCs w:val="24"/>
          <w:highlight w:val="none"/>
        </w:rPr>
        <w:t>交货地点：</w:t>
      </w:r>
      <w:r>
        <w:rPr>
          <w:rFonts w:hint="eastAsia" w:ascii="宋体" w:hAnsi="宋体" w:eastAsia="宋体"/>
          <w:b w:val="0"/>
          <w:bCs/>
          <w:color w:val="000000"/>
          <w:sz w:val="24"/>
          <w:szCs w:val="24"/>
          <w:highlight w:val="none"/>
          <w:lang w:eastAsia="zh-CN"/>
        </w:rPr>
        <w:t>甲方</w:t>
      </w:r>
      <w:r>
        <w:rPr>
          <w:rFonts w:hint="eastAsia" w:ascii="宋体" w:hAnsi="宋体" w:eastAsia="宋体"/>
          <w:b w:val="0"/>
          <w:bCs/>
          <w:color w:val="000000"/>
          <w:sz w:val="24"/>
          <w:szCs w:val="24"/>
          <w:highlight w:val="none"/>
        </w:rPr>
        <w:t>指定地点。</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安装与调试</w:t>
      </w:r>
    </w:p>
    <w:p>
      <w:pPr>
        <w:spacing w:line="360" w:lineRule="auto"/>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1.以符合投标文件要求和响应承诺的前提下，将货物（系统）安装并调试至最佳状态且双方均认为满意。</w:t>
      </w:r>
    </w:p>
    <w:p>
      <w:pPr>
        <w:spacing w:line="360" w:lineRule="auto"/>
        <w:ind w:firstLine="480" w:firstLineChars="200"/>
        <w:jc w:val="both"/>
        <w:rPr>
          <w:rFonts w:hint="eastAsia" w:ascii="宋体" w:hAnsi="宋体"/>
          <w:color w:val="000000"/>
          <w:sz w:val="24"/>
          <w:szCs w:val="24"/>
          <w:highlight w:val="none"/>
        </w:rPr>
      </w:pPr>
      <w:r>
        <w:rPr>
          <w:rFonts w:hint="eastAsia" w:ascii="宋体" w:hAnsi="宋体"/>
          <w:color w:val="000000"/>
          <w:sz w:val="24"/>
          <w:szCs w:val="24"/>
          <w:highlight w:val="none"/>
        </w:rPr>
        <w:t>2.如功能、配置、参数等不符合合同要求，或多次调试后仍然不符合使用要求的，甲方有权更换货或退货。</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olor w:val="000000"/>
          <w:sz w:val="24"/>
          <w:szCs w:val="24"/>
          <w:highlight w:val="none"/>
        </w:rPr>
      </w:pPr>
      <w:r>
        <w:rPr>
          <w:rFonts w:hint="eastAsia" w:ascii="宋体" w:hAnsi="宋体" w:eastAsia="宋体"/>
          <w:color w:val="000000"/>
          <w:sz w:val="24"/>
          <w:szCs w:val="24"/>
          <w:highlight w:val="none"/>
        </w:rPr>
        <w:t>双方的权利和义务</w:t>
      </w:r>
    </w:p>
    <w:p>
      <w:pPr>
        <w:pStyle w:val="86"/>
        <w:keepNext w:val="0"/>
        <w:keepLines w:val="0"/>
        <w:pageBreakBefore w:val="0"/>
        <w:widowControl w:val="0"/>
        <w:numPr>
          <w:ilvl w:val="0"/>
          <w:numId w:val="0"/>
        </w:numPr>
        <w:kinsoku/>
        <w:wordWrap/>
        <w:overflowPunct/>
        <w:topLinePunct w:val="0"/>
        <w:autoSpaceDE/>
        <w:autoSpaceDN/>
        <w:bidi w:val="0"/>
        <w:adjustRightInd/>
        <w:snapToGrid/>
        <w:spacing w:line="360" w:lineRule="auto"/>
        <w:ind w:left="420" w:left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（甲乙双方协商订立，如没有，请将该条删除。）</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验收要求</w:t>
      </w:r>
    </w:p>
    <w:p>
      <w:pPr>
        <w:keepNext w:val="0"/>
        <w:keepLines w:val="0"/>
        <w:pageBreakBefore w:val="0"/>
        <w:widowControl w:val="0"/>
        <w:numPr>
          <w:ilvl w:val="0"/>
          <w:numId w:val="130"/>
        </w:numPr>
        <w:kinsoku/>
        <w:wordWrap/>
        <w:overflowPunct/>
        <w:topLinePunct w:val="0"/>
        <w:autoSpaceDE/>
        <w:autoSpaceDN/>
        <w:bidi w:val="0"/>
        <w:spacing w:line="360" w:lineRule="auto"/>
        <w:ind w:left="0" w:firstLine="482" w:firstLineChars="200"/>
        <w:textAlignment w:val="auto"/>
        <w:rPr>
          <w:rFonts w:ascii="宋体"/>
          <w:b/>
          <w:color w:val="000000"/>
          <w:sz w:val="24"/>
          <w:szCs w:val="24"/>
          <w:highlight w:val="none"/>
        </w:rPr>
      </w:pPr>
      <w:r>
        <w:rPr>
          <w:rFonts w:hint="eastAsia" w:ascii="宋体" w:hAnsi="宋体"/>
          <w:b/>
          <w:color w:val="000000"/>
          <w:sz w:val="24"/>
          <w:szCs w:val="24"/>
          <w:highlight w:val="none"/>
        </w:rPr>
        <w:t>到货检验</w:t>
      </w:r>
    </w:p>
    <w:p>
      <w:pPr>
        <w:keepNext w:val="0"/>
        <w:keepLines w:val="0"/>
        <w:pageBreakBefore w:val="0"/>
        <w:widowControl w:val="0"/>
        <w:numPr>
          <w:ilvl w:val="0"/>
          <w:numId w:val="13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买卖双方将依据有关规定，对到货</w:t>
      </w:r>
      <w:r>
        <w:rPr>
          <w:rFonts w:hint="eastAsia" w:ascii="宋体" w:hAnsi="宋体"/>
          <w:color w:val="000000"/>
          <w:sz w:val="24"/>
          <w:szCs w:val="24"/>
          <w:highlight w:val="none"/>
        </w:rPr>
        <w:t>进行表面（型号、规格、数量、外型、外观、包装及资料、文件等）检验。</w:t>
      </w:r>
    </w:p>
    <w:p>
      <w:pPr>
        <w:keepNext w:val="0"/>
        <w:keepLines w:val="0"/>
        <w:pageBreakBefore w:val="0"/>
        <w:widowControl w:val="0"/>
        <w:numPr>
          <w:ilvl w:val="0"/>
          <w:numId w:val="13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当货物运抵</w:t>
      </w:r>
      <w:r>
        <w:rPr>
          <w:rFonts w:hint="eastAsia" w:ascii="宋体" w:hAnsi="宋体"/>
          <w:color w:val="000000"/>
          <w:sz w:val="24"/>
          <w:szCs w:val="24"/>
          <w:highlight w:val="none"/>
          <w:lang w:val="en-US" w:eastAsia="zh-CN"/>
        </w:rPr>
        <w:t>甲方</w:t>
      </w:r>
      <w:r>
        <w:rPr>
          <w:rFonts w:hint="eastAsia" w:ascii="宋体" w:hAnsi="宋体"/>
          <w:color w:val="000000"/>
          <w:sz w:val="24"/>
          <w:szCs w:val="24"/>
          <w:highlight w:val="none"/>
        </w:rPr>
        <w:t>的现场后发现有缺陷或与合同不符，</w:t>
      </w:r>
      <w:r>
        <w:rPr>
          <w:rFonts w:hint="eastAsia" w:ascii="宋体" w:hAnsi="宋体"/>
          <w:color w:val="000000"/>
          <w:sz w:val="24"/>
          <w:szCs w:val="24"/>
          <w:highlight w:val="none"/>
          <w:lang w:val="en-US" w:eastAsia="zh-CN"/>
        </w:rPr>
        <w:t>乙方</w:t>
      </w:r>
      <w:r>
        <w:rPr>
          <w:rFonts w:hint="eastAsia" w:ascii="宋体" w:hAnsi="宋体"/>
          <w:color w:val="000000"/>
          <w:sz w:val="24"/>
          <w:szCs w:val="24"/>
          <w:highlight w:val="none"/>
        </w:rPr>
        <w:t>应及时进行更换或修复，并自行承担有关费用。</w:t>
      </w:r>
    </w:p>
    <w:p>
      <w:pPr>
        <w:keepNext w:val="0"/>
        <w:keepLines w:val="0"/>
        <w:pageBreakBefore w:val="0"/>
        <w:widowControl w:val="0"/>
        <w:numPr>
          <w:ilvl w:val="0"/>
          <w:numId w:val="131"/>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到货检验仅仅属于预防性检验，设备是否合格应</w:t>
      </w:r>
      <w:r>
        <w:rPr>
          <w:rFonts w:hint="eastAsia" w:ascii="宋体" w:hAnsi="宋体"/>
          <w:color w:val="000000"/>
          <w:sz w:val="24"/>
          <w:szCs w:val="24"/>
          <w:highlight w:val="none"/>
        </w:rPr>
        <w:t>以最后整体验收的结论为准。</w:t>
      </w:r>
    </w:p>
    <w:p>
      <w:pPr>
        <w:keepNext w:val="0"/>
        <w:keepLines w:val="0"/>
        <w:pageBreakBefore w:val="0"/>
        <w:widowControl w:val="0"/>
        <w:numPr>
          <w:ilvl w:val="0"/>
          <w:numId w:val="130"/>
        </w:numPr>
        <w:kinsoku/>
        <w:wordWrap/>
        <w:overflowPunct/>
        <w:topLinePunct w:val="0"/>
        <w:autoSpaceDE/>
        <w:autoSpaceDN/>
        <w:bidi w:val="0"/>
        <w:spacing w:line="360" w:lineRule="auto"/>
        <w:ind w:left="0"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验收</w:t>
      </w:r>
    </w:p>
    <w:p>
      <w:pPr>
        <w:keepNext w:val="0"/>
        <w:keepLines w:val="0"/>
        <w:pageBreakBefore w:val="0"/>
        <w:widowControl w:val="0"/>
        <w:numPr>
          <w:ilvl w:val="0"/>
          <w:numId w:val="13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整体验收按国家有关的规定、规范进行。</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按照</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总项目的总体调试、验收的要求，对本项目单台设备进安装调试，设备正常试运行15天以上，再组织双方进行整体验收，验收合格后双方签署验收报告。</w:t>
      </w:r>
    </w:p>
    <w:p>
      <w:pPr>
        <w:keepNext w:val="0"/>
        <w:keepLines w:val="0"/>
        <w:pageBreakBefore w:val="0"/>
        <w:widowControl w:val="0"/>
        <w:numPr>
          <w:ilvl w:val="0"/>
          <w:numId w:val="13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应在项目验收后将系统的全部有关产品说明书、原厂家安装及使用手册、技术文件、资料、及安装、调试、验收报告等文档汇集成册交付</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w:t>
      </w:r>
    </w:p>
    <w:p>
      <w:pPr>
        <w:keepNext w:val="0"/>
        <w:keepLines w:val="0"/>
        <w:pageBreakBefore w:val="0"/>
        <w:widowControl w:val="0"/>
        <w:numPr>
          <w:ilvl w:val="0"/>
          <w:numId w:val="13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单台设备在安装调试过程中，如功能、配置、参数等不符合合同要求，卖方应负责及时整改或更换，整改或更换时间超过20天仍然不符合要求的，甲方有权要求退货退钱。</w:t>
      </w:r>
    </w:p>
    <w:p>
      <w:pPr>
        <w:keepNext w:val="0"/>
        <w:keepLines w:val="0"/>
        <w:pageBreakBefore w:val="0"/>
        <w:widowControl w:val="0"/>
        <w:numPr>
          <w:ilvl w:val="0"/>
          <w:numId w:val="13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rPr>
        <w:t>整体验收不能通过的，卖方应负责及时整改或更换。若整改后，设备仍未能达标的，</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可要求</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进行更换，整改及更换超过20日的，按每日该设备价格2‰支付违约金，超过60日的，</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有单方面解除合同的权利，并同时保留依法追究其经济及法律责任的权利。</w:t>
      </w:r>
    </w:p>
    <w:p>
      <w:pPr>
        <w:keepNext w:val="0"/>
        <w:keepLines w:val="0"/>
        <w:pageBreakBefore w:val="0"/>
        <w:widowControl w:val="0"/>
        <w:numPr>
          <w:ilvl w:val="0"/>
          <w:numId w:val="132"/>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保证合同项下提供的设备不侵犯任何第三方的专利、商标或版权。否则，</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须承担对第三方的专利或版权的侵权责任并承担因此而发生的所有费用。</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质保及售后服务要求</w:t>
      </w:r>
    </w:p>
    <w:p>
      <w:pPr>
        <w:keepNext w:val="0"/>
        <w:keepLines w:val="0"/>
        <w:pageBreakBefore w:val="0"/>
        <w:widowControl w:val="0"/>
        <w:numPr>
          <w:ilvl w:val="0"/>
          <w:numId w:val="13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lang w:eastAsia="zh-CN"/>
        </w:rPr>
        <w:t>乙方</w:t>
      </w:r>
      <w:r>
        <w:rPr>
          <w:rFonts w:hint="eastAsia" w:ascii="宋体" w:hAnsi="宋体"/>
          <w:b w:val="0"/>
          <w:bCs/>
          <w:color w:val="000000"/>
          <w:sz w:val="24"/>
          <w:szCs w:val="24"/>
          <w:highlight w:val="none"/>
        </w:rPr>
        <w:t>应确保其所供设备的完整性，包括合同文件遗漏的一切事项，只要这些事项可以确定为是保证货物整体的安全、稳定、可靠所必须的，都应该被认为包括在合同价格之内。</w:t>
      </w:r>
    </w:p>
    <w:p>
      <w:pPr>
        <w:keepNext w:val="0"/>
        <w:keepLines w:val="0"/>
        <w:pageBreakBefore w:val="0"/>
        <w:widowControl w:val="0"/>
        <w:numPr>
          <w:ilvl w:val="0"/>
          <w:numId w:val="13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rPr>
        <w:t>本</w:t>
      </w:r>
      <w:r>
        <w:rPr>
          <w:rFonts w:hint="eastAsia" w:ascii="宋体" w:hAnsi="宋体"/>
          <w:b w:val="0"/>
          <w:bCs/>
          <w:color w:val="000000"/>
          <w:sz w:val="24"/>
          <w:szCs w:val="24"/>
          <w:highlight w:val="none"/>
          <w:lang w:val="en-US" w:eastAsia="zh-CN"/>
        </w:rPr>
        <w:t>合同设备</w:t>
      </w:r>
      <w:r>
        <w:rPr>
          <w:rFonts w:hint="eastAsia" w:ascii="宋体" w:hAnsi="宋体"/>
          <w:b w:val="0"/>
          <w:bCs/>
          <w:color w:val="000000"/>
          <w:sz w:val="24"/>
          <w:szCs w:val="24"/>
          <w:highlight w:val="none"/>
        </w:rPr>
        <w:t>的质保期为</w:t>
      </w:r>
      <w:r>
        <w:rPr>
          <w:rFonts w:hint="eastAsia" w:ascii="宋体" w:hAnsi="宋体"/>
          <w:b w:val="0"/>
          <w:bCs/>
          <w:color w:val="000000"/>
          <w:sz w:val="24"/>
          <w:szCs w:val="24"/>
          <w:highlight w:val="none"/>
          <w:u w:val="single"/>
          <w:lang w:val="en-US" w:eastAsia="zh-CN"/>
        </w:rPr>
        <w:t xml:space="preserve">    </w:t>
      </w:r>
      <w:r>
        <w:rPr>
          <w:rFonts w:hint="eastAsia" w:ascii="宋体" w:hAnsi="宋体"/>
          <w:b w:val="0"/>
          <w:bCs/>
          <w:color w:val="000000"/>
          <w:sz w:val="24"/>
          <w:szCs w:val="24"/>
          <w:highlight w:val="none"/>
        </w:rPr>
        <w:t>个月（如设备详细需求中另外约定的从其约定），质保期从整体验收合格之日起计算。在质保期内，供货商应提供</w:t>
      </w:r>
      <w:r>
        <w:rPr>
          <w:rFonts w:hint="eastAsia" w:ascii="宋体" w:hAnsi="宋体"/>
          <w:b w:val="0"/>
          <w:bCs/>
          <w:color w:val="000000"/>
          <w:sz w:val="24"/>
          <w:szCs w:val="24"/>
          <w:highlight w:val="none"/>
          <w:u w:val="single"/>
          <w:lang w:val="en-US" w:eastAsia="zh-CN"/>
        </w:rPr>
        <w:t xml:space="preserve">   </w:t>
      </w:r>
      <w:r>
        <w:rPr>
          <w:rFonts w:hint="eastAsia" w:ascii="宋体" w:hAnsi="宋体"/>
          <w:b w:val="0"/>
          <w:bCs/>
          <w:color w:val="000000"/>
          <w:sz w:val="24"/>
          <w:szCs w:val="24"/>
          <w:highlight w:val="none"/>
        </w:rPr>
        <w:t>小时响应服务，提供并完成货物正常使用情况下的维修及保养服务；如果有部件损坏，供货商应在三日内予以更换、维修，新更换的零部件的质保期则从更换日起计；质保期内全部服务费和更换零部件的费用由供货商承担。质保期内供货商须提供质量“三包”服务。</w:t>
      </w:r>
    </w:p>
    <w:p>
      <w:pPr>
        <w:keepNext w:val="0"/>
        <w:keepLines w:val="0"/>
        <w:pageBreakBefore w:val="0"/>
        <w:widowControl w:val="0"/>
        <w:numPr>
          <w:ilvl w:val="0"/>
          <w:numId w:val="13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rPr>
        <w:t>在质保期结束前，须由</w:t>
      </w:r>
      <w:r>
        <w:rPr>
          <w:rFonts w:hint="eastAsia" w:ascii="宋体" w:hAnsi="宋体"/>
          <w:b w:val="0"/>
          <w:bCs/>
          <w:color w:val="000000"/>
          <w:sz w:val="24"/>
          <w:szCs w:val="24"/>
          <w:highlight w:val="none"/>
          <w:lang w:eastAsia="zh-CN"/>
        </w:rPr>
        <w:t>乙方</w:t>
      </w:r>
      <w:r>
        <w:rPr>
          <w:rFonts w:hint="eastAsia" w:ascii="宋体" w:hAnsi="宋体"/>
          <w:b w:val="0"/>
          <w:bCs/>
          <w:color w:val="000000"/>
          <w:sz w:val="24"/>
          <w:szCs w:val="24"/>
          <w:highlight w:val="none"/>
        </w:rPr>
        <w:t>专业工程师和业主代表对设备进行一次全面检查，任何缺陷必须由</w:t>
      </w:r>
      <w:r>
        <w:rPr>
          <w:rFonts w:hint="eastAsia" w:ascii="宋体" w:hAnsi="宋体"/>
          <w:b w:val="0"/>
          <w:bCs/>
          <w:color w:val="000000"/>
          <w:sz w:val="24"/>
          <w:szCs w:val="24"/>
          <w:highlight w:val="none"/>
          <w:lang w:eastAsia="zh-CN"/>
        </w:rPr>
        <w:t>乙方</w:t>
      </w:r>
      <w:r>
        <w:rPr>
          <w:rFonts w:hint="eastAsia" w:ascii="宋体" w:hAnsi="宋体"/>
          <w:b w:val="0"/>
          <w:bCs/>
          <w:color w:val="000000"/>
          <w:sz w:val="24"/>
          <w:szCs w:val="24"/>
          <w:highlight w:val="none"/>
        </w:rPr>
        <w:t>负责修理、并得到业主代表认可。在修理之后，</w:t>
      </w:r>
      <w:r>
        <w:rPr>
          <w:rFonts w:hint="eastAsia" w:ascii="宋体" w:hAnsi="宋体"/>
          <w:b w:val="0"/>
          <w:bCs/>
          <w:color w:val="000000"/>
          <w:sz w:val="24"/>
          <w:szCs w:val="24"/>
          <w:highlight w:val="none"/>
          <w:lang w:eastAsia="zh-CN"/>
        </w:rPr>
        <w:t>乙方</w:t>
      </w:r>
      <w:r>
        <w:rPr>
          <w:rFonts w:hint="eastAsia" w:ascii="宋体" w:hAnsi="宋体"/>
          <w:b w:val="0"/>
          <w:bCs/>
          <w:color w:val="000000"/>
          <w:sz w:val="24"/>
          <w:szCs w:val="24"/>
          <w:highlight w:val="none"/>
        </w:rPr>
        <w:t>应将缺陷成因、修理内容、完成修理及恢复正常的时间和日期等报告给</w:t>
      </w:r>
      <w:r>
        <w:rPr>
          <w:rFonts w:hint="eastAsia" w:ascii="宋体" w:hAnsi="宋体"/>
          <w:b w:val="0"/>
          <w:bCs/>
          <w:color w:val="000000"/>
          <w:sz w:val="24"/>
          <w:szCs w:val="24"/>
          <w:highlight w:val="none"/>
          <w:lang w:val="en-US" w:eastAsia="zh-CN"/>
        </w:rPr>
        <w:t>甲方</w:t>
      </w:r>
      <w:r>
        <w:rPr>
          <w:rFonts w:hint="eastAsia" w:ascii="宋体" w:hAnsi="宋体"/>
          <w:b w:val="0"/>
          <w:bCs/>
          <w:color w:val="000000"/>
          <w:sz w:val="24"/>
          <w:szCs w:val="24"/>
          <w:highlight w:val="none"/>
        </w:rPr>
        <w:t>。报告一式两份。</w:t>
      </w:r>
    </w:p>
    <w:p>
      <w:pPr>
        <w:keepNext w:val="0"/>
        <w:keepLines w:val="0"/>
        <w:pageBreakBefore w:val="0"/>
        <w:widowControl w:val="0"/>
        <w:numPr>
          <w:ilvl w:val="0"/>
          <w:numId w:val="133"/>
        </w:numPr>
        <w:kinsoku/>
        <w:wordWrap/>
        <w:overflowPunct/>
        <w:topLinePunct w:val="0"/>
        <w:autoSpaceDE/>
        <w:autoSpaceDN/>
        <w:bidi w:val="0"/>
        <w:spacing w:line="360" w:lineRule="auto"/>
        <w:ind w:left="0" w:firstLine="480" w:firstLineChars="200"/>
        <w:textAlignment w:val="auto"/>
        <w:rPr>
          <w:rFonts w:hint="eastAsia" w:ascii="宋体" w:hAnsi="宋体"/>
          <w:b w:val="0"/>
          <w:bCs/>
          <w:color w:val="000000"/>
          <w:sz w:val="24"/>
          <w:szCs w:val="24"/>
          <w:highlight w:val="none"/>
        </w:rPr>
      </w:pPr>
      <w:r>
        <w:rPr>
          <w:rFonts w:hint="eastAsia" w:ascii="宋体" w:hAnsi="宋体"/>
          <w:b w:val="0"/>
          <w:bCs/>
          <w:color w:val="000000"/>
          <w:sz w:val="24"/>
          <w:szCs w:val="24"/>
          <w:highlight w:val="none"/>
        </w:rPr>
        <w:t>质保期满后承诺：</w:t>
      </w:r>
    </w:p>
    <w:p>
      <w:pPr>
        <w:keepNext w:val="0"/>
        <w:keepLines w:val="0"/>
        <w:pageBreakBefore w:val="0"/>
        <w:widowControl w:val="0"/>
        <w:numPr>
          <w:ilvl w:val="0"/>
          <w:numId w:val="13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以优惠价格提供零配件；</w:t>
      </w:r>
    </w:p>
    <w:p>
      <w:pPr>
        <w:keepNext w:val="0"/>
        <w:keepLines w:val="0"/>
        <w:pageBreakBefore w:val="0"/>
        <w:widowControl w:val="0"/>
        <w:numPr>
          <w:ilvl w:val="0"/>
          <w:numId w:val="13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rPr>
        <w:t>维修费将以最优惠方式收费；</w:t>
      </w:r>
    </w:p>
    <w:p>
      <w:pPr>
        <w:keepNext w:val="0"/>
        <w:keepLines w:val="0"/>
        <w:pageBreakBefore w:val="0"/>
        <w:widowControl w:val="0"/>
        <w:numPr>
          <w:ilvl w:val="0"/>
          <w:numId w:val="13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rPr>
        <w:t>专业维修人员可</w:t>
      </w:r>
      <w:r>
        <w:rPr>
          <w:rFonts w:hint="eastAsia" w:ascii="宋体" w:hAnsi="宋体"/>
          <w:b w:val="0"/>
          <w:bCs/>
          <w:color w:val="000000"/>
          <w:sz w:val="24"/>
          <w:szCs w:val="24"/>
          <w:highlight w:val="none"/>
          <w:u w:val="single"/>
          <w:lang w:val="en-US" w:eastAsia="zh-CN"/>
        </w:rPr>
        <w:t xml:space="preserve">   </w:t>
      </w:r>
      <w:r>
        <w:rPr>
          <w:rFonts w:hint="eastAsia" w:ascii="宋体" w:hAnsi="宋体"/>
          <w:color w:val="000000"/>
          <w:sz w:val="24"/>
          <w:szCs w:val="24"/>
          <w:highlight w:val="none"/>
        </w:rPr>
        <w:t>小时内到现场维修。</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lang w:val="en-US" w:eastAsia="zh-CN"/>
        </w:rPr>
        <w:t>合同金额</w:t>
      </w:r>
      <w:r>
        <w:rPr>
          <w:rFonts w:hint="eastAsia" w:ascii="宋体" w:hAnsi="宋体" w:eastAsia="宋体"/>
          <w:color w:val="000000"/>
          <w:sz w:val="24"/>
          <w:szCs w:val="24"/>
          <w:highlight w:val="none"/>
          <w:lang w:val="zh-CN"/>
        </w:rPr>
        <w:t>要求</w:t>
      </w:r>
    </w:p>
    <w:p>
      <w:pPr>
        <w:keepNext w:val="0"/>
        <w:keepLines w:val="0"/>
        <w:pageBreakBefore w:val="0"/>
        <w:widowControl/>
        <w:numPr>
          <w:ilvl w:val="0"/>
          <w:numId w:val="135"/>
        </w:numPr>
        <w:tabs>
          <w:tab w:val="left" w:pos="426"/>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000000"/>
          <w:sz w:val="24"/>
          <w:szCs w:val="24"/>
          <w:highlight w:val="none"/>
        </w:rPr>
      </w:pPr>
      <w:r>
        <w:rPr>
          <w:rFonts w:hint="eastAsia" w:ascii="宋体" w:hAnsi="宋体"/>
          <w:color w:val="000000"/>
          <w:sz w:val="24"/>
          <w:highlight w:val="none"/>
          <w:lang w:val="en-US" w:eastAsia="zh-CN"/>
        </w:rPr>
        <w:t>合同金额</w:t>
      </w:r>
      <w:r>
        <w:rPr>
          <w:rFonts w:hint="eastAsia" w:ascii="宋体" w:hAnsi="宋体"/>
          <w:color w:val="000000"/>
          <w:sz w:val="24"/>
          <w:highlight w:val="none"/>
          <w:lang w:val="zh-CN"/>
        </w:rPr>
        <w:t>包含但不限于货物的设计、制造、包装、仓储、运输、保险、备件、配件（以达到招标文件的技术要求为准）以及供应商进行的安装、调试、试运行、计量、验收、培训、技术服务〔包括但不限于技术说明书、使用说明书、仪器原理图、操作规程、自校规程（仅限自校设备）、保养细则的提供（文字版及电子版）〕、质保期保障服务、采购需求中列明所需的备品备件（若有）等的全部含税费用。</w:t>
      </w:r>
    </w:p>
    <w:p>
      <w:pPr>
        <w:keepNext w:val="0"/>
        <w:keepLines w:val="0"/>
        <w:pageBreakBefore w:val="0"/>
        <w:widowControl/>
        <w:numPr>
          <w:ilvl w:val="0"/>
          <w:numId w:val="135"/>
        </w:numPr>
        <w:tabs>
          <w:tab w:val="left" w:pos="426"/>
          <w:tab w:val="left" w:pos="840"/>
        </w:tabs>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olor w:val="000000"/>
          <w:sz w:val="24"/>
          <w:szCs w:val="24"/>
          <w:highlight w:val="none"/>
        </w:rPr>
      </w:pPr>
      <w:r>
        <w:rPr>
          <w:rFonts w:hint="eastAsia" w:ascii="宋体" w:hAnsi="宋体"/>
          <w:color w:val="000000"/>
          <w:sz w:val="24"/>
          <w:highlight w:val="none"/>
          <w:lang w:val="zh-CN"/>
        </w:rPr>
        <w:t>中华人民共和国关境外货物还须包括但不限于：（1）货物从进口口岸至最终目的地的关境内运输、保险和其他当地发生的伴随费用。（2）进口有关的一切费用（如外贸公司代理费用、清关费用、银行手续费、海关监管手续费、报关费用、商检费用、申办机电批文费用、机场码头费等）。注：根据国务院关税税则委员会关于对原产于境外进口商品加征关税的系列公告，乙方提供的货物原产地如来自境外，且该货物在公告的商品清单内的，加征的关税由乙方支付，甲方不负责加征的关税。</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lang w:val="zh-CN"/>
        </w:rPr>
        <w:t>伴随服务</w:t>
      </w:r>
    </w:p>
    <w:p>
      <w:pPr>
        <w:keepNext w:val="0"/>
        <w:keepLines w:val="0"/>
        <w:pageBreakBefore w:val="0"/>
        <w:widowControl/>
        <w:numPr>
          <w:ilvl w:val="0"/>
          <w:numId w:val="136"/>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bCs/>
          <w:color w:val="000000"/>
          <w:sz w:val="24"/>
          <w:highlight w:val="none"/>
          <w:lang w:val="zh-CN"/>
        </w:rPr>
      </w:pPr>
      <w:r>
        <w:rPr>
          <w:rFonts w:hint="eastAsia" w:ascii="宋体" w:hAnsi="宋体"/>
          <w:b/>
          <w:bCs/>
          <w:color w:val="000000"/>
          <w:sz w:val="24"/>
          <w:highlight w:val="none"/>
          <w:lang w:val="zh-CN"/>
        </w:rPr>
        <w:t>货物保管</w:t>
      </w:r>
    </w:p>
    <w:p>
      <w:pPr>
        <w:adjustRightInd w:val="0"/>
        <w:snapToGrid w:val="0"/>
        <w:spacing w:line="360" w:lineRule="auto"/>
        <w:ind w:firstLine="480" w:firstLineChars="200"/>
        <w:jc w:val="both"/>
        <w:rPr>
          <w:rFonts w:ascii="宋体"/>
          <w:color w:val="000000"/>
          <w:sz w:val="24"/>
          <w:szCs w:val="24"/>
          <w:highlight w:val="none"/>
        </w:rPr>
      </w:pPr>
      <w:r>
        <w:rPr>
          <w:rFonts w:hint="eastAsia" w:ascii="宋体" w:hAnsi="宋体"/>
          <w:color w:val="000000"/>
          <w:sz w:val="24"/>
          <w:szCs w:val="24"/>
          <w:highlight w:val="none"/>
        </w:rPr>
        <w:t>货物应按品种，规格，级别分别整齐堆放在指定存放地，应有在室外堆放时防雨淋和防水淹设施。</w:t>
      </w:r>
    </w:p>
    <w:p>
      <w:pPr>
        <w:keepNext w:val="0"/>
        <w:keepLines w:val="0"/>
        <w:pageBreakBefore w:val="0"/>
        <w:widowControl/>
        <w:numPr>
          <w:ilvl w:val="0"/>
          <w:numId w:val="136"/>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bCs/>
          <w:color w:val="000000"/>
          <w:sz w:val="24"/>
          <w:highlight w:val="none"/>
          <w:lang w:val="zh-CN"/>
        </w:rPr>
      </w:pPr>
      <w:r>
        <w:rPr>
          <w:rFonts w:hint="eastAsia" w:ascii="宋体" w:hAnsi="宋体"/>
          <w:b/>
          <w:bCs/>
          <w:color w:val="000000"/>
          <w:sz w:val="24"/>
          <w:highlight w:val="none"/>
          <w:lang w:val="zh-CN"/>
        </w:rPr>
        <w:t>培训</w:t>
      </w:r>
    </w:p>
    <w:p>
      <w:pPr>
        <w:keepNext w:val="0"/>
        <w:keepLines w:val="0"/>
        <w:pageBreakBefore w:val="0"/>
        <w:widowControl w:val="0"/>
        <w:numPr>
          <w:ilvl w:val="0"/>
          <w:numId w:val="13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免费为</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提供操作及维护培训，主要内容为设备的基本结构、性能、主要部件的构造及原理，日常使用操作、保养与管理，常见故障的排除，紧急情况的处理等。</w:t>
      </w:r>
    </w:p>
    <w:p>
      <w:pPr>
        <w:keepNext w:val="0"/>
        <w:keepLines w:val="0"/>
        <w:pageBreakBefore w:val="0"/>
        <w:widowControl w:val="0"/>
        <w:numPr>
          <w:ilvl w:val="0"/>
          <w:numId w:val="13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rPr>
        <w:t>大型仪器设备（40万元以上）的，</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应及时通知</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派出人员参加</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组织或所代理公司举办的相关培训，并不再收取任何培训费用。培训人员</w:t>
      </w:r>
      <w:r>
        <w:rPr>
          <w:rFonts w:hint="eastAsia" w:ascii="宋体" w:hAnsi="宋体"/>
          <w:color w:val="000000"/>
          <w:sz w:val="24"/>
          <w:szCs w:val="24"/>
          <w:highlight w:val="none"/>
        </w:rPr>
        <w:t>数量不少于2人。</w:t>
      </w:r>
      <w:r>
        <w:rPr>
          <w:rFonts w:hint="eastAsia" w:ascii="宋体" w:hAnsi="宋体"/>
          <w:color w:val="auto"/>
          <w:sz w:val="24"/>
          <w:szCs w:val="24"/>
          <w:highlight w:val="none"/>
        </w:rPr>
        <w:t>除现场免费使用培训以外，3年内</w:t>
      </w:r>
      <w:r>
        <w:rPr>
          <w:rFonts w:hint="eastAsia" w:ascii="宋体" w:hAnsi="宋体"/>
          <w:color w:val="auto"/>
          <w:sz w:val="24"/>
          <w:szCs w:val="24"/>
          <w:highlight w:val="none"/>
          <w:lang w:val="en-US" w:eastAsia="zh-CN"/>
        </w:rPr>
        <w:t>须</w:t>
      </w:r>
      <w:r>
        <w:rPr>
          <w:rFonts w:hint="eastAsia" w:ascii="宋体" w:hAnsi="宋体"/>
          <w:color w:val="auto"/>
          <w:sz w:val="24"/>
          <w:szCs w:val="24"/>
          <w:highlight w:val="none"/>
        </w:rPr>
        <w:t>提供相关免费培训2次以上。</w:t>
      </w:r>
    </w:p>
    <w:p>
      <w:pPr>
        <w:keepNext w:val="0"/>
        <w:keepLines w:val="0"/>
        <w:pageBreakBefore w:val="0"/>
        <w:widowControl w:val="0"/>
        <w:numPr>
          <w:ilvl w:val="0"/>
          <w:numId w:val="137"/>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eastAsia="宋体"/>
          <w:color w:val="000000"/>
          <w:sz w:val="24"/>
          <w:szCs w:val="24"/>
          <w:highlight w:val="none"/>
        </w:rPr>
      </w:pPr>
      <w:r>
        <w:rPr>
          <w:rFonts w:hint="eastAsia" w:ascii="宋体" w:hAnsi="宋体"/>
          <w:color w:val="000000"/>
          <w:sz w:val="24"/>
          <w:szCs w:val="24"/>
          <w:highlight w:val="none"/>
        </w:rPr>
        <w:t>培训地点和时间主要在设备安装现场或按甲乙双方协商安排。</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lang w:val="zh-CN"/>
        </w:rPr>
        <w:t>资料提供</w:t>
      </w:r>
    </w:p>
    <w:p>
      <w:pPr>
        <w:keepNext w:val="0"/>
        <w:keepLines w:val="0"/>
        <w:pageBreakBefore w:val="0"/>
        <w:widowControl/>
        <w:numPr>
          <w:ilvl w:val="0"/>
          <w:numId w:val="13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ascii="宋体"/>
          <w:b/>
          <w:color w:val="000000"/>
          <w:sz w:val="24"/>
          <w:szCs w:val="24"/>
          <w:highlight w:val="none"/>
        </w:rPr>
      </w:pPr>
      <w:r>
        <w:rPr>
          <w:rFonts w:hint="eastAsia" w:ascii="宋体" w:hAnsi="宋体"/>
          <w:b/>
          <w:color w:val="000000"/>
          <w:sz w:val="24"/>
          <w:szCs w:val="24"/>
          <w:highlight w:val="none"/>
        </w:rPr>
        <w:t>设备说明（包括第三方设备）：</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设备及部件说明（含第三方部件），包括：设备的供货范围；结构、原理、详细性能特性、参数及控制接口等，电器控制原理图。</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设备的安装总图，安装说明，设备调试说明。</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设备及部件性能试验报告。</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设备制造质量资料及质量保证书。</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授权质量监督部门的各种检测报告、材料检验报告等，并列出检验内容、检验标准、测试数据、标定数据、相关计算以及最终检验结果。检验证书应以手册形式提交。</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装卸、运输及储放说明。</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特殊工具和备品备件。</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合格证，包括产品合格证，部件合格证，材料合格证。</w:t>
      </w:r>
    </w:p>
    <w:p>
      <w:pPr>
        <w:keepNext w:val="0"/>
        <w:keepLines w:val="0"/>
        <w:pageBreakBefore w:val="0"/>
        <w:widowControl w:val="0"/>
        <w:numPr>
          <w:ilvl w:val="0"/>
          <w:numId w:val="139"/>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调试及试运行报告，及在调试期间</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的其它所有报告。</w:t>
      </w:r>
    </w:p>
    <w:p>
      <w:pPr>
        <w:keepNext w:val="0"/>
        <w:keepLines w:val="0"/>
        <w:pageBreakBefore w:val="0"/>
        <w:widowControl/>
        <w:numPr>
          <w:ilvl w:val="0"/>
          <w:numId w:val="13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ascii="宋体"/>
          <w:b/>
          <w:color w:val="000000"/>
          <w:sz w:val="24"/>
          <w:szCs w:val="24"/>
          <w:highlight w:val="none"/>
        </w:rPr>
      </w:pPr>
      <w:r>
        <w:rPr>
          <w:rFonts w:hint="eastAsia" w:ascii="宋体" w:hAnsi="宋体"/>
          <w:b/>
          <w:color w:val="000000"/>
          <w:sz w:val="24"/>
          <w:szCs w:val="24"/>
          <w:highlight w:val="none"/>
        </w:rPr>
        <w:t>中文版的设备操作维修手册（包括第三方设备和部件）：</w:t>
      </w:r>
    </w:p>
    <w:p>
      <w:pPr>
        <w:keepNext w:val="0"/>
        <w:keepLines w:val="0"/>
        <w:pageBreakBefore w:val="0"/>
        <w:widowControl w:val="0"/>
        <w:numPr>
          <w:ilvl w:val="0"/>
          <w:numId w:val="14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所有设备的规格。</w:t>
      </w:r>
    </w:p>
    <w:p>
      <w:pPr>
        <w:keepNext w:val="0"/>
        <w:keepLines w:val="0"/>
        <w:pageBreakBefore w:val="0"/>
        <w:widowControl w:val="0"/>
        <w:numPr>
          <w:ilvl w:val="0"/>
          <w:numId w:val="14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所有设备的调试手册，操作方法及程序。</w:t>
      </w:r>
    </w:p>
    <w:p>
      <w:pPr>
        <w:keepNext w:val="0"/>
        <w:keepLines w:val="0"/>
        <w:pageBreakBefore w:val="0"/>
        <w:widowControl w:val="0"/>
        <w:numPr>
          <w:ilvl w:val="0"/>
          <w:numId w:val="14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维护保养，包括：总的要求及安全措施；</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建议的定期保养时间及项目；</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的设备系列号、地址及服务联系电话。</w:t>
      </w:r>
    </w:p>
    <w:p>
      <w:pPr>
        <w:keepNext w:val="0"/>
        <w:keepLines w:val="0"/>
        <w:pageBreakBefore w:val="0"/>
        <w:widowControl w:val="0"/>
        <w:numPr>
          <w:ilvl w:val="0"/>
          <w:numId w:val="14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维修，包括：设备和部件常见故障说明；建议的紧急安全程序；国内紧急维修中心的电话、地址及与负责人的联系方式；维修项目及方法；特殊工具和备品备件清单；维修图册及有关资料。</w:t>
      </w:r>
    </w:p>
    <w:p>
      <w:pPr>
        <w:keepNext w:val="0"/>
        <w:keepLines w:val="0"/>
        <w:pageBreakBefore w:val="0"/>
        <w:widowControl w:val="0"/>
        <w:numPr>
          <w:ilvl w:val="0"/>
          <w:numId w:val="140"/>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安全技术。</w:t>
      </w:r>
    </w:p>
    <w:p>
      <w:pPr>
        <w:keepNext w:val="0"/>
        <w:keepLines w:val="0"/>
        <w:pageBreakBefore w:val="0"/>
        <w:widowControl/>
        <w:numPr>
          <w:ilvl w:val="0"/>
          <w:numId w:val="13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技术人员培训手册及培训所需的所有资料。</w:t>
      </w:r>
    </w:p>
    <w:p>
      <w:pPr>
        <w:keepNext w:val="0"/>
        <w:keepLines w:val="0"/>
        <w:pageBreakBefore w:val="0"/>
        <w:widowControl/>
        <w:numPr>
          <w:ilvl w:val="0"/>
          <w:numId w:val="138"/>
        </w:numPr>
        <w:tabs>
          <w:tab w:val="left" w:pos="426"/>
          <w:tab w:val="left" w:pos="840"/>
        </w:tabs>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本</w:t>
      </w:r>
      <w:r>
        <w:rPr>
          <w:rFonts w:hint="eastAsia" w:ascii="宋体" w:hAnsi="宋体"/>
          <w:b/>
          <w:color w:val="000000"/>
          <w:sz w:val="24"/>
          <w:szCs w:val="24"/>
          <w:highlight w:val="none"/>
          <w:lang w:val="en-US" w:eastAsia="zh-CN"/>
        </w:rPr>
        <w:t>合同</w:t>
      </w:r>
      <w:r>
        <w:rPr>
          <w:rFonts w:hint="eastAsia" w:ascii="宋体" w:hAnsi="宋体"/>
          <w:b/>
          <w:color w:val="000000"/>
          <w:sz w:val="24"/>
          <w:szCs w:val="24"/>
          <w:highlight w:val="none"/>
        </w:rPr>
        <w:t>要求的其它资料</w:t>
      </w:r>
      <w:r>
        <w:rPr>
          <w:rFonts w:hint="eastAsia" w:ascii="宋体" w:hAnsi="宋体"/>
          <w:b/>
          <w:color w:val="000000"/>
          <w:sz w:val="24"/>
          <w:szCs w:val="24"/>
          <w:highlight w:val="none"/>
          <w:lang w:eastAsia="zh-CN"/>
        </w:rPr>
        <w:t>。</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违约责任条款</w:t>
      </w:r>
    </w:p>
    <w:p>
      <w:pPr>
        <w:widowControl/>
        <w:numPr>
          <w:ilvl w:val="0"/>
          <w:numId w:val="141"/>
        </w:numPr>
        <w:tabs>
          <w:tab w:val="left" w:pos="426"/>
          <w:tab w:val="left" w:pos="840"/>
          <w:tab w:val="clear" w:pos="420"/>
        </w:tabs>
        <w:spacing w:line="360" w:lineRule="auto"/>
        <w:ind w:left="0" w:firstLine="480" w:firstLineChars="200"/>
        <w:rPr>
          <w:rFonts w:ascii="宋体" w:hAnsi="宋体"/>
          <w:color w:val="000000"/>
          <w:sz w:val="24"/>
          <w:highlight w:val="none"/>
        </w:rPr>
      </w:pPr>
      <w:r>
        <w:rPr>
          <w:rFonts w:hint="eastAsia" w:ascii="宋体" w:hAnsi="宋体"/>
          <w:color w:val="000000"/>
          <w:sz w:val="24"/>
          <w:highlight w:val="none"/>
          <w:lang w:eastAsia="zh-CN"/>
        </w:rPr>
        <w:t>乙方</w:t>
      </w:r>
      <w:r>
        <w:rPr>
          <w:rFonts w:hint="eastAsia" w:ascii="宋体" w:hAnsi="宋体"/>
          <w:color w:val="000000"/>
          <w:sz w:val="24"/>
          <w:highlight w:val="none"/>
        </w:rPr>
        <w:t>未按要求履行合同义务时，</w:t>
      </w:r>
      <w:r>
        <w:rPr>
          <w:rFonts w:hint="eastAsia" w:ascii="宋体" w:hAnsi="宋体" w:cs="宋体"/>
          <w:bCs/>
          <w:sz w:val="24"/>
          <w:highlight w:val="none"/>
          <w:lang w:val="zh-CN"/>
        </w:rPr>
        <w:t>甲方</w:t>
      </w:r>
      <w:r>
        <w:rPr>
          <w:rFonts w:hint="eastAsia" w:ascii="宋体" w:hAnsi="宋体"/>
          <w:color w:val="000000"/>
          <w:sz w:val="24"/>
          <w:highlight w:val="none"/>
        </w:rPr>
        <w:t>有权拒</w:t>
      </w:r>
      <w:r>
        <w:rPr>
          <w:rFonts w:hint="eastAsia" w:ascii="宋体" w:hAnsi="宋体" w:cs="宋体"/>
          <w:color w:val="000000"/>
          <w:sz w:val="24"/>
          <w:highlight w:val="none"/>
        </w:rPr>
        <w:t>绝验收，且</w:t>
      </w:r>
      <w:r>
        <w:rPr>
          <w:rFonts w:hint="eastAsia" w:ascii="宋体" w:hAnsi="宋体" w:cs="宋体"/>
          <w:color w:val="000000"/>
          <w:sz w:val="24"/>
          <w:highlight w:val="none"/>
          <w:lang w:eastAsia="zh-CN"/>
        </w:rPr>
        <w:t>乙方</w:t>
      </w:r>
      <w:r>
        <w:rPr>
          <w:rFonts w:hint="eastAsia" w:ascii="宋体" w:hAnsi="宋体" w:cs="宋体"/>
          <w:color w:val="000000"/>
          <w:sz w:val="24"/>
          <w:highlight w:val="none"/>
        </w:rPr>
        <w:t>须向</w:t>
      </w:r>
      <w:r>
        <w:rPr>
          <w:rFonts w:hint="eastAsia" w:ascii="宋体" w:hAnsi="宋体" w:cs="宋体"/>
          <w:bCs/>
          <w:sz w:val="24"/>
          <w:highlight w:val="none"/>
          <w:lang w:val="zh-CN"/>
        </w:rPr>
        <w:t>甲方</w:t>
      </w:r>
      <w:r>
        <w:rPr>
          <w:rFonts w:hint="eastAsia" w:ascii="宋体" w:hAnsi="宋体" w:cs="宋体"/>
          <w:color w:val="000000"/>
          <w:sz w:val="24"/>
          <w:highlight w:val="none"/>
        </w:rPr>
        <w:t>支付合同总额10%的违约金；逾期交付的货物，从逾期之日起每日按合同总额2‰的数额向</w:t>
      </w:r>
      <w:r>
        <w:rPr>
          <w:rFonts w:hint="eastAsia" w:ascii="宋体" w:hAnsi="宋体" w:cs="宋体"/>
          <w:bCs/>
          <w:sz w:val="24"/>
          <w:highlight w:val="none"/>
          <w:lang w:val="zh-CN"/>
        </w:rPr>
        <w:t>甲方</w:t>
      </w:r>
      <w:r>
        <w:rPr>
          <w:rFonts w:hint="eastAsia" w:ascii="宋体" w:hAnsi="宋体" w:cs="宋体"/>
          <w:color w:val="000000"/>
          <w:sz w:val="24"/>
          <w:highlight w:val="none"/>
        </w:rPr>
        <w:t>另加付违约金；设备交付逾期15日（进口仪器设备逾期30日）以上时，</w:t>
      </w:r>
      <w:r>
        <w:rPr>
          <w:rFonts w:hint="eastAsia" w:ascii="宋体" w:hAnsi="宋体" w:cs="宋体"/>
          <w:bCs/>
          <w:sz w:val="24"/>
          <w:highlight w:val="none"/>
          <w:lang w:val="zh-CN"/>
        </w:rPr>
        <w:t>甲方</w:t>
      </w:r>
      <w:r>
        <w:rPr>
          <w:rFonts w:hint="eastAsia" w:ascii="宋体" w:hAnsi="宋体" w:cs="宋体"/>
          <w:color w:val="000000"/>
          <w:sz w:val="24"/>
          <w:highlight w:val="none"/>
        </w:rPr>
        <w:t>有权终止合同，如</w:t>
      </w:r>
      <w:r>
        <w:rPr>
          <w:rFonts w:hint="eastAsia" w:ascii="宋体" w:hAnsi="宋体" w:cs="宋体"/>
          <w:bCs/>
          <w:sz w:val="24"/>
          <w:highlight w:val="none"/>
          <w:lang w:val="zh-CN"/>
        </w:rPr>
        <w:t>甲方</w:t>
      </w:r>
      <w:r>
        <w:rPr>
          <w:rFonts w:hint="eastAsia" w:ascii="宋体" w:hAnsi="宋体" w:cs="宋体"/>
          <w:color w:val="000000"/>
          <w:sz w:val="24"/>
          <w:highlight w:val="none"/>
        </w:rPr>
        <w:t>损失超过违约金数额则</w:t>
      </w:r>
      <w:r>
        <w:rPr>
          <w:rFonts w:hint="eastAsia" w:ascii="宋体" w:hAnsi="宋体" w:cs="宋体"/>
          <w:color w:val="000000"/>
          <w:sz w:val="24"/>
          <w:highlight w:val="none"/>
          <w:lang w:eastAsia="zh-CN"/>
        </w:rPr>
        <w:t>乙方</w:t>
      </w:r>
      <w:r>
        <w:rPr>
          <w:rFonts w:hint="eastAsia" w:ascii="宋体" w:hAnsi="宋体" w:cs="宋体"/>
          <w:color w:val="000000"/>
          <w:sz w:val="24"/>
          <w:highlight w:val="none"/>
        </w:rPr>
        <w:t>应按实际</w:t>
      </w:r>
      <w:r>
        <w:rPr>
          <w:rFonts w:hint="eastAsia" w:ascii="宋体" w:hAnsi="宋体"/>
          <w:color w:val="000000"/>
          <w:sz w:val="24"/>
          <w:highlight w:val="none"/>
        </w:rPr>
        <w:t>损失额赔偿；在货到验收之日起</w:t>
      </w:r>
      <w:r>
        <w:rPr>
          <w:rFonts w:ascii="宋体" w:hAnsi="宋体"/>
          <w:color w:val="000000"/>
          <w:sz w:val="24"/>
          <w:highlight w:val="none"/>
        </w:rPr>
        <w:t>15</w:t>
      </w:r>
      <w:r>
        <w:rPr>
          <w:rFonts w:hint="eastAsia" w:ascii="宋体" w:hAnsi="宋体"/>
          <w:color w:val="000000"/>
          <w:sz w:val="24"/>
          <w:highlight w:val="none"/>
        </w:rPr>
        <w:t>日内仍不能按约定提供发票的，每日按未开具发票总额的</w:t>
      </w:r>
      <w:r>
        <w:rPr>
          <w:rFonts w:ascii="宋体" w:hAnsi="宋体"/>
          <w:color w:val="000000"/>
          <w:sz w:val="24"/>
          <w:highlight w:val="none"/>
        </w:rPr>
        <w:t>2</w:t>
      </w:r>
      <w:r>
        <w:rPr>
          <w:rFonts w:hint="eastAsia" w:ascii="宋体" w:hAnsi="宋体"/>
          <w:color w:val="000000"/>
          <w:sz w:val="24"/>
          <w:highlight w:val="none"/>
        </w:rPr>
        <w:t>‰支付违约金，并且</w:t>
      </w:r>
      <w:r>
        <w:rPr>
          <w:rFonts w:hint="eastAsia" w:ascii="宋体" w:hAnsi="宋体"/>
          <w:color w:val="000000"/>
          <w:sz w:val="24"/>
          <w:highlight w:val="none"/>
          <w:lang w:eastAsia="zh-CN"/>
        </w:rPr>
        <w:t>乙方</w:t>
      </w:r>
      <w:r>
        <w:rPr>
          <w:rFonts w:hint="eastAsia" w:ascii="宋体" w:hAnsi="宋体"/>
          <w:color w:val="000000"/>
          <w:sz w:val="24"/>
          <w:highlight w:val="none"/>
        </w:rPr>
        <w:t>仍然负提供发票的责任。</w:t>
      </w:r>
    </w:p>
    <w:p>
      <w:pPr>
        <w:widowControl/>
        <w:numPr>
          <w:ilvl w:val="0"/>
          <w:numId w:val="141"/>
        </w:numPr>
        <w:tabs>
          <w:tab w:val="left" w:pos="426"/>
          <w:tab w:val="left" w:pos="840"/>
          <w:tab w:val="clear" w:pos="420"/>
        </w:tabs>
        <w:spacing w:line="360" w:lineRule="auto"/>
        <w:ind w:left="0" w:firstLine="480" w:firstLineChars="200"/>
        <w:rPr>
          <w:rFonts w:hint="eastAsia" w:ascii="宋体" w:hAnsi="宋体" w:eastAsia="宋体"/>
          <w:color w:val="000000"/>
          <w:sz w:val="24"/>
          <w:szCs w:val="24"/>
          <w:highlight w:val="none"/>
        </w:rPr>
      </w:pPr>
      <w:r>
        <w:rPr>
          <w:rFonts w:hint="eastAsia" w:ascii="宋体" w:hAnsi="宋体"/>
          <w:color w:val="000000"/>
          <w:sz w:val="24"/>
          <w:highlight w:val="none"/>
          <w:lang w:eastAsia="zh-CN"/>
        </w:rPr>
        <w:t>乙方</w:t>
      </w:r>
      <w:r>
        <w:rPr>
          <w:rFonts w:hint="eastAsia" w:ascii="宋体" w:hAnsi="宋体"/>
          <w:color w:val="000000"/>
          <w:sz w:val="24"/>
          <w:highlight w:val="none"/>
        </w:rPr>
        <w:t>未按照招标文件、投标文件等文件规定的相关义务，包括各类伴随责任等，</w:t>
      </w:r>
      <w:r>
        <w:rPr>
          <w:rFonts w:hint="eastAsia" w:ascii="宋体" w:hAnsi="宋体" w:cs="宋体"/>
          <w:bCs/>
          <w:sz w:val="24"/>
          <w:highlight w:val="none"/>
          <w:lang w:val="zh-CN"/>
        </w:rPr>
        <w:t>甲方</w:t>
      </w:r>
      <w:r>
        <w:rPr>
          <w:rFonts w:hint="eastAsia" w:ascii="宋体" w:hAnsi="宋体"/>
          <w:color w:val="000000"/>
          <w:sz w:val="24"/>
          <w:highlight w:val="none"/>
        </w:rPr>
        <w:t>有权</w:t>
      </w:r>
      <w:r>
        <w:rPr>
          <w:rFonts w:hint="eastAsia" w:ascii="宋体" w:hAnsi="宋体"/>
          <w:color w:val="000000"/>
          <w:sz w:val="24"/>
          <w:szCs w:val="24"/>
          <w:highlight w:val="none"/>
        </w:rPr>
        <w:t>扣留</w:t>
      </w:r>
      <w:r>
        <w:rPr>
          <w:rFonts w:hint="eastAsia" w:ascii="宋体" w:hAnsi="宋体"/>
          <w:color w:val="000000"/>
          <w:sz w:val="24"/>
          <w:szCs w:val="24"/>
          <w:highlight w:val="none"/>
          <w:lang w:val="en-US" w:eastAsia="zh-CN"/>
        </w:rPr>
        <w:t>履约保证金</w:t>
      </w:r>
      <w:r>
        <w:rPr>
          <w:rFonts w:hint="eastAsia" w:ascii="宋体" w:hAnsi="宋体"/>
          <w:color w:val="000000"/>
          <w:sz w:val="24"/>
          <w:szCs w:val="24"/>
          <w:highlight w:val="none"/>
        </w:rPr>
        <w:t>，</w:t>
      </w:r>
      <w:r>
        <w:rPr>
          <w:rFonts w:hint="eastAsia" w:ascii="宋体" w:hAnsi="宋体"/>
          <w:color w:val="000000"/>
          <w:sz w:val="24"/>
          <w:szCs w:val="24"/>
          <w:highlight w:val="none"/>
          <w:lang w:val="en-US" w:eastAsia="zh-CN"/>
        </w:rPr>
        <w:t>并</w:t>
      </w:r>
      <w:r>
        <w:rPr>
          <w:rFonts w:hint="eastAsia" w:ascii="宋体" w:hAnsi="宋体"/>
          <w:color w:val="000000"/>
          <w:sz w:val="24"/>
          <w:highlight w:val="none"/>
        </w:rPr>
        <w:t>依法追究经济责任。</w:t>
      </w:r>
    </w:p>
    <w:p>
      <w:pPr>
        <w:widowControl/>
        <w:numPr>
          <w:ilvl w:val="0"/>
          <w:numId w:val="141"/>
        </w:numPr>
        <w:tabs>
          <w:tab w:val="left" w:pos="426"/>
          <w:tab w:val="left" w:pos="840"/>
          <w:tab w:val="clear" w:pos="420"/>
        </w:tabs>
        <w:spacing w:line="360" w:lineRule="auto"/>
        <w:ind w:left="0" w:firstLine="480" w:firstLineChars="200"/>
        <w:rPr>
          <w:rFonts w:hint="eastAsia" w:ascii="宋体" w:hAnsi="宋体" w:eastAsia="宋体"/>
          <w:color w:val="000000"/>
          <w:sz w:val="24"/>
          <w:szCs w:val="24"/>
          <w:highlight w:val="none"/>
        </w:rPr>
      </w:pPr>
      <w:r>
        <w:rPr>
          <w:rFonts w:hint="eastAsia" w:ascii="宋体" w:hAnsi="宋体" w:cs="宋体"/>
          <w:bCs/>
          <w:sz w:val="24"/>
          <w:highlight w:val="none"/>
          <w:lang w:val="zh-CN"/>
        </w:rPr>
        <w:t>甲方</w:t>
      </w:r>
      <w:r>
        <w:rPr>
          <w:rFonts w:hint="eastAsia" w:ascii="宋体" w:hAnsi="宋体"/>
          <w:color w:val="000000"/>
          <w:sz w:val="24"/>
          <w:highlight w:val="none"/>
        </w:rPr>
        <w:t>未按要求履行合同义务时，且无正当理由拖延付款时，</w:t>
      </w:r>
      <w:r>
        <w:rPr>
          <w:rFonts w:hint="eastAsia" w:ascii="宋体" w:hAnsi="宋体" w:cs="宋体"/>
          <w:bCs/>
          <w:sz w:val="24"/>
          <w:highlight w:val="none"/>
          <w:lang w:val="zh-CN"/>
        </w:rPr>
        <w:t>甲方</w:t>
      </w:r>
      <w:r>
        <w:rPr>
          <w:rFonts w:hint="eastAsia" w:ascii="宋体" w:hAnsi="宋体"/>
          <w:color w:val="000000"/>
          <w:sz w:val="24"/>
          <w:highlight w:val="none"/>
        </w:rPr>
        <w:t>须向</w:t>
      </w:r>
      <w:r>
        <w:rPr>
          <w:rFonts w:hint="eastAsia" w:ascii="宋体" w:hAnsi="宋体"/>
          <w:color w:val="000000"/>
          <w:sz w:val="24"/>
          <w:highlight w:val="none"/>
          <w:lang w:eastAsia="zh-CN"/>
        </w:rPr>
        <w:t>乙方</w:t>
      </w:r>
      <w:r>
        <w:rPr>
          <w:rFonts w:hint="eastAsia" w:ascii="宋体" w:hAnsi="宋体"/>
          <w:color w:val="000000"/>
          <w:sz w:val="24"/>
          <w:highlight w:val="none"/>
        </w:rPr>
        <w:t>支付滞纳金，标准为每日按违约总额的</w:t>
      </w:r>
      <w:r>
        <w:rPr>
          <w:rFonts w:ascii="宋体" w:hAnsi="宋体"/>
          <w:color w:val="000000"/>
          <w:sz w:val="24"/>
          <w:highlight w:val="none"/>
        </w:rPr>
        <w:t>2</w:t>
      </w:r>
      <w:r>
        <w:rPr>
          <w:rFonts w:hint="eastAsia" w:ascii="宋体" w:hAnsi="宋体"/>
          <w:color w:val="000000"/>
          <w:sz w:val="24"/>
          <w:highlight w:val="none"/>
        </w:rPr>
        <w:t>‰计算。因国家财政要求从国库直接支付的，</w:t>
      </w:r>
      <w:r>
        <w:rPr>
          <w:rFonts w:hint="eastAsia" w:ascii="宋体" w:hAnsi="宋体" w:cs="宋体"/>
          <w:bCs/>
          <w:sz w:val="24"/>
          <w:highlight w:val="none"/>
          <w:lang w:val="zh-CN"/>
        </w:rPr>
        <w:t>甲方</w:t>
      </w:r>
      <w:r>
        <w:rPr>
          <w:rFonts w:hint="eastAsia" w:ascii="宋体" w:hAnsi="宋体"/>
          <w:color w:val="000000"/>
          <w:sz w:val="24"/>
          <w:highlight w:val="none"/>
        </w:rPr>
        <w:t>应在</w:t>
      </w:r>
      <w:r>
        <w:rPr>
          <w:rFonts w:hint="eastAsia" w:ascii="宋体" w:hAnsi="宋体"/>
          <w:color w:val="000000"/>
          <w:sz w:val="24"/>
          <w:highlight w:val="none"/>
          <w:lang w:val="en-US" w:eastAsia="zh-CN"/>
        </w:rPr>
        <w:t>30</w:t>
      </w:r>
      <w:r>
        <w:rPr>
          <w:rFonts w:hint="eastAsia" w:ascii="宋体" w:hAnsi="宋体"/>
          <w:color w:val="000000"/>
          <w:sz w:val="24"/>
          <w:highlight w:val="none"/>
        </w:rPr>
        <w:t>个工作日内办妥转移支付申请。</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lang w:val="zh-CN"/>
        </w:rPr>
        <w:t>付款方式</w:t>
      </w:r>
    </w:p>
    <w:p>
      <w:pPr>
        <w:widowControl/>
        <w:numPr>
          <w:ilvl w:val="0"/>
          <w:numId w:val="142"/>
        </w:numPr>
        <w:tabs>
          <w:tab w:val="left" w:pos="426"/>
          <w:tab w:val="left" w:pos="840"/>
          <w:tab w:val="clear" w:pos="420"/>
        </w:tabs>
        <w:spacing w:line="360" w:lineRule="auto"/>
        <w:ind w:left="0" w:firstLine="480" w:firstLineChars="200"/>
        <w:rPr>
          <w:rFonts w:ascii="宋体"/>
          <w:sz w:val="24"/>
          <w:szCs w:val="24"/>
          <w:highlight w:val="none"/>
        </w:rPr>
      </w:pPr>
      <w:r>
        <w:rPr>
          <w:rFonts w:hint="eastAsia" w:ascii="宋体" w:hAnsi="宋体"/>
          <w:sz w:val="24"/>
          <w:szCs w:val="24"/>
          <w:highlight w:val="none"/>
        </w:rPr>
        <w:t>合同签订前，</w:t>
      </w:r>
      <w:r>
        <w:rPr>
          <w:rFonts w:hint="eastAsia" w:ascii="宋体" w:hAnsi="宋体"/>
          <w:sz w:val="24"/>
          <w:szCs w:val="24"/>
          <w:highlight w:val="none"/>
          <w:lang w:eastAsia="zh-CN"/>
        </w:rPr>
        <w:t>乙方</w:t>
      </w:r>
      <w:r>
        <w:rPr>
          <w:rFonts w:hint="eastAsia" w:ascii="宋体" w:hAnsi="宋体"/>
          <w:sz w:val="24"/>
          <w:szCs w:val="24"/>
          <w:highlight w:val="none"/>
        </w:rPr>
        <w:t>向</w:t>
      </w:r>
      <w:r>
        <w:rPr>
          <w:rFonts w:hint="eastAsia" w:ascii="宋体" w:hAnsi="宋体"/>
          <w:sz w:val="24"/>
          <w:szCs w:val="24"/>
          <w:highlight w:val="none"/>
          <w:lang w:eastAsia="zh-CN"/>
        </w:rPr>
        <w:t>甲方</w:t>
      </w:r>
      <w:r>
        <w:rPr>
          <w:rFonts w:hint="eastAsia" w:ascii="宋体" w:hAnsi="宋体"/>
          <w:sz w:val="24"/>
          <w:szCs w:val="24"/>
          <w:highlight w:val="none"/>
        </w:rPr>
        <w:t>提交中标金额1</w:t>
      </w:r>
      <w:r>
        <w:rPr>
          <w:rFonts w:ascii="宋体" w:hAnsi="宋体"/>
          <w:sz w:val="24"/>
          <w:szCs w:val="24"/>
          <w:highlight w:val="none"/>
        </w:rPr>
        <w:t>0</w:t>
      </w:r>
      <w:r>
        <w:rPr>
          <w:rFonts w:hint="eastAsia" w:ascii="宋体" w:hAnsi="宋体"/>
          <w:sz w:val="24"/>
          <w:szCs w:val="24"/>
          <w:highlight w:val="none"/>
        </w:rPr>
        <w:t>％的履约保证金（不计利息），</w:t>
      </w:r>
      <w:r>
        <w:rPr>
          <w:rFonts w:hint="eastAsia" w:ascii="宋体" w:hAnsi="宋体" w:cs="宋体"/>
          <w:sz w:val="24"/>
          <w:highlight w:val="none"/>
          <w:lang w:eastAsia="zh-CN"/>
        </w:rPr>
        <w:t>乙方</w:t>
      </w:r>
      <w:r>
        <w:rPr>
          <w:rFonts w:hint="eastAsia" w:ascii="宋体" w:hAnsi="宋体" w:cs="宋体"/>
          <w:sz w:val="24"/>
          <w:highlight w:val="none"/>
          <w:lang w:val="en-US" w:eastAsia="zh-CN"/>
        </w:rPr>
        <w:t>可以以银行转账</w:t>
      </w:r>
      <w:r>
        <w:rPr>
          <w:rFonts w:hint="eastAsia" w:ascii="宋体" w:hAnsi="宋体" w:cs="宋体"/>
          <w:sz w:val="24"/>
          <w:highlight w:val="none"/>
          <w:lang w:val="en-US" w:eastAsia="zh-CN"/>
        </w:rPr>
        <w:t>或</w:t>
      </w:r>
      <w:r>
        <w:rPr>
          <w:rFonts w:hint="eastAsia" w:ascii="宋体" w:hAnsi="宋体" w:cs="宋体"/>
          <w:sz w:val="24"/>
          <w:highlight w:val="none"/>
        </w:rPr>
        <w:t>以支票、汇票、本票或者金融机构、担保机构出具的保函</w:t>
      </w:r>
      <w:r>
        <w:rPr>
          <w:rFonts w:hint="eastAsia" w:ascii="宋体" w:hAnsi="宋体"/>
          <w:color w:val="000000"/>
          <w:sz w:val="24"/>
          <w:szCs w:val="24"/>
          <w:highlight w:val="none"/>
        </w:rPr>
        <w:t>（见索即付）</w:t>
      </w:r>
      <w:r>
        <w:rPr>
          <w:rFonts w:hint="eastAsia" w:ascii="宋体" w:hAnsi="宋体" w:cs="宋体"/>
          <w:sz w:val="24"/>
          <w:highlight w:val="none"/>
        </w:rPr>
        <w:t>等非现金形式提交。</w:t>
      </w:r>
      <w:r>
        <w:rPr>
          <w:rFonts w:hint="eastAsia" w:ascii="宋体" w:hAnsi="宋体"/>
          <w:sz w:val="24"/>
          <w:szCs w:val="24"/>
          <w:highlight w:val="none"/>
          <w:lang w:eastAsia="zh-CN"/>
        </w:rPr>
        <w:t>甲方</w:t>
      </w:r>
      <w:r>
        <w:rPr>
          <w:rFonts w:hint="eastAsia" w:ascii="宋体" w:hAnsi="宋体"/>
          <w:sz w:val="24"/>
          <w:szCs w:val="24"/>
          <w:highlight w:val="none"/>
        </w:rPr>
        <w:t>在收到履约保证金</w:t>
      </w:r>
      <w:r>
        <w:rPr>
          <w:rFonts w:hint="eastAsia" w:ascii="宋体" w:hAnsi="宋体"/>
          <w:sz w:val="24"/>
          <w:szCs w:val="24"/>
          <w:highlight w:val="none"/>
          <w:lang w:val="en-US" w:eastAsia="zh-CN"/>
        </w:rPr>
        <w:t>且合同生效</w:t>
      </w:r>
      <w:r>
        <w:rPr>
          <w:rFonts w:hint="eastAsia" w:ascii="宋体" w:hAnsi="宋体"/>
          <w:sz w:val="24"/>
          <w:szCs w:val="24"/>
          <w:highlight w:val="none"/>
        </w:rPr>
        <w:t>后，</w:t>
      </w:r>
      <w:r>
        <w:rPr>
          <w:rFonts w:ascii="宋体" w:hAnsi="宋体"/>
          <w:sz w:val="24"/>
          <w:szCs w:val="24"/>
          <w:highlight w:val="none"/>
        </w:rPr>
        <w:t>15</w:t>
      </w:r>
      <w:r>
        <w:rPr>
          <w:rFonts w:hint="eastAsia" w:ascii="宋体" w:hAnsi="宋体"/>
          <w:sz w:val="24"/>
          <w:szCs w:val="24"/>
          <w:highlight w:val="none"/>
        </w:rPr>
        <w:t>个工作日内向</w:t>
      </w:r>
      <w:r>
        <w:rPr>
          <w:rFonts w:hint="eastAsia" w:ascii="宋体" w:hAnsi="宋体"/>
          <w:sz w:val="24"/>
          <w:szCs w:val="24"/>
          <w:highlight w:val="none"/>
          <w:lang w:eastAsia="zh-CN"/>
        </w:rPr>
        <w:t>乙方</w:t>
      </w:r>
      <w:r>
        <w:rPr>
          <w:rFonts w:hint="eastAsia" w:ascii="宋体" w:hAnsi="宋体"/>
          <w:sz w:val="24"/>
          <w:szCs w:val="24"/>
          <w:highlight w:val="none"/>
        </w:rPr>
        <w:t>支付合同金额50</w:t>
      </w:r>
      <w:r>
        <w:rPr>
          <w:rFonts w:ascii="宋体" w:hAnsi="宋体"/>
          <w:sz w:val="24"/>
          <w:szCs w:val="24"/>
          <w:highlight w:val="none"/>
        </w:rPr>
        <w:t>%</w:t>
      </w:r>
      <w:r>
        <w:rPr>
          <w:rFonts w:hint="eastAsia" w:ascii="宋体" w:hAnsi="宋体"/>
          <w:sz w:val="24"/>
          <w:szCs w:val="24"/>
          <w:highlight w:val="none"/>
        </w:rPr>
        <w:t>的预付货款；</w:t>
      </w:r>
      <w:r>
        <w:rPr>
          <w:rFonts w:hint="eastAsia" w:ascii="宋体" w:hAnsi="宋体"/>
          <w:sz w:val="24"/>
          <w:szCs w:val="24"/>
          <w:highlight w:val="none"/>
          <w:lang w:eastAsia="zh-CN"/>
        </w:rPr>
        <w:t>甲方</w:t>
      </w:r>
      <w:r>
        <w:rPr>
          <w:rFonts w:hint="eastAsia" w:ascii="宋体" w:hAnsi="宋体"/>
          <w:sz w:val="24"/>
          <w:szCs w:val="24"/>
          <w:highlight w:val="none"/>
        </w:rPr>
        <w:t>收到</w:t>
      </w:r>
      <w:r>
        <w:rPr>
          <w:rFonts w:hint="eastAsia" w:ascii="宋体" w:hAnsi="宋体"/>
          <w:sz w:val="24"/>
          <w:szCs w:val="24"/>
          <w:highlight w:val="none"/>
          <w:lang w:eastAsia="zh-CN"/>
        </w:rPr>
        <w:t>乙方</w:t>
      </w:r>
      <w:r>
        <w:rPr>
          <w:rFonts w:hint="eastAsia" w:ascii="宋体" w:hAnsi="宋体"/>
          <w:sz w:val="24"/>
          <w:szCs w:val="24"/>
          <w:highlight w:val="none"/>
        </w:rPr>
        <w:t>提供的货物，经</w:t>
      </w:r>
      <w:r>
        <w:rPr>
          <w:rFonts w:hint="eastAsia" w:ascii="宋体" w:hAnsi="宋体"/>
          <w:sz w:val="24"/>
          <w:szCs w:val="24"/>
          <w:highlight w:val="none"/>
          <w:lang w:eastAsia="zh-CN"/>
        </w:rPr>
        <w:t>甲方</w:t>
      </w:r>
      <w:r>
        <w:rPr>
          <w:rFonts w:hint="eastAsia" w:ascii="宋体" w:hAnsi="宋体"/>
          <w:sz w:val="24"/>
          <w:szCs w:val="24"/>
          <w:highlight w:val="none"/>
        </w:rPr>
        <w:t>初验后，</w:t>
      </w:r>
      <w:r>
        <w:rPr>
          <w:rFonts w:hint="eastAsia" w:ascii="宋体" w:hAnsi="宋体"/>
          <w:sz w:val="24"/>
          <w:szCs w:val="24"/>
          <w:highlight w:val="none"/>
          <w:lang w:eastAsia="zh-CN"/>
        </w:rPr>
        <w:t>甲方</w:t>
      </w:r>
      <w:r>
        <w:rPr>
          <w:rFonts w:hint="eastAsia" w:ascii="宋体" w:hAnsi="宋体"/>
          <w:sz w:val="24"/>
          <w:szCs w:val="24"/>
          <w:highlight w:val="none"/>
        </w:rPr>
        <w:t>再向</w:t>
      </w:r>
      <w:r>
        <w:rPr>
          <w:rFonts w:hint="eastAsia" w:ascii="宋体" w:hAnsi="宋体"/>
          <w:sz w:val="24"/>
          <w:szCs w:val="24"/>
          <w:highlight w:val="none"/>
          <w:lang w:eastAsia="zh-CN"/>
        </w:rPr>
        <w:t>乙方</w:t>
      </w:r>
      <w:r>
        <w:rPr>
          <w:rFonts w:hint="eastAsia" w:ascii="宋体" w:hAnsi="宋体"/>
          <w:sz w:val="24"/>
          <w:szCs w:val="24"/>
          <w:highlight w:val="none"/>
        </w:rPr>
        <w:t>支付合同金额30</w:t>
      </w:r>
      <w:r>
        <w:rPr>
          <w:rFonts w:ascii="宋体" w:hAnsi="宋体"/>
          <w:sz w:val="24"/>
          <w:szCs w:val="24"/>
          <w:highlight w:val="none"/>
        </w:rPr>
        <w:t>%</w:t>
      </w:r>
      <w:r>
        <w:rPr>
          <w:rFonts w:hint="eastAsia" w:ascii="宋体" w:hAnsi="宋体"/>
          <w:sz w:val="24"/>
          <w:szCs w:val="24"/>
          <w:highlight w:val="none"/>
        </w:rPr>
        <w:t>的货款。货物安装调试完毕并验收合格并提供</w:t>
      </w:r>
      <w:r>
        <w:rPr>
          <w:rFonts w:hint="eastAsia" w:ascii="宋体" w:hAnsi="宋体"/>
          <w:color w:val="auto"/>
          <w:sz w:val="24"/>
          <w:szCs w:val="24"/>
          <w:highlight w:val="none"/>
          <w:lang w:val="en-US" w:eastAsia="zh-CN"/>
        </w:rPr>
        <w:t>付款方式序号2</w:t>
      </w:r>
      <w:r>
        <w:rPr>
          <w:rFonts w:hint="eastAsia" w:ascii="宋体" w:hAnsi="宋体"/>
          <w:sz w:val="24"/>
          <w:szCs w:val="24"/>
          <w:highlight w:val="none"/>
        </w:rPr>
        <w:t>中约定的文件、单据、发票后，</w:t>
      </w:r>
      <w:r>
        <w:rPr>
          <w:rFonts w:hint="eastAsia" w:ascii="宋体" w:hAnsi="宋体"/>
          <w:sz w:val="24"/>
          <w:szCs w:val="24"/>
          <w:highlight w:val="none"/>
          <w:lang w:eastAsia="zh-CN"/>
        </w:rPr>
        <w:t>甲方</w:t>
      </w:r>
      <w:r>
        <w:rPr>
          <w:rFonts w:hint="eastAsia" w:ascii="宋体" w:hAnsi="宋体"/>
          <w:sz w:val="24"/>
          <w:szCs w:val="24"/>
          <w:highlight w:val="none"/>
        </w:rPr>
        <w:t>支付尾款并退还履约保证金。</w:t>
      </w:r>
    </w:p>
    <w:p>
      <w:pPr>
        <w:widowControl/>
        <w:numPr>
          <w:ilvl w:val="0"/>
          <w:numId w:val="142"/>
        </w:numPr>
        <w:tabs>
          <w:tab w:val="left" w:pos="426"/>
          <w:tab w:val="left" w:pos="840"/>
          <w:tab w:val="clear" w:pos="420"/>
        </w:tabs>
        <w:spacing w:line="360" w:lineRule="auto"/>
        <w:ind w:left="0" w:firstLine="480" w:firstLineChars="200"/>
        <w:rPr>
          <w:rFonts w:ascii="宋体"/>
          <w:color w:val="000000"/>
          <w:sz w:val="24"/>
          <w:szCs w:val="24"/>
          <w:highlight w:val="none"/>
        </w:rPr>
      </w:pPr>
      <w:r>
        <w:rPr>
          <w:rFonts w:hint="eastAsia" w:ascii="宋体" w:hAnsi="宋体"/>
          <w:color w:val="000000"/>
          <w:sz w:val="24"/>
          <w:szCs w:val="24"/>
          <w:highlight w:val="none"/>
        </w:rPr>
        <w:t>当</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将货物安装调试完毕，双方验收合格后，由</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出具验收合格报告。</w:t>
      </w:r>
    </w:p>
    <w:p>
      <w:pPr>
        <w:keepNext w:val="0"/>
        <w:keepLines w:val="0"/>
        <w:pageBreakBefore w:val="0"/>
        <w:widowControl w:val="0"/>
        <w:numPr>
          <w:ilvl w:val="0"/>
          <w:numId w:val="14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国产设备、不免税自用进口设备：</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必须提供由当地国家、地方税务机关监制，并套印当地国家、地方税务机关印章的相关人民币正式发票（国内人民币发票）。</w:t>
      </w:r>
    </w:p>
    <w:p>
      <w:pPr>
        <w:keepNext w:val="0"/>
        <w:keepLines w:val="0"/>
        <w:pageBreakBefore w:val="0"/>
        <w:widowControl w:val="0"/>
        <w:numPr>
          <w:ilvl w:val="0"/>
          <w:numId w:val="143"/>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免税自用进口设备：乙方决定按（A）提供发票，而且提供的发票上购买方必须是甲方单位名称，连同报关单复印件作报销凭证和验收单据。</w:t>
      </w:r>
    </w:p>
    <w:p>
      <w:pPr>
        <w:spacing w:line="360" w:lineRule="auto"/>
        <w:ind w:firstLine="315" w:firstLineChars="150"/>
        <w:rPr>
          <w:rFonts w:ascii="宋体" w:hAnsi="宋体" w:cs="Tms Rmn"/>
          <w:bCs/>
          <w:sz w:val="24"/>
          <w:highlight w:val="none"/>
        </w:rPr>
      </w:pPr>
      <w:r>
        <w:rPr>
          <w:rFonts w:hint="eastAsia"/>
          <w:highlight w:val="none"/>
        </w:rPr>
        <w:t xml:space="preserve"> </w:t>
      </w:r>
      <w:r>
        <w:rPr>
          <w:rFonts w:hint="eastAsia" w:ascii="宋体" w:hAnsi="宋体" w:cs="Tms Rmn"/>
          <w:bCs/>
          <w:sz w:val="24"/>
          <w:highlight w:val="none"/>
        </w:rPr>
        <w:t>A．全额境外原始发票，汇率以签合同日为准；</w:t>
      </w:r>
    </w:p>
    <w:p>
      <w:pPr>
        <w:pStyle w:val="10"/>
        <w:ind w:firstLine="420"/>
        <w:rPr>
          <w:rFonts w:hint="eastAsia" w:ascii="宋体" w:hAnsi="宋体" w:cs="Tms Rmn"/>
          <w:bCs/>
          <w:sz w:val="24"/>
          <w:highlight w:val="none"/>
        </w:rPr>
      </w:pPr>
      <w:r>
        <w:rPr>
          <w:rFonts w:hint="eastAsia" w:ascii="宋体" w:hAnsi="宋体" w:cs="Tms Rmn"/>
          <w:bCs/>
          <w:sz w:val="24"/>
          <w:highlight w:val="none"/>
        </w:rPr>
        <w:t>B．全额国内发票，可以是免税或非免税的发票；</w:t>
      </w:r>
    </w:p>
    <w:p>
      <w:pPr>
        <w:spacing w:line="360" w:lineRule="auto"/>
        <w:ind w:firstLine="480" w:firstLineChars="200"/>
        <w:rPr>
          <w:rFonts w:ascii="宋体" w:hAnsi="宋体" w:cs="Tms Rmn"/>
          <w:bCs/>
          <w:sz w:val="24"/>
          <w:highlight w:val="none"/>
        </w:rPr>
      </w:pPr>
      <w:r>
        <w:rPr>
          <w:rFonts w:ascii="宋体" w:hAnsi="宋体"/>
          <w:bCs/>
          <w:color w:val="000000"/>
          <w:sz w:val="24"/>
          <w:highlight w:val="none"/>
        </w:rPr>
        <w:t>提交上述文件、单据、发票</w:t>
      </w:r>
      <w:r>
        <w:rPr>
          <w:rFonts w:hint="eastAsia" w:ascii="宋体" w:hAnsi="宋体"/>
          <w:bCs/>
          <w:color w:val="000000"/>
          <w:sz w:val="24"/>
          <w:highlight w:val="none"/>
        </w:rPr>
        <w:t>后，</w:t>
      </w:r>
      <w:r>
        <w:rPr>
          <w:rFonts w:hint="eastAsia" w:ascii="宋体" w:hAnsi="宋体" w:cs="hakuyoxingshu7000"/>
          <w:bCs/>
          <w:color w:val="000000"/>
          <w:sz w:val="24"/>
          <w:highlight w:val="none"/>
        </w:rPr>
        <w:t>甲方</w:t>
      </w:r>
      <w:r>
        <w:rPr>
          <w:rFonts w:ascii="宋体" w:hAnsi="宋体" w:cs="hakuyoxingshu7000"/>
          <w:bCs/>
          <w:color w:val="000000"/>
          <w:sz w:val="24"/>
          <w:highlight w:val="none"/>
        </w:rPr>
        <w:t>向乙方</w:t>
      </w:r>
      <w:r>
        <w:rPr>
          <w:rFonts w:hint="eastAsia" w:ascii="宋体" w:hAnsi="宋体" w:cs="hakuyoxingshu7000"/>
          <w:bCs/>
          <w:color w:val="000000"/>
          <w:sz w:val="24"/>
          <w:highlight w:val="none"/>
        </w:rPr>
        <w:t>支付剩余尾款</w:t>
      </w:r>
      <w:r>
        <w:rPr>
          <w:rFonts w:hint="eastAsia" w:ascii="宋体" w:hAnsi="宋体" w:cs="hakuyoxingshu7000"/>
          <w:bCs/>
          <w:color w:val="000000"/>
          <w:sz w:val="24"/>
          <w:highlight w:val="none"/>
          <w:lang w:eastAsia="zh-CN"/>
        </w:rPr>
        <w:t>，</w:t>
      </w:r>
      <w:r>
        <w:rPr>
          <w:rFonts w:hint="eastAsia" w:ascii="宋体" w:hAnsi="宋体" w:cs="hakuyoxingshu7000"/>
          <w:bCs/>
          <w:color w:val="000000"/>
          <w:sz w:val="24"/>
          <w:highlight w:val="none"/>
          <w:lang w:val="en-US" w:eastAsia="zh-CN"/>
        </w:rPr>
        <w:t>并</w:t>
      </w:r>
      <w:r>
        <w:rPr>
          <w:rFonts w:hint="eastAsia" w:ascii="宋体" w:hAnsi="宋体" w:cs="hakuyoxingshu7000"/>
          <w:bCs/>
          <w:color w:val="000000"/>
          <w:sz w:val="24"/>
          <w:highlight w:val="none"/>
        </w:rPr>
        <w:t>退</w:t>
      </w:r>
      <w:r>
        <w:rPr>
          <w:rFonts w:hint="eastAsia" w:ascii="宋体" w:hAnsi="宋体" w:cs="hakuyoxingshu7000"/>
          <w:bCs/>
          <w:color w:val="000000"/>
          <w:sz w:val="24"/>
          <w:highlight w:val="none"/>
          <w:lang w:val="en-US" w:eastAsia="zh-CN"/>
        </w:rPr>
        <w:t>还</w:t>
      </w:r>
      <w:r>
        <w:rPr>
          <w:rFonts w:hint="eastAsia" w:ascii="宋体" w:hAnsi="宋体" w:cs="hakuyoxingshu7000"/>
          <w:bCs/>
          <w:color w:val="000000"/>
          <w:sz w:val="24"/>
          <w:highlight w:val="none"/>
        </w:rPr>
        <w:t>履约保证金</w:t>
      </w:r>
      <w:r>
        <w:rPr>
          <w:rFonts w:ascii="宋体" w:hAnsi="宋体" w:cs="hakuyoxingshu7000"/>
          <w:bCs/>
          <w:color w:val="000000"/>
          <w:sz w:val="24"/>
          <w:highlight w:val="none"/>
        </w:rPr>
        <w:t>；</w:t>
      </w:r>
    </w:p>
    <w:p>
      <w:pPr>
        <w:keepNext w:val="0"/>
        <w:keepLines w:val="0"/>
        <w:pageBreakBefore w:val="0"/>
        <w:widowControl w:val="0"/>
        <w:numPr>
          <w:ilvl w:val="0"/>
          <w:numId w:val="14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rPr>
        <w:t>办理上述款项付款的时间一般不超过15个工作日。</w:t>
      </w:r>
    </w:p>
    <w:p>
      <w:pPr>
        <w:keepNext w:val="0"/>
        <w:keepLines w:val="0"/>
        <w:pageBreakBefore w:val="0"/>
        <w:widowControl w:val="0"/>
        <w:numPr>
          <w:ilvl w:val="0"/>
          <w:numId w:val="144"/>
        </w:numPr>
        <w:kinsoku/>
        <w:wordWrap/>
        <w:overflowPunct/>
        <w:topLinePunct w:val="0"/>
        <w:autoSpaceDE/>
        <w:autoSpaceDN/>
        <w:bidi w:val="0"/>
        <w:adjustRightInd w:val="0"/>
        <w:snapToGrid w:val="0"/>
        <w:spacing w:line="360" w:lineRule="auto"/>
        <w:ind w:left="0" w:leftChars="0" w:firstLine="480" w:firstLineChars="200"/>
        <w:jc w:val="both"/>
        <w:textAlignment w:val="auto"/>
        <w:rPr>
          <w:rFonts w:hint="eastAsia" w:ascii="宋体" w:hAnsi="宋体"/>
          <w:color w:val="000000"/>
          <w:sz w:val="24"/>
          <w:szCs w:val="24"/>
          <w:highlight w:val="none"/>
        </w:rPr>
      </w:pP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采购产品属于政府财政项目并由国库直接支付的，在30个工作日内完成办理申请支付手续。</w:t>
      </w:r>
    </w:p>
    <w:p>
      <w:pPr>
        <w:widowControl/>
        <w:numPr>
          <w:ilvl w:val="0"/>
          <w:numId w:val="142"/>
        </w:numPr>
        <w:tabs>
          <w:tab w:val="left" w:pos="426"/>
          <w:tab w:val="left" w:pos="840"/>
          <w:tab w:val="clear" w:pos="420"/>
        </w:tabs>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履约保证金提交形式：</w:t>
      </w:r>
      <w:r>
        <w:rPr>
          <w:rFonts w:hint="eastAsia" w:ascii="宋体" w:hAnsi="宋体" w:cs="宋体"/>
          <w:sz w:val="24"/>
          <w:highlight w:val="none"/>
          <w:lang w:val="en-US" w:eastAsia="zh-CN"/>
        </w:rPr>
        <w:t>银行转账或</w:t>
      </w:r>
      <w:r>
        <w:rPr>
          <w:rFonts w:hint="eastAsia" w:ascii="宋体" w:hAnsi="宋体" w:cs="宋体"/>
          <w:sz w:val="24"/>
          <w:highlight w:val="none"/>
        </w:rPr>
        <w:t>支票、汇票、本票或者金融机构、担保机构出具的保函</w:t>
      </w:r>
      <w:r>
        <w:rPr>
          <w:rFonts w:hint="eastAsia" w:ascii="宋体" w:hAnsi="宋体"/>
          <w:color w:val="000000"/>
          <w:sz w:val="24"/>
          <w:szCs w:val="24"/>
          <w:highlight w:val="none"/>
        </w:rPr>
        <w:t>（见索即付）</w:t>
      </w:r>
      <w:r>
        <w:rPr>
          <w:rFonts w:hint="eastAsia" w:ascii="宋体" w:hAnsi="宋体" w:cs="宋体"/>
          <w:sz w:val="24"/>
          <w:highlight w:val="none"/>
        </w:rPr>
        <w:t>等非现金形式</w:t>
      </w:r>
      <w:r>
        <w:rPr>
          <w:rFonts w:hint="eastAsia" w:ascii="宋体" w:hAnsi="宋体"/>
          <w:color w:val="000000"/>
          <w:sz w:val="24"/>
          <w:szCs w:val="24"/>
          <w:highlight w:val="none"/>
        </w:rPr>
        <w:t>。如在合同期内，</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自行停止履行合约或违反合同有关规定被</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终止合约的，则</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不予退还履约保证金。若</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不履行或不适当履行其合同义务导致</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蒙受损失的，</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有权直接从履约保证金中扣除相应违约金或损失赔偿款项，也有权依据履约保函向出具保函人直接索赔；违约金或给</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造成的损失超过履约保证金数额的，</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应对超出部分给予赔偿。</w:t>
      </w:r>
      <w:r>
        <w:rPr>
          <w:rFonts w:hint="eastAsia" w:ascii="宋体" w:hAnsi="宋体"/>
          <w:color w:val="000000"/>
          <w:sz w:val="24"/>
          <w:szCs w:val="24"/>
          <w:highlight w:val="none"/>
          <w:lang w:eastAsia="zh-CN"/>
        </w:rPr>
        <w:t>甲方</w:t>
      </w:r>
      <w:r>
        <w:rPr>
          <w:rFonts w:hint="eastAsia" w:ascii="宋体" w:hAnsi="宋体"/>
          <w:color w:val="000000"/>
          <w:sz w:val="24"/>
          <w:szCs w:val="24"/>
          <w:highlight w:val="none"/>
        </w:rPr>
        <w:t>逾期退还履约保证金的，除应当退还履约保证金本金外，还应当每日按合同总价的0.1‰向</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偿付违约金，但因合同的履行产生争议或由于</w:t>
      </w:r>
      <w:r>
        <w:rPr>
          <w:rFonts w:hint="eastAsia" w:ascii="宋体" w:hAnsi="宋体"/>
          <w:color w:val="000000"/>
          <w:sz w:val="24"/>
          <w:szCs w:val="24"/>
          <w:highlight w:val="none"/>
          <w:lang w:eastAsia="zh-CN"/>
        </w:rPr>
        <w:t>乙方</w:t>
      </w:r>
      <w:r>
        <w:rPr>
          <w:rFonts w:hint="eastAsia" w:ascii="宋体" w:hAnsi="宋体"/>
          <w:color w:val="000000"/>
          <w:sz w:val="24"/>
          <w:szCs w:val="24"/>
          <w:highlight w:val="none"/>
        </w:rPr>
        <w:t>自身原因导致无法及时退还的除外。</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提出异议的时间和方法</w:t>
      </w:r>
    </w:p>
    <w:p>
      <w:pPr>
        <w:widowControl/>
        <w:numPr>
          <w:ilvl w:val="0"/>
          <w:numId w:val="145"/>
        </w:numPr>
        <w:tabs>
          <w:tab w:val="left" w:pos="426"/>
          <w:tab w:val="left" w:pos="840"/>
          <w:tab w:val="clear" w:pos="420"/>
        </w:tabs>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在验收中甲方如对货物的型号、规格、质量有异议时，应在妥善保管货物的同时，10个工作日内以书面形式向乙方提出异议。</w:t>
      </w:r>
    </w:p>
    <w:p>
      <w:pPr>
        <w:widowControl/>
        <w:numPr>
          <w:ilvl w:val="0"/>
          <w:numId w:val="145"/>
        </w:numPr>
        <w:tabs>
          <w:tab w:val="left" w:pos="426"/>
          <w:tab w:val="left" w:pos="840"/>
          <w:tab w:val="clear" w:pos="420"/>
        </w:tabs>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乙方在接到甲方书面异议后，应在2个工作日内负责处理并函复甲方处理情况，否则，即视为默认甲方提出的异议和处理意见。</w:t>
      </w:r>
    </w:p>
    <w:p>
      <w:pPr>
        <w:widowControl/>
        <w:numPr>
          <w:ilvl w:val="0"/>
          <w:numId w:val="145"/>
        </w:numPr>
        <w:tabs>
          <w:tab w:val="left" w:pos="426"/>
          <w:tab w:val="left" w:pos="840"/>
          <w:tab w:val="clear" w:pos="420"/>
        </w:tabs>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甲方因违章操作、保管、保养不善等人为造成货物损毁，所提出的异议乙方不承担责任。</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争议的解决</w:t>
      </w:r>
    </w:p>
    <w:p>
      <w:pPr>
        <w:widowControl/>
        <w:numPr>
          <w:ilvl w:val="0"/>
          <w:numId w:val="146"/>
        </w:numPr>
        <w:tabs>
          <w:tab w:val="left" w:pos="426"/>
          <w:tab w:val="left" w:pos="840"/>
          <w:tab w:val="clear" w:pos="420"/>
        </w:tabs>
        <w:spacing w:line="360" w:lineRule="auto"/>
        <w:ind w:left="0" w:firstLine="480" w:firstLineChars="200"/>
        <w:rPr>
          <w:rFonts w:hint="eastAsia" w:ascii="宋体" w:hAnsi="宋体"/>
          <w:color w:val="000000"/>
          <w:sz w:val="24"/>
          <w:highlight w:val="none"/>
        </w:rPr>
      </w:pPr>
      <w:r>
        <w:rPr>
          <w:rFonts w:hint="eastAsia" w:ascii="宋体" w:hAnsi="宋体"/>
          <w:color w:val="000000"/>
          <w:sz w:val="24"/>
          <w:szCs w:val="24"/>
          <w:highlight w:val="none"/>
        </w:rPr>
        <w:t>合同执行过程中发生的任何争议，均以上述交付验收标准作为协商解决的依据。如双方未能通过友好协商解决，</w:t>
      </w:r>
      <w:r>
        <w:rPr>
          <w:rFonts w:hint="eastAsia" w:ascii="宋体" w:hAnsi="宋体"/>
          <w:color w:val="000000"/>
          <w:sz w:val="24"/>
          <w:highlight w:val="none"/>
        </w:rPr>
        <w:t>应向</w:t>
      </w:r>
      <w:r>
        <w:rPr>
          <w:rFonts w:hint="eastAsia" w:ascii="宋体" w:hAnsi="宋体"/>
          <w:color w:val="000000"/>
          <w:sz w:val="24"/>
          <w:highlight w:val="none"/>
          <w:u w:val="none"/>
        </w:rPr>
        <w:t>海口仲裁委员会</w:t>
      </w:r>
      <w:r>
        <w:rPr>
          <w:rFonts w:hint="eastAsia" w:ascii="宋体" w:hAnsi="宋体"/>
          <w:color w:val="000000"/>
          <w:sz w:val="24"/>
          <w:highlight w:val="none"/>
        </w:rPr>
        <w:t>提起仲裁。</w:t>
      </w:r>
    </w:p>
    <w:p>
      <w:pPr>
        <w:widowControl/>
        <w:numPr>
          <w:ilvl w:val="0"/>
          <w:numId w:val="146"/>
        </w:numPr>
        <w:tabs>
          <w:tab w:val="left" w:pos="426"/>
          <w:tab w:val="left" w:pos="840"/>
          <w:tab w:val="clear" w:pos="420"/>
        </w:tabs>
        <w:spacing w:line="360" w:lineRule="auto"/>
        <w:ind w:left="0" w:firstLine="480" w:firstLineChars="200"/>
        <w:rPr>
          <w:rFonts w:hint="eastAsia" w:ascii="宋体" w:hAnsi="宋体"/>
          <w:color w:val="000000"/>
          <w:sz w:val="24"/>
          <w:szCs w:val="24"/>
          <w:highlight w:val="none"/>
        </w:rPr>
      </w:pPr>
      <w:r>
        <w:rPr>
          <w:rFonts w:hint="eastAsia" w:ascii="宋体" w:hAnsi="宋体"/>
          <w:color w:val="000000"/>
          <w:sz w:val="24"/>
          <w:szCs w:val="24"/>
          <w:highlight w:val="none"/>
        </w:rPr>
        <w:t>在仲裁审理期间，除提交仲裁审理的事项外，合同其它事项和条款仍应继续履行。</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不可抗力</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任何一方由于不可抗力原因不能履行合同时，应在不可抗力事件结束后</w:t>
      </w:r>
      <w:r>
        <w:rPr>
          <w:rFonts w:ascii="宋体" w:hAnsi="宋体"/>
          <w:color w:val="000000"/>
          <w:sz w:val="24"/>
          <w:highlight w:val="none"/>
        </w:rPr>
        <w:t>1</w:t>
      </w:r>
      <w:r>
        <w:rPr>
          <w:rFonts w:hint="eastAsia" w:ascii="宋体" w:hAnsi="宋体"/>
          <w:color w:val="000000"/>
          <w:sz w:val="24"/>
          <w:highlight w:val="none"/>
        </w:rPr>
        <w:t>日内向对方通报，以减轻可能给对方造成的损失，在取得有关机构的不可抗力证明或双方谅解确认后，允许延期履行或修订合同。</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任何一方在不可抗力的处理过程中有过错的，应承担相应而给对方增加的损失。</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税费</w:t>
      </w:r>
    </w:p>
    <w:p>
      <w:pPr>
        <w:spacing w:line="360" w:lineRule="auto"/>
        <w:ind w:firstLine="480" w:firstLineChars="200"/>
        <w:rPr>
          <w:rFonts w:ascii="宋体"/>
          <w:b/>
          <w:bCs/>
          <w:color w:val="000000"/>
          <w:sz w:val="24"/>
          <w:highlight w:val="none"/>
        </w:rPr>
      </w:pPr>
      <w:r>
        <w:rPr>
          <w:rFonts w:hint="eastAsia" w:ascii="宋体" w:hAnsi="宋体"/>
          <w:color w:val="000000"/>
          <w:sz w:val="24"/>
          <w:highlight w:val="none"/>
        </w:rPr>
        <w:t>本合同报价均含各类税费</w:t>
      </w:r>
      <w:r>
        <w:rPr>
          <w:rFonts w:hint="eastAsia" w:ascii="宋体" w:hAnsi="宋体"/>
          <w:b/>
          <w:bCs/>
          <w:color w:val="000000"/>
          <w:sz w:val="24"/>
          <w:highlight w:val="none"/>
        </w:rPr>
        <w:t>。</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合同生效及有效期</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本合同在甲乙双方法定代表人或其授权代理人签字盖章之日起生效。</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ascii="宋体" w:hAnsi="宋体" w:eastAsia="宋体"/>
          <w:color w:val="000000"/>
          <w:sz w:val="24"/>
          <w:szCs w:val="24"/>
          <w:highlight w:val="none"/>
        </w:rPr>
      </w:pPr>
      <w:r>
        <w:rPr>
          <w:rFonts w:hint="eastAsia" w:ascii="宋体" w:hAnsi="宋体" w:eastAsia="宋体"/>
          <w:color w:val="000000"/>
          <w:sz w:val="24"/>
          <w:szCs w:val="24"/>
          <w:highlight w:val="none"/>
        </w:rPr>
        <w:t>其它</w:t>
      </w:r>
    </w:p>
    <w:p>
      <w:pPr>
        <w:spacing w:line="360" w:lineRule="auto"/>
        <w:ind w:firstLine="480" w:firstLineChars="20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招标投标文件和响应承诺文件、合同的附件及《中标通知书》以及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pPr>
        <w:spacing w:line="360" w:lineRule="auto"/>
        <w:ind w:firstLine="480" w:firstLineChars="20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．如一方地址、电话、传真号码有变更，应在变更当日内书面通知对方，否则，应承担相应责任。</w:t>
      </w:r>
    </w:p>
    <w:p>
      <w:pPr>
        <w:spacing w:line="360" w:lineRule="auto"/>
        <w:ind w:firstLine="480" w:firstLineChars="200"/>
        <w:rPr>
          <w:rFonts w:ascii="宋体"/>
          <w:color w:val="000000"/>
          <w:sz w:val="24"/>
          <w:highlight w:val="none"/>
        </w:rPr>
      </w:pPr>
      <w:r>
        <w:rPr>
          <w:rFonts w:ascii="宋体" w:hAnsi="宋体"/>
          <w:color w:val="000000"/>
          <w:sz w:val="24"/>
          <w:highlight w:val="none"/>
        </w:rPr>
        <w:t>3</w:t>
      </w:r>
      <w:r>
        <w:rPr>
          <w:rFonts w:hint="eastAsia" w:ascii="宋体" w:hAnsi="宋体"/>
          <w:color w:val="000000"/>
          <w:sz w:val="24"/>
          <w:highlight w:val="none"/>
        </w:rPr>
        <w:t>．未经甲方书面同意，乙方不得擅自向第三方转让其应履行的合同项下的义务。</w:t>
      </w:r>
    </w:p>
    <w:p>
      <w:pPr>
        <w:spacing w:line="360" w:lineRule="auto"/>
        <w:ind w:firstLine="480" w:firstLineChars="200"/>
        <w:rPr>
          <w:rFonts w:ascii="宋体"/>
          <w:color w:val="000000"/>
          <w:sz w:val="24"/>
          <w:highlight w:val="none"/>
        </w:rPr>
      </w:pPr>
      <w:r>
        <w:rPr>
          <w:rFonts w:ascii="宋体" w:hAnsi="宋体"/>
          <w:color w:val="000000"/>
          <w:sz w:val="24"/>
          <w:highlight w:val="none"/>
        </w:rPr>
        <w:t>4</w:t>
      </w:r>
      <w:r>
        <w:rPr>
          <w:rFonts w:hint="eastAsia" w:ascii="宋体" w:hAnsi="宋体"/>
          <w:color w:val="000000"/>
          <w:sz w:val="24"/>
          <w:highlight w:val="none"/>
        </w:rPr>
        <w:t>．</w:t>
      </w:r>
      <w:r>
        <w:rPr>
          <w:rFonts w:hint="eastAsia" w:ascii="宋体" w:hAnsi="宋体"/>
          <w:color w:val="000000"/>
          <w:spacing w:val="-6"/>
          <w:sz w:val="24"/>
          <w:highlight w:val="none"/>
        </w:rPr>
        <w:t>本合同一式陆份，甲方执三份，乙方执二份，</w:t>
      </w:r>
      <w:r>
        <w:rPr>
          <w:rFonts w:hint="eastAsia" w:ascii="宋体" w:hAnsi="宋体"/>
          <w:bCs/>
          <w:color w:val="000000"/>
          <w:spacing w:val="-6"/>
          <w:sz w:val="24"/>
          <w:highlight w:val="none"/>
        </w:rPr>
        <w:t>采购代理机构执一份。</w:t>
      </w:r>
    </w:p>
    <w:p>
      <w:pPr>
        <w:pStyle w:val="86"/>
        <w:keepNext w:val="0"/>
        <w:keepLines w:val="0"/>
        <w:pageBreakBefore w:val="0"/>
        <w:widowControl w:val="0"/>
        <w:numPr>
          <w:ilvl w:val="0"/>
          <w:numId w:val="127"/>
        </w:numPr>
        <w:kinsoku/>
        <w:wordWrap/>
        <w:overflowPunct/>
        <w:topLinePunct w:val="0"/>
        <w:autoSpaceDE/>
        <w:autoSpaceDN/>
        <w:bidi w:val="0"/>
        <w:adjustRightInd/>
        <w:snapToGrid/>
        <w:spacing w:line="360" w:lineRule="auto"/>
        <w:ind w:left="0" w:leftChars="0" w:firstLine="420" w:firstLineChars="0"/>
        <w:textAlignment w:val="auto"/>
        <w:rPr>
          <w:rFonts w:hint="eastAsia" w:ascii="宋体" w:hAnsi="宋体" w:eastAsia="宋体" w:cs="宋体"/>
          <w:b/>
          <w:bCs/>
          <w:color w:val="000000"/>
          <w:sz w:val="24"/>
          <w:highlight w:val="none"/>
        </w:rPr>
      </w:pPr>
      <w:r>
        <w:rPr>
          <w:rFonts w:hint="eastAsia" w:ascii="宋体" w:hAnsi="宋体" w:eastAsia="宋体" w:cs="宋体"/>
          <w:b/>
          <w:bCs/>
          <w:color w:val="000000"/>
          <w:sz w:val="24"/>
          <w:highlight w:val="none"/>
        </w:rPr>
        <w:t>合同附件清单（附后）</w:t>
      </w:r>
    </w:p>
    <w:p>
      <w:pPr>
        <w:pStyle w:val="10"/>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附注：</w:t>
      </w:r>
    </w:p>
    <w:p>
      <w:pPr>
        <w:pStyle w:val="10"/>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1．本合同所有附件均在签订合同时编制，确立依据为招标文件和乙方的投标文件及相关确认文件；</w:t>
      </w:r>
    </w:p>
    <w:p>
      <w:pPr>
        <w:pStyle w:val="10"/>
        <w:spacing w:line="360" w:lineRule="auto"/>
        <w:ind w:firstLine="482" w:firstLineChars="200"/>
        <w:rPr>
          <w:rFonts w:hint="eastAsia" w:ascii="宋体" w:hAnsi="宋体" w:eastAsia="宋体" w:cs="宋体"/>
          <w:color w:val="000000"/>
          <w:sz w:val="24"/>
          <w:highlight w:val="none"/>
        </w:rPr>
      </w:pPr>
      <w:r>
        <w:rPr>
          <w:rFonts w:hint="eastAsia" w:ascii="宋体" w:hAnsi="宋体" w:eastAsia="宋体" w:cs="宋体"/>
          <w:color w:val="000000"/>
          <w:sz w:val="24"/>
          <w:highlight w:val="none"/>
        </w:rPr>
        <w:t>2．项目重要内容（如：双方权利义务、功能要求说明、质量保证期等）可作为附件。</w:t>
      </w:r>
    </w:p>
    <w:p>
      <w:pPr>
        <w:pStyle w:val="10"/>
        <w:spacing w:line="360" w:lineRule="auto"/>
        <w:ind w:firstLine="482" w:firstLineChars="200"/>
        <w:rPr>
          <w:rFonts w:hint="eastAsia" w:ascii="宋体" w:hAnsi="宋体" w:eastAsia="宋体" w:cs="宋体"/>
          <w:color w:val="000000"/>
          <w:sz w:val="24"/>
          <w:highlight w:val="none"/>
        </w:rPr>
      </w:pPr>
    </w:p>
    <w:p>
      <w:pPr>
        <w:spacing w:line="520" w:lineRule="exact"/>
        <w:rPr>
          <w:rFonts w:ascii="宋体" w:hAnsi="宋体"/>
          <w:color w:val="000000"/>
          <w:sz w:val="24"/>
          <w:highlight w:val="none"/>
        </w:rPr>
      </w:pPr>
    </w:p>
    <w:tbl>
      <w:tblPr>
        <w:tblStyle w:val="29"/>
        <w:tblW w:w="9174" w:type="dxa"/>
        <w:jc w:val="center"/>
        <w:tblLayout w:type="fixed"/>
        <w:tblCellMar>
          <w:top w:w="0" w:type="dxa"/>
          <w:left w:w="108" w:type="dxa"/>
          <w:bottom w:w="0" w:type="dxa"/>
          <w:right w:w="108" w:type="dxa"/>
        </w:tblCellMar>
      </w:tblPr>
      <w:tblGrid>
        <w:gridCol w:w="4958"/>
        <w:gridCol w:w="4216"/>
      </w:tblGrid>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甲方（盖章）：</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乙方（盖章）：</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法定代表人或授权代理人（签字）：</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法定代表人或授权代理人（签字）：</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地址：</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地址：</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电话：</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电话：</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传真：</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传真：</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日期：年月日</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日期：年月日</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账户名称：</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账户名称：</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银行帐号：</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银行帐号：</w:t>
            </w:r>
          </w:p>
        </w:tc>
      </w:tr>
      <w:tr>
        <w:tblPrEx>
          <w:tblCellMar>
            <w:top w:w="0" w:type="dxa"/>
            <w:left w:w="108" w:type="dxa"/>
            <w:bottom w:w="0" w:type="dxa"/>
            <w:right w:w="108" w:type="dxa"/>
          </w:tblCellMar>
        </w:tblPrEx>
        <w:trPr>
          <w:jc w:val="center"/>
        </w:trPr>
        <w:tc>
          <w:tcPr>
            <w:tcW w:w="4958" w:type="dxa"/>
            <w:vAlign w:val="center"/>
          </w:tcPr>
          <w:p>
            <w:pPr>
              <w:spacing w:line="520" w:lineRule="exact"/>
              <w:rPr>
                <w:rFonts w:ascii="宋体"/>
                <w:color w:val="000000"/>
                <w:sz w:val="24"/>
                <w:highlight w:val="none"/>
              </w:rPr>
            </w:pPr>
            <w:r>
              <w:rPr>
                <w:rFonts w:hint="eastAsia" w:ascii="宋体" w:hAnsi="宋体"/>
                <w:color w:val="000000"/>
                <w:sz w:val="24"/>
                <w:highlight w:val="none"/>
              </w:rPr>
              <w:t>开户行：</w:t>
            </w:r>
          </w:p>
        </w:tc>
        <w:tc>
          <w:tcPr>
            <w:tcW w:w="4216" w:type="dxa"/>
            <w:vAlign w:val="center"/>
          </w:tcPr>
          <w:p>
            <w:pPr>
              <w:spacing w:line="520" w:lineRule="exact"/>
              <w:rPr>
                <w:rFonts w:ascii="宋体"/>
                <w:color w:val="000000"/>
                <w:sz w:val="24"/>
                <w:highlight w:val="none"/>
              </w:rPr>
            </w:pPr>
            <w:r>
              <w:rPr>
                <w:rFonts w:hint="eastAsia" w:ascii="宋体" w:hAnsi="宋体"/>
                <w:color w:val="000000"/>
                <w:sz w:val="24"/>
                <w:highlight w:val="none"/>
              </w:rPr>
              <w:t>开户行：</w:t>
            </w:r>
          </w:p>
        </w:tc>
      </w:tr>
      <w:bookmarkEnd w:id="541"/>
      <w:bookmarkEnd w:id="542"/>
      <w:bookmarkEnd w:id="543"/>
      <w:bookmarkEnd w:id="544"/>
      <w:bookmarkEnd w:id="545"/>
    </w:tbl>
    <w:p>
      <w:pPr>
        <w:rPr>
          <w:highlight w:val="none"/>
        </w:rPr>
      </w:pPr>
    </w:p>
    <w:p>
      <w:pPr>
        <w:rPr>
          <w:rFonts w:ascii="黑体" w:hAnsi="黑体" w:eastAsia="黑体" w:cs="黑体"/>
          <w:b/>
          <w:bCs/>
          <w:highlight w:val="none"/>
        </w:rPr>
      </w:pPr>
      <w:r>
        <w:rPr>
          <w:rFonts w:hint="eastAsia" w:ascii="黑体" w:hAnsi="黑体" w:eastAsia="黑体" w:cs="黑体"/>
          <w:b/>
          <w:bCs/>
          <w:highlight w:val="none"/>
        </w:rPr>
        <w:br w:type="page"/>
      </w: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pStyle w:val="2"/>
        <w:jc w:val="center"/>
        <w:rPr>
          <w:rFonts w:ascii="黑体" w:hAnsi="黑体" w:eastAsia="黑体" w:cs="黑体"/>
          <w:b/>
          <w:bCs/>
          <w:highlight w:val="none"/>
        </w:rPr>
      </w:pPr>
      <w:bookmarkStart w:id="546" w:name="_Toc21327"/>
      <w:r>
        <w:rPr>
          <w:rFonts w:hint="eastAsia" w:ascii="黑体" w:hAnsi="黑体" w:eastAsia="黑体" w:cs="黑体"/>
          <w:b/>
          <w:bCs/>
          <w:highlight w:val="none"/>
        </w:rPr>
        <w:t>第六章 投标文件</w:t>
      </w:r>
      <w:bookmarkEnd w:id="476"/>
      <w:bookmarkEnd w:id="477"/>
      <w:bookmarkEnd w:id="478"/>
      <w:bookmarkEnd w:id="479"/>
      <w:bookmarkEnd w:id="480"/>
      <w:r>
        <w:rPr>
          <w:rFonts w:hint="eastAsia" w:ascii="黑体" w:hAnsi="黑体" w:eastAsia="黑体" w:cs="黑体"/>
          <w:b/>
          <w:bCs/>
          <w:highlight w:val="none"/>
        </w:rPr>
        <w:t>格式</w:t>
      </w:r>
      <w:bookmarkEnd w:id="481"/>
      <w:bookmarkEnd w:id="482"/>
      <w:bookmarkEnd w:id="483"/>
      <w:bookmarkEnd w:id="484"/>
      <w:bookmarkEnd w:id="485"/>
      <w:bookmarkEnd w:id="486"/>
      <w:bookmarkEnd w:id="495"/>
      <w:bookmarkEnd w:id="546"/>
    </w:p>
    <w:p>
      <w:pPr>
        <w:jc w:val="center"/>
        <w:rPr>
          <w:rFonts w:eastAsia="仿宋_GB2312"/>
          <w:highlight w:val="none"/>
        </w:rPr>
      </w:pPr>
      <w:r>
        <w:rPr>
          <w:rFonts w:eastAsia="仿宋_GB2312"/>
          <w:highlight w:val="none"/>
        </w:rPr>
        <w:br w:type="page"/>
      </w:r>
      <w:bookmarkStart w:id="547" w:name="_Toc182886663"/>
      <w:bookmarkEnd w:id="547"/>
      <w:bookmarkStart w:id="548" w:name="_Toc196294633"/>
      <w:bookmarkEnd w:id="548"/>
      <w:bookmarkStart w:id="549" w:name="_Toc183316723"/>
      <w:bookmarkEnd w:id="549"/>
    </w:p>
    <w:p>
      <w:pPr>
        <w:jc w:val="center"/>
        <w:rPr>
          <w:rFonts w:ascii="黑体" w:eastAsia="黑体"/>
          <w:sz w:val="57"/>
          <w:highlight w:val="none"/>
        </w:rPr>
      </w:pPr>
      <w:bookmarkStart w:id="550" w:name="_Toc26694"/>
    </w:p>
    <w:p>
      <w:pPr>
        <w:jc w:val="center"/>
        <w:rPr>
          <w:rFonts w:ascii="黑体" w:eastAsia="黑体"/>
          <w:sz w:val="57"/>
          <w:highlight w:val="none"/>
        </w:rPr>
      </w:pPr>
    </w:p>
    <w:p>
      <w:pPr>
        <w:jc w:val="center"/>
        <w:rPr>
          <w:rFonts w:ascii="黑体" w:eastAsia="黑体"/>
          <w:sz w:val="96"/>
          <w:szCs w:val="32"/>
          <w:highlight w:val="none"/>
        </w:rPr>
      </w:pPr>
      <w:r>
        <w:rPr>
          <w:rFonts w:hint="eastAsia" w:ascii="黑体" w:eastAsia="黑体"/>
          <w:sz w:val="72"/>
          <w:szCs w:val="28"/>
          <w:highlight w:val="none"/>
        </w:rPr>
        <w:t xml:space="preserve"> </w:t>
      </w:r>
      <w:r>
        <w:rPr>
          <w:rFonts w:hint="eastAsia" w:ascii="黑体" w:eastAsia="黑体"/>
          <w:sz w:val="64"/>
          <w:szCs w:val="64"/>
          <w:highlight w:val="none"/>
        </w:rPr>
        <w:t>农业农村部木薯种质资源保护与利用重点实验室建设项目</w:t>
      </w:r>
    </w:p>
    <w:p>
      <w:pPr>
        <w:jc w:val="center"/>
        <w:rPr>
          <w:rFonts w:ascii="黑体" w:eastAsia="黑体"/>
          <w:sz w:val="57"/>
          <w:highlight w:val="none"/>
        </w:rPr>
      </w:pPr>
    </w:p>
    <w:p>
      <w:pPr>
        <w:jc w:val="center"/>
        <w:rPr>
          <w:rFonts w:ascii="黑体" w:eastAsia="黑体"/>
          <w:sz w:val="57"/>
          <w:highlight w:val="none"/>
        </w:rPr>
      </w:pPr>
    </w:p>
    <w:p>
      <w:pPr>
        <w:jc w:val="center"/>
        <w:rPr>
          <w:rFonts w:ascii="黑体" w:eastAsia="黑体"/>
          <w:sz w:val="57"/>
          <w:highlight w:val="none"/>
        </w:rPr>
      </w:pPr>
      <w:r>
        <w:rPr>
          <w:rFonts w:hint="eastAsia" w:ascii="黑体" w:eastAsia="黑体"/>
          <w:sz w:val="57"/>
          <w:highlight w:val="none"/>
        </w:rPr>
        <w:t>投标文件</w:t>
      </w:r>
    </w:p>
    <w:p>
      <w:pPr>
        <w:jc w:val="center"/>
        <w:rPr>
          <w:rFonts w:ascii="黑体" w:eastAsia="黑体"/>
          <w:sz w:val="57"/>
          <w:highlight w:val="none"/>
        </w:rPr>
      </w:pPr>
    </w:p>
    <w:p>
      <w:pPr>
        <w:jc w:val="center"/>
        <w:rPr>
          <w:sz w:val="47"/>
          <w:highlight w:val="none"/>
        </w:rPr>
      </w:pPr>
      <w:r>
        <w:rPr>
          <w:rFonts w:hint="eastAsia"/>
          <w:sz w:val="47"/>
          <w:highlight w:val="none"/>
        </w:rPr>
        <w:t>（正本/副本）</w:t>
      </w:r>
    </w:p>
    <w:p>
      <w:pPr>
        <w:rPr>
          <w:highlight w:val="none"/>
        </w:rPr>
      </w:pPr>
    </w:p>
    <w:p>
      <w:pPr>
        <w:rPr>
          <w:highlight w:val="none"/>
        </w:rPr>
      </w:pPr>
    </w:p>
    <w:p>
      <w:pPr>
        <w:rPr>
          <w:highlight w:val="none"/>
        </w:rPr>
      </w:pPr>
    </w:p>
    <w:p>
      <w:pPr>
        <w:rPr>
          <w:highlight w:val="none"/>
        </w:rPr>
      </w:pPr>
    </w:p>
    <w:p>
      <w:pPr>
        <w:adjustRightInd w:val="0"/>
        <w:snapToGrid w:val="0"/>
        <w:spacing w:line="360" w:lineRule="auto"/>
        <w:rPr>
          <w:sz w:val="28"/>
          <w:szCs w:val="28"/>
          <w:highlight w:val="none"/>
        </w:rPr>
      </w:pPr>
      <w:r>
        <w:rPr>
          <w:rFonts w:hint="eastAsia"/>
          <w:sz w:val="28"/>
          <w:szCs w:val="28"/>
          <w:highlight w:val="none"/>
        </w:rPr>
        <w:t xml:space="preserve">项目名称： </w:t>
      </w:r>
    </w:p>
    <w:p>
      <w:pPr>
        <w:adjustRightInd w:val="0"/>
        <w:snapToGrid w:val="0"/>
        <w:spacing w:line="360" w:lineRule="auto"/>
        <w:rPr>
          <w:sz w:val="28"/>
          <w:szCs w:val="28"/>
          <w:highlight w:val="none"/>
        </w:rPr>
      </w:pPr>
      <w:r>
        <w:rPr>
          <w:rFonts w:hint="eastAsia"/>
          <w:sz w:val="28"/>
          <w:szCs w:val="28"/>
          <w:highlight w:val="none"/>
        </w:rPr>
        <w:t xml:space="preserve">项目编号： </w:t>
      </w:r>
    </w:p>
    <w:p>
      <w:pPr>
        <w:adjustRightInd w:val="0"/>
        <w:snapToGrid w:val="0"/>
        <w:spacing w:line="360" w:lineRule="auto"/>
        <w:rPr>
          <w:sz w:val="28"/>
          <w:szCs w:val="28"/>
          <w:highlight w:val="none"/>
        </w:rPr>
      </w:pPr>
    </w:p>
    <w:p>
      <w:pPr>
        <w:adjustRightInd w:val="0"/>
        <w:snapToGrid w:val="0"/>
        <w:spacing w:line="360" w:lineRule="auto"/>
        <w:rPr>
          <w:sz w:val="28"/>
          <w:szCs w:val="28"/>
          <w:highlight w:val="none"/>
        </w:rPr>
      </w:pPr>
    </w:p>
    <w:p>
      <w:pPr>
        <w:adjustRightInd w:val="0"/>
        <w:snapToGrid w:val="0"/>
        <w:spacing w:line="360" w:lineRule="auto"/>
        <w:rPr>
          <w:sz w:val="28"/>
          <w:szCs w:val="28"/>
          <w:highlight w:val="none"/>
        </w:rPr>
      </w:pPr>
    </w:p>
    <w:p>
      <w:pPr>
        <w:adjustRightInd w:val="0"/>
        <w:snapToGrid w:val="0"/>
        <w:spacing w:line="360" w:lineRule="auto"/>
        <w:rPr>
          <w:sz w:val="28"/>
          <w:szCs w:val="28"/>
          <w:highlight w:val="none"/>
        </w:rPr>
      </w:pPr>
    </w:p>
    <w:p>
      <w:pPr>
        <w:adjustRightInd w:val="0"/>
        <w:snapToGrid w:val="0"/>
        <w:spacing w:line="360" w:lineRule="auto"/>
        <w:rPr>
          <w:sz w:val="28"/>
          <w:szCs w:val="28"/>
          <w:highlight w:val="none"/>
        </w:rPr>
      </w:pPr>
      <w:r>
        <w:rPr>
          <w:rFonts w:hint="eastAsia"/>
          <w:sz w:val="28"/>
          <w:szCs w:val="28"/>
          <w:highlight w:val="none"/>
        </w:rPr>
        <w:t xml:space="preserve">投标人名称：                </w:t>
      </w:r>
    </w:p>
    <w:p>
      <w:pPr>
        <w:adjustRightInd w:val="0"/>
        <w:snapToGrid w:val="0"/>
        <w:spacing w:line="360" w:lineRule="auto"/>
        <w:rPr>
          <w:sz w:val="28"/>
          <w:szCs w:val="28"/>
          <w:highlight w:val="none"/>
        </w:rPr>
      </w:pPr>
      <w:r>
        <w:rPr>
          <w:rFonts w:hint="eastAsia"/>
          <w:sz w:val="28"/>
          <w:szCs w:val="28"/>
          <w:highlight w:val="none"/>
        </w:rPr>
        <w:t>日期：    年      月      日</w:t>
      </w:r>
    </w:p>
    <w:p>
      <w:pPr>
        <w:adjustRightInd w:val="0"/>
        <w:snapToGrid w:val="0"/>
        <w:spacing w:line="360" w:lineRule="auto"/>
        <w:rPr>
          <w:sz w:val="28"/>
          <w:szCs w:val="28"/>
          <w:highlight w:val="none"/>
        </w:rPr>
      </w:pPr>
    </w:p>
    <w:p>
      <w:pPr>
        <w:adjustRightInd w:val="0"/>
        <w:snapToGrid w:val="0"/>
        <w:spacing w:line="360" w:lineRule="auto"/>
        <w:rPr>
          <w:sz w:val="28"/>
          <w:szCs w:val="28"/>
          <w:highlight w:val="none"/>
        </w:rPr>
      </w:pPr>
    </w:p>
    <w:p>
      <w:pPr>
        <w:adjustRightInd w:val="0"/>
        <w:snapToGrid w:val="0"/>
        <w:spacing w:line="360" w:lineRule="auto"/>
        <w:rPr>
          <w:sz w:val="28"/>
          <w:szCs w:val="28"/>
          <w:highlight w:val="none"/>
        </w:rPr>
      </w:pPr>
    </w:p>
    <w:p>
      <w:pPr>
        <w:ind w:left="420"/>
        <w:rPr>
          <w:highlight w:val="none"/>
        </w:rPr>
      </w:pPr>
      <w:bookmarkStart w:id="551" w:name="_Toc13137"/>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pStyle w:val="3"/>
        <w:jc w:val="center"/>
        <w:rPr>
          <w:sz w:val="44"/>
          <w:szCs w:val="44"/>
          <w:highlight w:val="none"/>
        </w:rPr>
      </w:pPr>
      <w:bookmarkStart w:id="552" w:name="_Toc7286"/>
      <w:r>
        <w:rPr>
          <w:sz w:val="44"/>
          <w:szCs w:val="44"/>
          <w:highlight w:val="none"/>
        </w:rPr>
        <w:t xml:space="preserve">第一部分  </w:t>
      </w:r>
      <w:r>
        <w:rPr>
          <w:rFonts w:hint="eastAsia"/>
          <w:sz w:val="44"/>
          <w:szCs w:val="44"/>
          <w:highlight w:val="none"/>
        </w:rPr>
        <w:t>自查表</w:t>
      </w:r>
      <w:bookmarkEnd w:id="551"/>
      <w:bookmarkEnd w:id="552"/>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bookmarkStart w:id="553" w:name="_Toc21818"/>
      <w:bookmarkStart w:id="554" w:name="_Toc27409"/>
      <w:r>
        <w:rPr>
          <w:rFonts w:hint="eastAsia"/>
          <w:highlight w:val="none"/>
        </w:rPr>
        <w:br w:type="page"/>
      </w:r>
    </w:p>
    <w:p>
      <w:pPr>
        <w:pStyle w:val="4"/>
        <w:numPr>
          <w:ilvl w:val="0"/>
          <w:numId w:val="147"/>
        </w:numPr>
        <w:adjustRightInd w:val="0"/>
        <w:snapToGrid w:val="0"/>
        <w:spacing w:before="0" w:after="0" w:line="360" w:lineRule="auto"/>
        <w:jc w:val="center"/>
        <w:rPr>
          <w:highlight w:val="none"/>
        </w:rPr>
      </w:pPr>
      <w:bookmarkStart w:id="555" w:name="_Toc270"/>
      <w:r>
        <w:rPr>
          <w:rFonts w:hint="eastAsia"/>
          <w:highlight w:val="none"/>
        </w:rPr>
        <w:t>资格性审查自查表</w:t>
      </w:r>
      <w:bookmarkEnd w:id="553"/>
      <w:bookmarkEnd w:id="554"/>
      <w:bookmarkEnd w:id="555"/>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7"/>
        <w:gridCol w:w="5835"/>
        <w:gridCol w:w="1199"/>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394" w:type="pct"/>
            <w:shd w:val="clear" w:color="auto" w:fill="D8D8D8"/>
            <w:vAlign w:val="center"/>
          </w:tcPr>
          <w:p>
            <w:pPr>
              <w:adjustRightInd w:val="0"/>
              <w:snapToGrid w:val="0"/>
              <w:jc w:val="center"/>
              <w:rPr>
                <w:rFonts w:ascii="宋体" w:hAnsi="宋体"/>
                <w:b/>
                <w:sz w:val="24"/>
                <w:highlight w:val="none"/>
              </w:rPr>
            </w:pPr>
            <w:r>
              <w:rPr>
                <w:rFonts w:hint="eastAsia" w:ascii="宋体" w:hAnsi="宋体"/>
                <w:b/>
                <w:sz w:val="24"/>
                <w:highlight w:val="none"/>
              </w:rPr>
              <w:t>序号</w:t>
            </w:r>
          </w:p>
        </w:tc>
        <w:tc>
          <w:tcPr>
            <w:tcW w:w="3158" w:type="pct"/>
            <w:shd w:val="clear" w:color="auto" w:fill="D8D8D8"/>
            <w:vAlign w:val="center"/>
          </w:tcPr>
          <w:p>
            <w:pPr>
              <w:adjustRightInd w:val="0"/>
              <w:snapToGrid w:val="0"/>
              <w:jc w:val="center"/>
              <w:rPr>
                <w:rFonts w:ascii="宋体" w:hAnsi="宋体"/>
                <w:b/>
                <w:sz w:val="24"/>
                <w:highlight w:val="none"/>
              </w:rPr>
            </w:pPr>
            <w:r>
              <w:rPr>
                <w:rFonts w:hint="eastAsia" w:ascii="宋体" w:hAnsi="宋体"/>
                <w:b/>
                <w:sz w:val="24"/>
                <w:highlight w:val="none"/>
              </w:rPr>
              <w:t>审查内容</w:t>
            </w:r>
          </w:p>
        </w:tc>
        <w:tc>
          <w:tcPr>
            <w:tcW w:w="649" w:type="pct"/>
            <w:shd w:val="clear" w:color="auto" w:fill="D8D8D8"/>
            <w:vAlign w:val="center"/>
          </w:tcPr>
          <w:p>
            <w:pPr>
              <w:adjustRightInd w:val="0"/>
              <w:snapToGrid w:val="0"/>
              <w:jc w:val="center"/>
              <w:rPr>
                <w:rFonts w:ascii="宋体" w:hAnsi="宋体"/>
                <w:b/>
                <w:sz w:val="24"/>
                <w:highlight w:val="none"/>
              </w:rPr>
            </w:pPr>
            <w:r>
              <w:rPr>
                <w:rFonts w:hint="eastAsia"/>
                <w:b/>
                <w:bCs/>
                <w:sz w:val="24"/>
                <w:highlight w:val="none"/>
              </w:rPr>
              <w:t>自查结论</w:t>
            </w:r>
          </w:p>
        </w:tc>
        <w:tc>
          <w:tcPr>
            <w:tcW w:w="797" w:type="pct"/>
            <w:shd w:val="clear" w:color="auto" w:fill="D8D8D8"/>
            <w:vAlign w:val="center"/>
          </w:tcPr>
          <w:p>
            <w:pPr>
              <w:adjustRightInd w:val="0"/>
              <w:snapToGrid w:val="0"/>
              <w:ind w:left="-171"/>
              <w:jc w:val="center"/>
              <w:rPr>
                <w:b/>
                <w:bCs/>
                <w:sz w:val="24"/>
                <w:highlight w:val="none"/>
              </w:rPr>
            </w:pPr>
            <w:r>
              <w:rPr>
                <w:rFonts w:hint="eastAsia"/>
                <w:b/>
                <w:bCs/>
                <w:sz w:val="24"/>
                <w:highlight w:val="none"/>
              </w:rPr>
              <w:t xml:space="preserve"> 证明材料</w:t>
            </w:r>
          </w:p>
          <w:p>
            <w:pPr>
              <w:adjustRightInd w:val="0"/>
              <w:snapToGrid w:val="0"/>
              <w:jc w:val="center"/>
              <w:rPr>
                <w:rFonts w:ascii="宋体" w:hAnsi="宋体"/>
                <w:b/>
                <w:sz w:val="24"/>
                <w:highlight w:val="none"/>
              </w:rPr>
            </w:pPr>
            <w:r>
              <w:rPr>
                <w:rFonts w:hint="eastAsia"/>
                <w:b/>
                <w:bCs/>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jc w:val="left"/>
              <w:rPr>
                <w:rFonts w:ascii="宋体" w:hAnsi="宋体" w:cs="Tahoma"/>
                <w:sz w:val="24"/>
                <w:highlight w:val="none"/>
              </w:rPr>
            </w:pPr>
            <w:r>
              <w:rPr>
                <w:rFonts w:hint="eastAsia" w:ascii="宋体" w:hAnsi="宋体" w:cs="宋体"/>
                <w:sz w:val="24"/>
                <w:highlight w:val="none"/>
              </w:rPr>
              <w:t>具有独立承担民事责任能力的在中华人民共和国境内注册的法人或其他组织。</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cs="Tahoma"/>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cs="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jc w:val="left"/>
              <w:rPr>
                <w:rFonts w:ascii="宋体" w:hAnsi="宋体" w:cs="宋体"/>
                <w:sz w:val="24"/>
                <w:highlight w:val="none"/>
              </w:rPr>
            </w:pPr>
            <w:r>
              <w:rPr>
                <w:rFonts w:hint="eastAsia" w:ascii="宋体" w:hAnsi="宋体"/>
                <w:sz w:val="24"/>
                <w:highlight w:val="none"/>
              </w:rPr>
              <w:t>具有良好的商业信誉和健全的财务会计制度</w:t>
            </w:r>
            <w:r>
              <w:rPr>
                <w:rFonts w:hint="eastAsia" w:ascii="宋体" w:hAnsi="宋体" w:cs="宋体"/>
                <w:sz w:val="24"/>
                <w:highlight w:val="none"/>
              </w:rPr>
              <w:t>。</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jc w:val="left"/>
              <w:rPr>
                <w:rFonts w:ascii="宋体" w:hAnsi="宋体"/>
                <w:sz w:val="24"/>
                <w:highlight w:val="none"/>
              </w:rPr>
            </w:pPr>
            <w:r>
              <w:rPr>
                <w:rFonts w:hint="eastAsia" w:ascii="宋体" w:hAnsi="宋体"/>
                <w:sz w:val="24"/>
                <w:highlight w:val="none"/>
              </w:rPr>
              <w:t>有依法缴纳税收和社会保障资金的良好记录</w:t>
            </w:r>
            <w:r>
              <w:rPr>
                <w:rFonts w:hint="eastAsia" w:ascii="宋体" w:hAnsi="宋体" w:cs="宋体"/>
                <w:sz w:val="24"/>
                <w:highlight w:val="none"/>
              </w:rPr>
              <w:t>。</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jc w:val="left"/>
              <w:rPr>
                <w:rFonts w:ascii="宋体" w:hAnsi="宋体"/>
                <w:sz w:val="24"/>
                <w:highlight w:val="none"/>
              </w:rPr>
            </w:pPr>
            <w:r>
              <w:rPr>
                <w:rFonts w:hint="eastAsia" w:ascii="宋体" w:hAnsi="宋体"/>
                <w:sz w:val="24"/>
                <w:highlight w:val="none"/>
              </w:rPr>
              <w:t>履行合同所必需的设备和专业技术能力</w:t>
            </w:r>
            <w:r>
              <w:rPr>
                <w:rFonts w:hint="eastAsia" w:ascii="宋体" w:hAnsi="宋体" w:cs="宋体"/>
                <w:sz w:val="24"/>
                <w:highlight w:val="none"/>
              </w:rPr>
              <w:t>。</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jc w:val="left"/>
              <w:rPr>
                <w:rFonts w:ascii="宋体" w:hAnsi="宋体"/>
                <w:sz w:val="24"/>
                <w:highlight w:val="none"/>
              </w:rPr>
            </w:pPr>
            <w:r>
              <w:rPr>
                <w:rFonts w:hint="eastAsia" w:ascii="宋体" w:hAnsi="宋体"/>
                <w:sz w:val="24"/>
                <w:highlight w:val="none"/>
              </w:rPr>
              <w:t>供应商参加政府采购活动前三年内，在经营活动中没有重大违法记录。</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jc w:val="left"/>
              <w:rPr>
                <w:rFonts w:ascii="宋体" w:hAnsi="宋体"/>
                <w:sz w:val="24"/>
                <w:highlight w:val="none"/>
              </w:rPr>
            </w:pPr>
            <w:r>
              <w:rPr>
                <w:rFonts w:hint="eastAsia" w:ascii="宋体" w:hAnsi="宋体"/>
                <w:sz w:val="24"/>
                <w:highlight w:val="none"/>
              </w:rPr>
              <w:t>供应商必须符合法律、行政法规规定的其他条件。</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jc w:val="left"/>
              <w:rPr>
                <w:rFonts w:ascii="宋体" w:hAnsi="宋体" w:cs="宋体"/>
                <w:sz w:val="24"/>
                <w:highlight w:val="none"/>
              </w:rPr>
            </w:pPr>
            <w:r>
              <w:rPr>
                <w:rFonts w:ascii="宋体" w:hAnsi="宋体" w:cs="宋体"/>
                <w:sz w:val="24"/>
                <w:highlight w:val="none"/>
              </w:rPr>
              <w:t>供应商未被列入“中国执行信息公开网”（zxgk.court.gov.cn）“记录失信被执行人”</w:t>
            </w:r>
            <w:r>
              <w:rPr>
                <w:rFonts w:hint="eastAsia" w:ascii="宋体" w:hAnsi="宋体" w:cs="宋体"/>
                <w:sz w:val="24"/>
                <w:highlight w:val="none"/>
              </w:rPr>
              <w:t>名单</w:t>
            </w:r>
            <w:r>
              <w:rPr>
                <w:rFonts w:ascii="宋体" w:hAnsi="宋体" w:cs="宋体"/>
                <w:sz w:val="24"/>
                <w:highlight w:val="none"/>
              </w:rPr>
              <w:t>；</w:t>
            </w:r>
            <w:r>
              <w:rPr>
                <w:rFonts w:hint="eastAsia" w:ascii="宋体" w:hAnsi="宋体" w:cs="宋体"/>
                <w:sz w:val="24"/>
                <w:highlight w:val="none"/>
              </w:rPr>
              <w:t>未被列入</w:t>
            </w:r>
            <w:r>
              <w:rPr>
                <w:rFonts w:ascii="宋体" w:hAnsi="宋体" w:cs="宋体"/>
                <w:sz w:val="24"/>
                <w:highlight w:val="none"/>
              </w:rPr>
              <w:t>“信用中国”网站(www.creditchina.gov.cn)“重大税收违法失信主体</w:t>
            </w:r>
            <w:r>
              <w:rPr>
                <w:rFonts w:hint="eastAsia" w:ascii="宋体" w:hAnsi="宋体" w:cs="宋体"/>
                <w:sz w:val="24"/>
                <w:highlight w:val="none"/>
              </w:rPr>
              <w:t>、</w:t>
            </w:r>
            <w:r>
              <w:rPr>
                <w:rFonts w:ascii="宋体" w:hAnsi="宋体" w:cs="宋体"/>
                <w:sz w:val="24"/>
                <w:highlight w:val="none"/>
              </w:rPr>
              <w:t>政府采购严重违法失信行为”记录名单；不处于中国政府采购网(www.ccgp.gov.cn)“政府采购严重违法失信行为信息记录”中的禁止参加政府采购活动期间</w:t>
            </w:r>
            <w:r>
              <w:rPr>
                <w:rFonts w:hint="eastAsia" w:ascii="宋体" w:hAnsi="宋体" w:cs="宋体"/>
                <w:sz w:val="24"/>
                <w:highlight w:val="none"/>
              </w:rPr>
              <w:t>。</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tabs>
                <w:tab w:val="left" w:pos="1092"/>
              </w:tabs>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单位负责人为同一人或者存在直接控股、管理关系的不同供应商，不得同时参加本采购项目（或采购包）投标。</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tabs>
                <w:tab w:val="left" w:pos="1092"/>
              </w:tabs>
              <w:adjustRightInd w:val="0"/>
              <w:snapToGrid w:val="0"/>
              <w:spacing w:line="440" w:lineRule="exact"/>
              <w:jc w:val="left"/>
              <w:rPr>
                <w:rFonts w:ascii="宋体" w:hAnsi="宋体" w:cs="宋体"/>
                <w:sz w:val="24"/>
                <w:highlight w:val="none"/>
              </w:rPr>
            </w:pPr>
            <w:r>
              <w:rPr>
                <w:rFonts w:hint="eastAsia" w:ascii="宋体" w:hAnsi="宋体" w:cs="宋体"/>
                <w:sz w:val="24"/>
                <w:highlight w:val="none"/>
              </w:rPr>
              <w:t>为本项目提供整体设计、规范编制或者项目管理、监理、检测等服务的供应商，不得再参与本项目投标。</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394" w:type="pct"/>
            <w:vAlign w:val="center"/>
          </w:tcPr>
          <w:p>
            <w:pPr>
              <w:numPr>
                <w:ilvl w:val="0"/>
                <w:numId w:val="148"/>
              </w:numPr>
              <w:adjustRightInd w:val="0"/>
              <w:snapToGrid w:val="0"/>
              <w:spacing w:line="440" w:lineRule="exact"/>
              <w:jc w:val="center"/>
              <w:rPr>
                <w:rFonts w:ascii="宋体" w:hAnsi="宋体"/>
                <w:sz w:val="24"/>
                <w:highlight w:val="none"/>
              </w:rPr>
            </w:pPr>
          </w:p>
        </w:tc>
        <w:tc>
          <w:tcPr>
            <w:tcW w:w="3158" w:type="pct"/>
            <w:vAlign w:val="center"/>
          </w:tcPr>
          <w:p>
            <w:pPr>
              <w:spacing w:line="440" w:lineRule="exact"/>
              <w:rPr>
                <w:rFonts w:ascii="宋体" w:hAnsi="宋体"/>
                <w:sz w:val="24"/>
                <w:highlight w:val="none"/>
              </w:rPr>
            </w:pPr>
            <w:r>
              <w:rPr>
                <w:rFonts w:hint="eastAsia" w:ascii="宋体" w:hAnsi="宋体" w:cs="宋体"/>
                <w:sz w:val="24"/>
                <w:highlight w:val="none"/>
              </w:rPr>
              <w:t>供应商已领购本项目招标文件。</w:t>
            </w:r>
          </w:p>
        </w:tc>
        <w:tc>
          <w:tcPr>
            <w:tcW w:w="649"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40" w:lineRule="exact"/>
              <w:jc w:val="left"/>
              <w:rPr>
                <w:rFonts w:ascii="宋体" w:hAnsi="宋体"/>
                <w:sz w:val="24"/>
                <w:highlight w:val="none"/>
              </w:rPr>
            </w:pPr>
            <w:r>
              <w:rPr>
                <w:rFonts w:hint="eastAsia" w:ascii="宋体" w:hAnsi="宋体"/>
                <w:sz w:val="24"/>
                <w:highlight w:val="none"/>
              </w:rPr>
              <w:t>□不通过</w:t>
            </w:r>
          </w:p>
        </w:tc>
        <w:tc>
          <w:tcPr>
            <w:tcW w:w="797" w:type="pct"/>
            <w:vAlign w:val="center"/>
          </w:tcPr>
          <w:p>
            <w:pPr>
              <w:adjustRightInd w:val="0"/>
              <w:snapToGrid w:val="0"/>
              <w:spacing w:line="440" w:lineRule="exact"/>
              <w:jc w:val="center"/>
              <w:rPr>
                <w:rFonts w:ascii="宋体" w:hAnsi="宋体"/>
                <w:sz w:val="24"/>
                <w:highlight w:val="none"/>
              </w:rPr>
            </w:pPr>
            <w:r>
              <w:rPr>
                <w:rFonts w:hint="eastAsia" w:ascii="宋体" w:hAnsi="宋体"/>
                <w:sz w:val="24"/>
                <w:highlight w:val="none"/>
              </w:rPr>
              <w:t>见投标文件</w:t>
            </w:r>
          </w:p>
          <w:p>
            <w:pPr>
              <w:adjustRightInd w:val="0"/>
              <w:snapToGrid w:val="0"/>
              <w:spacing w:line="440" w:lineRule="exact"/>
              <w:jc w:val="center"/>
              <w:rPr>
                <w:rFonts w:ascii="宋体" w:hAnsi="宋体"/>
                <w:sz w:val="24"/>
                <w:highlight w:val="none"/>
              </w:rPr>
            </w:pPr>
            <w:r>
              <w:rPr>
                <w:rFonts w:hint="eastAsia" w:ascii="宋体" w:hAnsi="宋体"/>
                <w:sz w:val="24"/>
                <w:highlight w:val="none"/>
              </w:rPr>
              <w:t>第（）页</w:t>
            </w:r>
          </w:p>
        </w:tc>
      </w:tr>
    </w:tbl>
    <w:p>
      <w:pPr>
        <w:spacing w:line="360" w:lineRule="auto"/>
        <w:ind w:left="-359" w:leftChars="-171" w:firstLine="360" w:firstLineChars="150"/>
        <w:rPr>
          <w:sz w:val="24"/>
          <w:highlight w:val="none"/>
        </w:rPr>
      </w:pPr>
      <w:r>
        <w:rPr>
          <w:rFonts w:hint="eastAsia"/>
          <w:sz w:val="24"/>
          <w:highlight w:val="none"/>
        </w:rPr>
        <w:t>注：1、上表内容将作为投标人资格性审查的重要内容之一，投标人必须严格按照上表所列要求在投标文件中对应如实提供，对资格性审查证明文件的任何缺漏和不符合项将会直接导致投标无效。2、投标人根据自查结论在对应的</w:t>
      </w:r>
      <w:r>
        <w:rPr>
          <w:rFonts w:hint="eastAsia"/>
          <w:sz w:val="24"/>
          <w:highlight w:val="none"/>
        </w:rPr>
        <w:sym w:font="Wingdings 2" w:char="0052"/>
      </w:r>
      <w:r>
        <w:rPr>
          <w:rFonts w:hint="eastAsia"/>
          <w:sz w:val="24"/>
          <w:highlight w:val="none"/>
        </w:rPr>
        <w:t>打“√”。</w:t>
      </w:r>
    </w:p>
    <w:p>
      <w:pPr>
        <w:adjustRightInd w:val="0"/>
        <w:snapToGrid w:val="0"/>
        <w:spacing w:before="72" w:after="72" w:line="480" w:lineRule="auto"/>
        <w:ind w:firstLine="2940" w:firstLineChars="1225"/>
        <w:rPr>
          <w:rFonts w:ascii="宋体" w:hAnsi="宋体" w:cs="宋体"/>
          <w:sz w:val="24"/>
          <w:highlight w:val="none"/>
        </w:rPr>
      </w:pPr>
    </w:p>
    <w:p>
      <w:pPr>
        <w:adjustRightInd w:val="0"/>
        <w:snapToGrid w:val="0"/>
        <w:spacing w:before="72" w:after="72" w:line="48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48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400" w:lineRule="exact"/>
        <w:ind w:firstLine="2940" w:firstLineChars="1225"/>
        <w:rPr>
          <w:rFonts w:ascii="宋体" w:hAnsi="宋体" w:cs="宋体"/>
          <w:sz w:val="24"/>
          <w:highlight w:val="none"/>
        </w:rPr>
      </w:pPr>
      <w:r>
        <w:rPr>
          <w:rFonts w:hint="eastAsia" w:ascii="宋体" w:hAnsi="宋体" w:cs="宋体"/>
          <w:sz w:val="24"/>
          <w:highlight w:val="none"/>
        </w:rPr>
        <w:t>日期：   年   月   日</w:t>
      </w:r>
    </w:p>
    <w:p>
      <w:pPr>
        <w:rPr>
          <w:rFonts w:ascii="宋体" w:hAnsi="宋体" w:cs="宋体"/>
          <w:sz w:val="24"/>
          <w:highlight w:val="none"/>
        </w:rPr>
      </w:pPr>
      <w:r>
        <w:rPr>
          <w:rFonts w:hint="eastAsia" w:ascii="宋体" w:hAnsi="宋体" w:cs="宋体"/>
          <w:sz w:val="24"/>
          <w:highlight w:val="none"/>
        </w:rPr>
        <w:br w:type="page"/>
      </w:r>
    </w:p>
    <w:p>
      <w:pPr>
        <w:pStyle w:val="4"/>
        <w:numPr>
          <w:ilvl w:val="0"/>
          <w:numId w:val="147"/>
        </w:numPr>
        <w:spacing w:before="0" w:after="0" w:line="360" w:lineRule="auto"/>
        <w:jc w:val="center"/>
        <w:rPr>
          <w:highlight w:val="none"/>
        </w:rPr>
      </w:pPr>
      <w:bookmarkStart w:id="556" w:name="_Toc21258"/>
      <w:bookmarkStart w:id="557" w:name="_Toc29167"/>
      <w:r>
        <w:rPr>
          <w:rFonts w:hint="eastAsia"/>
          <w:highlight w:val="none"/>
        </w:rPr>
        <w:t>符合性审查自查表</w:t>
      </w:r>
      <w:bookmarkEnd w:id="556"/>
      <w:bookmarkEnd w:id="557"/>
    </w:p>
    <w:tbl>
      <w:tblPr>
        <w:tblStyle w:val="29"/>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7"/>
        <w:gridCol w:w="2469"/>
        <w:gridCol w:w="3346"/>
        <w:gridCol w:w="1236"/>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410" w:type="pct"/>
            <w:shd w:val="clear" w:color="auto" w:fill="D7D7D7"/>
            <w:vAlign w:val="center"/>
          </w:tcPr>
          <w:p>
            <w:pPr>
              <w:adjustRightInd w:val="0"/>
              <w:snapToGrid w:val="0"/>
              <w:spacing w:line="400" w:lineRule="exact"/>
              <w:ind w:left="40" w:leftChars="19"/>
              <w:jc w:val="center"/>
              <w:rPr>
                <w:b/>
                <w:bCs/>
                <w:sz w:val="24"/>
                <w:highlight w:val="none"/>
              </w:rPr>
            </w:pPr>
            <w:r>
              <w:rPr>
                <w:rFonts w:hint="eastAsia"/>
                <w:b/>
                <w:bCs/>
                <w:sz w:val="24"/>
                <w:highlight w:val="none"/>
              </w:rPr>
              <w:t>序号</w:t>
            </w:r>
          </w:p>
        </w:tc>
        <w:tc>
          <w:tcPr>
            <w:tcW w:w="1337" w:type="pct"/>
            <w:shd w:val="clear" w:color="auto" w:fill="D7D7D7"/>
            <w:vAlign w:val="center"/>
          </w:tcPr>
          <w:p>
            <w:pPr>
              <w:adjustRightInd w:val="0"/>
              <w:snapToGrid w:val="0"/>
              <w:spacing w:line="400" w:lineRule="exact"/>
              <w:ind w:left="40" w:leftChars="19"/>
              <w:jc w:val="center"/>
              <w:rPr>
                <w:b/>
                <w:bCs/>
                <w:sz w:val="24"/>
                <w:highlight w:val="none"/>
              </w:rPr>
            </w:pPr>
            <w:r>
              <w:rPr>
                <w:rFonts w:hint="eastAsia"/>
                <w:b/>
                <w:bCs/>
                <w:sz w:val="24"/>
                <w:highlight w:val="none"/>
              </w:rPr>
              <w:t>评审内容</w:t>
            </w:r>
          </w:p>
        </w:tc>
        <w:tc>
          <w:tcPr>
            <w:tcW w:w="1812" w:type="pct"/>
            <w:shd w:val="clear" w:color="auto" w:fill="D7D7D7"/>
            <w:vAlign w:val="center"/>
          </w:tcPr>
          <w:p>
            <w:pPr>
              <w:adjustRightInd w:val="0"/>
              <w:snapToGrid w:val="0"/>
              <w:spacing w:line="400" w:lineRule="exact"/>
              <w:ind w:left="40" w:leftChars="19"/>
              <w:jc w:val="center"/>
              <w:rPr>
                <w:b/>
                <w:bCs/>
                <w:sz w:val="24"/>
                <w:highlight w:val="none"/>
              </w:rPr>
            </w:pPr>
            <w:r>
              <w:rPr>
                <w:rFonts w:hint="eastAsia"/>
                <w:b/>
                <w:bCs/>
                <w:sz w:val="24"/>
                <w:highlight w:val="none"/>
              </w:rPr>
              <w:t>招标文件要求</w:t>
            </w:r>
          </w:p>
        </w:tc>
        <w:tc>
          <w:tcPr>
            <w:tcW w:w="669" w:type="pct"/>
            <w:shd w:val="clear" w:color="auto" w:fill="D7D7D7"/>
            <w:vAlign w:val="center"/>
          </w:tcPr>
          <w:p>
            <w:pPr>
              <w:adjustRightInd w:val="0"/>
              <w:snapToGrid w:val="0"/>
              <w:spacing w:line="400" w:lineRule="exact"/>
              <w:ind w:left="-171"/>
              <w:jc w:val="center"/>
              <w:rPr>
                <w:b/>
                <w:bCs/>
                <w:sz w:val="24"/>
                <w:highlight w:val="none"/>
              </w:rPr>
            </w:pPr>
            <w:r>
              <w:rPr>
                <w:rFonts w:hint="eastAsia"/>
                <w:b/>
                <w:bCs/>
                <w:sz w:val="24"/>
                <w:highlight w:val="none"/>
              </w:rPr>
              <w:t>自查结论</w:t>
            </w:r>
          </w:p>
        </w:tc>
        <w:tc>
          <w:tcPr>
            <w:tcW w:w="770" w:type="pct"/>
            <w:shd w:val="clear" w:color="auto" w:fill="D7D7D7"/>
            <w:vAlign w:val="center"/>
          </w:tcPr>
          <w:p>
            <w:pPr>
              <w:adjustRightInd w:val="0"/>
              <w:snapToGrid w:val="0"/>
              <w:spacing w:line="400" w:lineRule="exact"/>
              <w:ind w:left="-171"/>
              <w:jc w:val="center"/>
              <w:rPr>
                <w:b/>
                <w:bCs/>
                <w:sz w:val="24"/>
                <w:highlight w:val="none"/>
              </w:rPr>
            </w:pPr>
            <w:r>
              <w:rPr>
                <w:rFonts w:hint="eastAsia"/>
                <w:b/>
                <w:bCs/>
                <w:sz w:val="24"/>
                <w:highlight w:val="none"/>
              </w:rPr>
              <w:t>证明材料</w:t>
            </w:r>
          </w:p>
          <w:p>
            <w:pPr>
              <w:adjustRightInd w:val="0"/>
              <w:snapToGrid w:val="0"/>
              <w:spacing w:line="400" w:lineRule="exact"/>
              <w:ind w:left="-171"/>
              <w:jc w:val="center"/>
              <w:rPr>
                <w:b/>
                <w:bCs/>
                <w:sz w:val="24"/>
                <w:highlight w:val="none"/>
              </w:rPr>
            </w:pPr>
            <w:r>
              <w:rPr>
                <w:rFonts w:hint="eastAsia"/>
                <w:b/>
                <w:bCs/>
                <w:sz w:val="24"/>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投标函(原件)</w:t>
            </w:r>
          </w:p>
        </w:tc>
        <w:tc>
          <w:tcPr>
            <w:tcW w:w="1812" w:type="pct"/>
            <w:vAlign w:val="center"/>
          </w:tcPr>
          <w:p>
            <w:pPr>
              <w:adjustRightInd w:val="0"/>
              <w:snapToGrid w:val="0"/>
              <w:spacing w:line="440" w:lineRule="exact"/>
              <w:ind w:left="40" w:leftChars="19"/>
              <w:rPr>
                <w:rFonts w:ascii="宋体" w:hAnsi="宋体"/>
                <w:sz w:val="24"/>
                <w:highlight w:val="none"/>
              </w:rPr>
            </w:pPr>
            <w:r>
              <w:rPr>
                <w:rFonts w:hint="eastAsia" w:ascii="宋体" w:hAnsi="宋体"/>
                <w:sz w:val="24"/>
                <w:highlight w:val="none"/>
              </w:rPr>
              <w:t>按对应格式文件填写、签署、盖章。</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sz w:val="24"/>
                <w:highlight w:val="none"/>
              </w:rPr>
            </w:pPr>
            <w:r>
              <w:rPr>
                <w:rFonts w:hint="eastAsia" w:ascii="宋体"/>
                <w:sz w:val="24"/>
                <w:highlight w:val="none"/>
              </w:rPr>
              <w:t>法定代表人（负责人）证明书及授权委托书</w:t>
            </w:r>
          </w:p>
          <w:p>
            <w:pPr>
              <w:adjustRightInd w:val="0"/>
              <w:snapToGrid w:val="0"/>
              <w:spacing w:line="440" w:lineRule="exact"/>
              <w:jc w:val="left"/>
              <w:rPr>
                <w:rFonts w:ascii="宋体"/>
                <w:sz w:val="24"/>
                <w:highlight w:val="none"/>
              </w:rPr>
            </w:pPr>
            <w:r>
              <w:rPr>
                <w:rFonts w:hint="eastAsia" w:ascii="宋体"/>
                <w:sz w:val="24"/>
                <w:highlight w:val="none"/>
              </w:rPr>
              <w:t>注：法定代表人（负责人）投标的只须提供法定代表人（负责人）证明书</w:t>
            </w:r>
          </w:p>
        </w:tc>
        <w:tc>
          <w:tcPr>
            <w:tcW w:w="1812" w:type="pct"/>
            <w:vAlign w:val="center"/>
          </w:tcPr>
          <w:p>
            <w:pPr>
              <w:adjustRightInd w:val="0"/>
              <w:snapToGrid w:val="0"/>
              <w:spacing w:line="440" w:lineRule="exact"/>
              <w:ind w:left="40" w:leftChars="19"/>
              <w:rPr>
                <w:rFonts w:ascii="宋体" w:hAnsi="宋体"/>
                <w:sz w:val="24"/>
                <w:highlight w:val="none"/>
              </w:rPr>
            </w:pPr>
            <w:r>
              <w:rPr>
                <w:rFonts w:hint="eastAsia" w:ascii="宋体" w:hAnsi="宋体"/>
                <w:sz w:val="24"/>
                <w:highlight w:val="none"/>
              </w:rPr>
              <w:t>按对应格式文件签署、盖章。</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restar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Merge w:val="restart"/>
            <w:vAlign w:val="center"/>
          </w:tcPr>
          <w:p>
            <w:pPr>
              <w:adjustRightInd w:val="0"/>
              <w:snapToGrid w:val="0"/>
              <w:spacing w:line="440" w:lineRule="exact"/>
              <w:jc w:val="left"/>
              <w:rPr>
                <w:sz w:val="24"/>
                <w:highlight w:val="none"/>
              </w:rPr>
            </w:pPr>
            <w:r>
              <w:rPr>
                <w:rFonts w:hint="eastAsia" w:ascii="宋体" w:hAnsi="宋体"/>
                <w:sz w:val="24"/>
                <w:highlight w:val="none"/>
              </w:rPr>
              <w:t>报价要求</w:t>
            </w:r>
          </w:p>
        </w:tc>
        <w:tc>
          <w:tcPr>
            <w:tcW w:w="1812" w:type="pct"/>
            <w:vAlign w:val="center"/>
          </w:tcPr>
          <w:p>
            <w:pPr>
              <w:tabs>
                <w:tab w:val="left" w:pos="2880"/>
              </w:tabs>
              <w:adjustRightInd w:val="0"/>
              <w:snapToGrid w:val="0"/>
              <w:spacing w:line="440" w:lineRule="exact"/>
              <w:ind w:left="40" w:leftChars="19"/>
              <w:rPr>
                <w:rFonts w:ascii="宋体" w:hAnsi="宋体"/>
                <w:sz w:val="24"/>
                <w:highlight w:val="none"/>
              </w:rPr>
            </w:pPr>
            <w:r>
              <w:rPr>
                <w:rFonts w:hint="eastAsia" w:ascii="宋体" w:hAnsi="宋体"/>
                <w:sz w:val="24"/>
                <w:highlight w:val="none"/>
              </w:rPr>
              <w:t>投标报价是固定价且是唯一的，投标报价未超出</w:t>
            </w:r>
            <w:r>
              <w:rPr>
                <w:rFonts w:hint="eastAsia" w:ascii="宋体" w:hAnsi="宋体"/>
                <w:sz w:val="24"/>
                <w:highlight w:val="none"/>
                <w:lang w:eastAsia="zh-Hans"/>
              </w:rPr>
              <w:t>单价</w:t>
            </w:r>
            <w:r>
              <w:rPr>
                <w:rFonts w:hint="eastAsia" w:ascii="宋体" w:hAnsi="宋体"/>
                <w:sz w:val="24"/>
                <w:highlight w:val="none"/>
              </w:rPr>
              <w:t>最高限价。</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Merge w:val="continue"/>
            <w:vAlign w:val="center"/>
          </w:tcPr>
          <w:p>
            <w:pPr>
              <w:numPr>
                <w:ilvl w:val="0"/>
                <w:numId w:val="121"/>
              </w:numPr>
              <w:adjustRightInd w:val="0"/>
              <w:snapToGrid w:val="0"/>
              <w:spacing w:line="440" w:lineRule="exact"/>
              <w:jc w:val="center"/>
              <w:rPr>
                <w:rFonts w:ascii="宋体" w:hAnsi="宋体"/>
                <w:sz w:val="24"/>
                <w:highlight w:val="none"/>
              </w:rPr>
            </w:pPr>
          </w:p>
        </w:tc>
        <w:tc>
          <w:tcPr>
            <w:tcW w:w="1337" w:type="pct"/>
            <w:vMerge w:val="continue"/>
            <w:vAlign w:val="center"/>
          </w:tcPr>
          <w:p>
            <w:pPr>
              <w:adjustRightInd w:val="0"/>
              <w:snapToGrid w:val="0"/>
              <w:spacing w:line="400" w:lineRule="exact"/>
              <w:jc w:val="left"/>
              <w:rPr>
                <w:sz w:val="24"/>
                <w:highlight w:val="none"/>
              </w:rPr>
            </w:pPr>
          </w:p>
        </w:tc>
        <w:tc>
          <w:tcPr>
            <w:tcW w:w="1812" w:type="pct"/>
            <w:vAlign w:val="center"/>
          </w:tcPr>
          <w:p>
            <w:pPr>
              <w:tabs>
                <w:tab w:val="left" w:pos="2880"/>
              </w:tabs>
              <w:adjustRightInd w:val="0"/>
              <w:snapToGrid w:val="0"/>
              <w:spacing w:line="440" w:lineRule="exact"/>
              <w:ind w:left="40" w:leftChars="19"/>
              <w:rPr>
                <w:rFonts w:ascii="宋体" w:hAnsi="宋体" w:cs="Tahoma"/>
                <w:kern w:val="28"/>
                <w:sz w:val="24"/>
                <w:highlight w:val="none"/>
              </w:rPr>
            </w:pPr>
            <w:r>
              <w:rPr>
                <w:rFonts w:hint="eastAsia" w:ascii="宋体" w:hAnsi="宋体" w:cs="Tahoma"/>
                <w:kern w:val="28"/>
                <w:sz w:val="24"/>
                <w:highlight w:val="none"/>
              </w:rPr>
              <w:t>招标文件不接受提交备选方案。</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招标代理服务费支付承诺书</w:t>
            </w:r>
          </w:p>
        </w:tc>
        <w:tc>
          <w:tcPr>
            <w:tcW w:w="1812" w:type="pct"/>
            <w:vAlign w:val="center"/>
          </w:tcPr>
          <w:p>
            <w:pPr>
              <w:spacing w:line="440" w:lineRule="exact"/>
              <w:rPr>
                <w:rFonts w:ascii="宋体" w:hAnsi="宋体" w:cs="Tahoma"/>
                <w:kern w:val="28"/>
                <w:sz w:val="24"/>
                <w:highlight w:val="none"/>
              </w:rPr>
            </w:pPr>
            <w:r>
              <w:rPr>
                <w:rFonts w:hint="eastAsia" w:ascii="宋体" w:hAnsi="宋体"/>
                <w:sz w:val="24"/>
                <w:highlight w:val="none"/>
              </w:rPr>
              <w:t>已按招标文件要求提交招标代理服务费支付承诺书。</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hAnsi="宋体"/>
                <w:sz w:val="24"/>
                <w:highlight w:val="none"/>
              </w:rPr>
            </w:pPr>
            <w:r>
              <w:rPr>
                <w:rFonts w:hint="eastAsia" w:ascii="宋体" w:hAnsi="宋体" w:cs="宋体"/>
                <w:sz w:val="24"/>
                <w:highlight w:val="none"/>
              </w:rPr>
              <w:t>投标保证金</w:t>
            </w:r>
          </w:p>
        </w:tc>
        <w:tc>
          <w:tcPr>
            <w:tcW w:w="1812" w:type="pct"/>
          </w:tcPr>
          <w:p>
            <w:pPr>
              <w:adjustRightInd w:val="0"/>
              <w:snapToGrid w:val="0"/>
              <w:spacing w:line="440" w:lineRule="exact"/>
              <w:jc w:val="left"/>
              <w:rPr>
                <w:rFonts w:ascii="宋体" w:hAnsi="宋体"/>
                <w:sz w:val="24"/>
                <w:highlight w:val="none"/>
              </w:rPr>
            </w:pPr>
            <w:r>
              <w:rPr>
                <w:rFonts w:hint="eastAsia" w:ascii="宋体" w:hAnsi="宋体" w:cs="宋体"/>
                <w:sz w:val="24"/>
                <w:highlight w:val="none"/>
              </w:rPr>
              <w:t>已按招标文件要求提交足额投标保证金或投标担保函</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rFonts w:ascii="宋体" w:hAnsi="宋体"/>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rFonts w:ascii="宋体" w:hAnsi="宋体"/>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投标有效期</w:t>
            </w:r>
          </w:p>
        </w:tc>
        <w:tc>
          <w:tcPr>
            <w:tcW w:w="1812" w:type="pct"/>
            <w:vAlign w:val="center"/>
          </w:tcPr>
          <w:p>
            <w:pPr>
              <w:adjustRightInd w:val="0"/>
              <w:snapToGrid w:val="0"/>
              <w:spacing w:line="440" w:lineRule="exact"/>
              <w:rPr>
                <w:rFonts w:ascii="宋体" w:hAnsi="宋体"/>
                <w:sz w:val="24"/>
                <w:highlight w:val="none"/>
              </w:rPr>
            </w:pPr>
            <w:r>
              <w:rPr>
                <w:rFonts w:hint="eastAsia" w:ascii="宋体" w:hAnsi="宋体" w:cs="宋体"/>
                <w:sz w:val="24"/>
                <w:highlight w:val="none"/>
              </w:rPr>
              <w:t>自递交投标文件截止之日起90天。</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交货期</w:t>
            </w:r>
          </w:p>
        </w:tc>
        <w:tc>
          <w:tcPr>
            <w:tcW w:w="1812" w:type="pct"/>
            <w:vAlign w:val="center"/>
          </w:tcPr>
          <w:p>
            <w:pPr>
              <w:adjustRightInd w:val="0"/>
              <w:snapToGrid w:val="0"/>
              <w:spacing w:line="440" w:lineRule="exact"/>
              <w:rPr>
                <w:rFonts w:ascii="宋体" w:hAnsi="宋体"/>
                <w:sz w:val="24"/>
                <w:highlight w:val="none"/>
              </w:rPr>
            </w:pPr>
            <w:r>
              <w:rPr>
                <w:rFonts w:hint="eastAsia" w:ascii="宋体" w:hAnsi="宋体"/>
                <w:sz w:val="24"/>
                <w:highlight w:val="none"/>
              </w:rPr>
              <w:t>满足招标文件要求。</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rFonts w:ascii="宋体" w:hAnsi="宋体"/>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rFonts w:ascii="宋体" w:hAnsi="宋体"/>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带</w:t>
            </w:r>
            <w:r>
              <w:rPr>
                <w:rFonts w:hint="eastAsia" w:ascii="宋体" w:hAnsi="宋体" w:cs="宋体"/>
                <w:sz w:val="24"/>
                <w:highlight w:val="none"/>
              </w:rPr>
              <w:t>★条款</w:t>
            </w:r>
          </w:p>
        </w:tc>
        <w:tc>
          <w:tcPr>
            <w:tcW w:w="1812" w:type="pct"/>
            <w:vAlign w:val="center"/>
          </w:tcPr>
          <w:p>
            <w:pPr>
              <w:adjustRightInd w:val="0"/>
              <w:snapToGrid w:val="0"/>
              <w:spacing w:line="440" w:lineRule="exact"/>
              <w:rPr>
                <w:rFonts w:ascii="宋体" w:hAnsi="宋体"/>
                <w:sz w:val="24"/>
                <w:highlight w:val="none"/>
              </w:rPr>
            </w:pPr>
            <w:r>
              <w:rPr>
                <w:rFonts w:hint="eastAsia" w:ascii="宋体" w:hAnsi="宋体"/>
                <w:sz w:val="24"/>
                <w:highlight w:val="none"/>
              </w:rPr>
              <w:t>满足招标文件要求。</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rFonts w:ascii="宋体" w:hAnsi="宋体"/>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rFonts w:ascii="宋体" w:hAnsi="宋体"/>
                <w:sz w:val="24"/>
                <w:highlight w:val="none"/>
              </w:rPr>
            </w:pPr>
            <w:r>
              <w:rPr>
                <w:rFonts w:hint="eastAsia" w:ascii="宋体" w:hAnsi="宋体"/>
                <w:sz w:val="24"/>
                <w:highlight w:val="none"/>
              </w:rPr>
              <w:t>见投标文件第（）页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10" w:type="pct"/>
            <w:vAlign w:val="center"/>
          </w:tcPr>
          <w:p>
            <w:pPr>
              <w:numPr>
                <w:ilvl w:val="0"/>
                <w:numId w:val="149"/>
              </w:numPr>
              <w:adjustRightInd w:val="0"/>
              <w:snapToGrid w:val="0"/>
              <w:spacing w:line="440" w:lineRule="exact"/>
              <w:jc w:val="center"/>
              <w:rPr>
                <w:rFonts w:ascii="宋体" w:hAnsi="宋体"/>
                <w:sz w:val="24"/>
                <w:highlight w:val="none"/>
              </w:rPr>
            </w:pPr>
          </w:p>
        </w:tc>
        <w:tc>
          <w:tcPr>
            <w:tcW w:w="1337" w:type="pct"/>
            <w:vAlign w:val="center"/>
          </w:tcPr>
          <w:p>
            <w:pPr>
              <w:adjustRightInd w:val="0"/>
              <w:snapToGrid w:val="0"/>
              <w:spacing w:line="440" w:lineRule="exact"/>
              <w:jc w:val="left"/>
              <w:rPr>
                <w:rFonts w:ascii="宋体" w:hAnsi="宋体"/>
                <w:sz w:val="24"/>
                <w:highlight w:val="none"/>
              </w:rPr>
            </w:pPr>
            <w:r>
              <w:rPr>
                <w:rFonts w:hint="eastAsia" w:ascii="宋体" w:hAnsi="宋体"/>
                <w:sz w:val="24"/>
                <w:highlight w:val="none"/>
              </w:rPr>
              <w:t>其他</w:t>
            </w:r>
          </w:p>
        </w:tc>
        <w:tc>
          <w:tcPr>
            <w:tcW w:w="1812" w:type="pct"/>
            <w:vAlign w:val="center"/>
          </w:tcPr>
          <w:p>
            <w:pPr>
              <w:adjustRightInd w:val="0"/>
              <w:snapToGrid w:val="0"/>
              <w:spacing w:line="440" w:lineRule="exact"/>
              <w:rPr>
                <w:rFonts w:ascii="宋体" w:hAnsi="宋体"/>
                <w:sz w:val="24"/>
                <w:highlight w:val="none"/>
              </w:rPr>
            </w:pPr>
            <w:r>
              <w:rPr>
                <w:rFonts w:hint="eastAsia" w:ascii="宋体" w:hAnsi="宋体"/>
                <w:sz w:val="24"/>
                <w:highlight w:val="none"/>
              </w:rPr>
              <w:t>法律、法规和招标文件规定的其他投标无效情形。</w:t>
            </w:r>
          </w:p>
        </w:tc>
        <w:tc>
          <w:tcPr>
            <w:tcW w:w="669" w:type="pct"/>
            <w:vAlign w:val="center"/>
          </w:tcPr>
          <w:p>
            <w:pPr>
              <w:adjustRightInd w:val="0"/>
              <w:snapToGrid w:val="0"/>
              <w:spacing w:line="400" w:lineRule="exact"/>
              <w:jc w:val="left"/>
              <w:rPr>
                <w:rFonts w:ascii="宋体" w:hAnsi="宋体"/>
                <w:sz w:val="24"/>
                <w:highlight w:val="none"/>
              </w:rPr>
            </w:pPr>
            <w:r>
              <w:rPr>
                <w:rFonts w:hint="eastAsia" w:ascii="宋体" w:hAnsi="宋体"/>
                <w:sz w:val="24"/>
                <w:highlight w:val="none"/>
              </w:rPr>
              <w:t>□通过</w:t>
            </w:r>
          </w:p>
          <w:p>
            <w:pPr>
              <w:adjustRightInd w:val="0"/>
              <w:snapToGrid w:val="0"/>
              <w:spacing w:line="400" w:lineRule="exact"/>
              <w:jc w:val="left"/>
              <w:rPr>
                <w:rFonts w:ascii="宋体" w:hAnsi="宋体"/>
                <w:sz w:val="24"/>
                <w:highlight w:val="none"/>
              </w:rPr>
            </w:pPr>
            <w:r>
              <w:rPr>
                <w:rFonts w:hint="eastAsia" w:ascii="宋体" w:hAnsi="宋体"/>
                <w:sz w:val="24"/>
                <w:highlight w:val="none"/>
              </w:rPr>
              <w:t>□不通过</w:t>
            </w:r>
          </w:p>
        </w:tc>
        <w:tc>
          <w:tcPr>
            <w:tcW w:w="770" w:type="pct"/>
            <w:vAlign w:val="center"/>
          </w:tcPr>
          <w:p>
            <w:pPr>
              <w:adjustRightInd w:val="0"/>
              <w:snapToGrid w:val="0"/>
              <w:spacing w:line="400" w:lineRule="exact"/>
              <w:jc w:val="center"/>
              <w:rPr>
                <w:rFonts w:ascii="宋体" w:hAnsi="宋体"/>
                <w:sz w:val="24"/>
                <w:highlight w:val="none"/>
              </w:rPr>
            </w:pPr>
            <w:r>
              <w:rPr>
                <w:rFonts w:hint="eastAsia" w:ascii="宋体" w:hAnsi="宋体"/>
                <w:sz w:val="24"/>
                <w:highlight w:val="none"/>
              </w:rPr>
              <w:t>见投标文件第（）页</w:t>
            </w:r>
          </w:p>
        </w:tc>
      </w:tr>
    </w:tbl>
    <w:p>
      <w:pPr>
        <w:spacing w:line="360" w:lineRule="auto"/>
        <w:ind w:left="-359" w:leftChars="-171" w:firstLine="360" w:firstLineChars="150"/>
        <w:rPr>
          <w:sz w:val="24"/>
          <w:highlight w:val="none"/>
        </w:rPr>
      </w:pPr>
      <w:r>
        <w:rPr>
          <w:rFonts w:hint="eastAsia"/>
          <w:sz w:val="24"/>
          <w:highlight w:val="none"/>
        </w:rPr>
        <w:t>注：1、上表内容将作为投标人符合性审查的重要内容之一，投标人必须严格按照上表所列要求在投标文件中对应如实提供，对符合性审查证明文件的任何缺漏和不符合项将会直接导致投标无效。2、投标人根据自查结论在对应的□打“√”。</w:t>
      </w:r>
    </w:p>
    <w:p>
      <w:pPr>
        <w:adjustRightInd w:val="0"/>
        <w:snapToGrid w:val="0"/>
        <w:spacing w:line="360" w:lineRule="auto"/>
        <w:ind w:firstLine="2940" w:firstLineChars="1225"/>
        <w:rPr>
          <w:rFonts w:ascii="宋体" w:hAnsi="宋体" w:cs="宋体"/>
          <w:sz w:val="24"/>
          <w:highlight w:val="none"/>
        </w:rPr>
      </w:pPr>
    </w:p>
    <w:p>
      <w:pPr>
        <w:adjustRightInd w:val="0"/>
        <w:snapToGrid w:val="0"/>
        <w:spacing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line="360" w:lineRule="auto"/>
        <w:ind w:firstLine="2940" w:firstLineChars="1225"/>
        <w:rPr>
          <w:rFonts w:eastAsia="仿宋_GB2312"/>
          <w:b/>
          <w:sz w:val="24"/>
          <w:highlight w:val="none"/>
        </w:rPr>
      </w:pPr>
      <w:r>
        <w:rPr>
          <w:rFonts w:hint="eastAsia" w:ascii="宋体" w:hAnsi="宋体" w:cs="宋体"/>
          <w:sz w:val="24"/>
          <w:highlight w:val="none"/>
        </w:rPr>
        <w:t>日期：   年   月   日</w:t>
      </w:r>
    </w:p>
    <w:bookmarkEnd w:id="550"/>
    <w:p>
      <w:pPr>
        <w:pStyle w:val="4"/>
        <w:numPr>
          <w:ilvl w:val="0"/>
          <w:numId w:val="147"/>
        </w:numPr>
        <w:spacing w:before="0" w:after="0" w:line="360" w:lineRule="auto"/>
        <w:jc w:val="center"/>
        <w:rPr>
          <w:highlight w:val="none"/>
        </w:rPr>
      </w:pPr>
      <w:bookmarkStart w:id="558" w:name="_Toc29972"/>
      <w:bookmarkStart w:id="559" w:name="_Toc24064"/>
      <w:bookmarkStart w:id="560" w:name="_Toc32308"/>
      <w:r>
        <w:rPr>
          <w:rFonts w:hint="eastAsia"/>
          <w:highlight w:val="none"/>
        </w:rPr>
        <w:br w:type="column"/>
      </w:r>
      <w:r>
        <w:rPr>
          <w:rFonts w:hint="eastAsia"/>
          <w:highlight w:val="none"/>
        </w:rPr>
        <w:t>技术评审自查表</w:t>
      </w:r>
      <w:bookmarkEnd w:id="558"/>
      <w:bookmarkEnd w:id="559"/>
      <w:bookmarkEnd w:id="560"/>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801"/>
        <w:gridCol w:w="3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87" w:type="pct"/>
            <w:shd w:val="clear" w:color="auto" w:fill="CCCCCC"/>
            <w:vAlign w:val="center"/>
          </w:tcPr>
          <w:p>
            <w:pPr>
              <w:jc w:val="center"/>
              <w:rPr>
                <w:b/>
                <w:bCs/>
                <w:sz w:val="24"/>
                <w:highlight w:val="none"/>
              </w:rPr>
            </w:pPr>
            <w:r>
              <w:rPr>
                <w:rFonts w:hint="eastAsia"/>
                <w:b/>
                <w:bCs/>
                <w:sz w:val="24"/>
                <w:highlight w:val="none"/>
              </w:rPr>
              <w:t>序号</w:t>
            </w:r>
          </w:p>
        </w:tc>
        <w:tc>
          <w:tcPr>
            <w:tcW w:w="2599" w:type="pct"/>
            <w:shd w:val="clear" w:color="auto" w:fill="CCCCCC"/>
            <w:vAlign w:val="center"/>
          </w:tcPr>
          <w:p>
            <w:pPr>
              <w:jc w:val="center"/>
              <w:rPr>
                <w:b/>
                <w:bCs/>
                <w:sz w:val="24"/>
                <w:highlight w:val="none"/>
              </w:rPr>
            </w:pPr>
            <w:r>
              <w:rPr>
                <w:rFonts w:hint="eastAsia"/>
                <w:b/>
                <w:bCs/>
                <w:sz w:val="24"/>
                <w:highlight w:val="none"/>
              </w:rPr>
              <w:t>评审项目</w:t>
            </w:r>
          </w:p>
        </w:tc>
        <w:tc>
          <w:tcPr>
            <w:tcW w:w="1813" w:type="pct"/>
            <w:shd w:val="clear" w:color="auto" w:fill="CCCCCC"/>
            <w:vAlign w:val="center"/>
          </w:tcPr>
          <w:p>
            <w:pPr>
              <w:jc w:val="center"/>
              <w:rPr>
                <w:b/>
                <w:bCs/>
                <w:sz w:val="24"/>
                <w:highlight w:val="none"/>
              </w:rPr>
            </w:pPr>
            <w:r>
              <w:rPr>
                <w:rFonts w:hint="eastAsia"/>
                <w:b/>
                <w:bCs/>
                <w:sz w:val="24"/>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1</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2</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3</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4</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5</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6</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7</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8</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9</w:t>
            </w:r>
          </w:p>
        </w:tc>
        <w:tc>
          <w:tcPr>
            <w:tcW w:w="2599" w:type="pct"/>
            <w:vAlign w:val="center"/>
          </w:tcPr>
          <w:p>
            <w:pPr>
              <w:rPr>
                <w:sz w:val="24"/>
                <w:highlight w:val="none"/>
              </w:rPr>
            </w:pPr>
          </w:p>
        </w:tc>
        <w:tc>
          <w:tcPr>
            <w:tcW w:w="1813" w:type="pct"/>
            <w:vAlign w:val="center"/>
          </w:tcPr>
          <w:p>
            <w:pPr>
              <w:jc w:val="cente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87"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2599" w:type="pct"/>
            <w:vAlign w:val="center"/>
          </w:tcPr>
          <w:p>
            <w:pPr>
              <w:rPr>
                <w:sz w:val="24"/>
                <w:highlight w:val="none"/>
              </w:rPr>
            </w:pPr>
          </w:p>
        </w:tc>
        <w:tc>
          <w:tcPr>
            <w:tcW w:w="1813" w:type="pct"/>
            <w:vAlign w:val="center"/>
          </w:tcPr>
          <w:p>
            <w:pPr>
              <w:rPr>
                <w:sz w:val="24"/>
                <w:highlight w:val="none"/>
              </w:rPr>
            </w:pPr>
          </w:p>
        </w:tc>
      </w:tr>
    </w:tbl>
    <w:p>
      <w:pPr>
        <w:spacing w:before="120" w:beforeLines="50" w:line="360" w:lineRule="auto"/>
        <w:rPr>
          <w:sz w:val="24"/>
          <w:highlight w:val="none"/>
        </w:rPr>
      </w:pPr>
      <w:r>
        <w:rPr>
          <w:rFonts w:hint="eastAsia"/>
          <w:sz w:val="24"/>
          <w:highlight w:val="none"/>
        </w:rPr>
        <w:t>注：投标人应根据《技术评审表》的各项内容填写此表。</w:t>
      </w:r>
    </w:p>
    <w:p>
      <w:pPr>
        <w:rPr>
          <w:highlight w:val="none"/>
        </w:rPr>
      </w:pPr>
    </w:p>
    <w:p>
      <w:pPr>
        <w:rPr>
          <w:highlight w:val="none"/>
        </w:rPr>
      </w:pPr>
    </w:p>
    <w:p>
      <w:pPr>
        <w:rPr>
          <w:highlight w:val="none"/>
        </w:rPr>
      </w:pPr>
    </w:p>
    <w:p>
      <w:pPr>
        <w:rPr>
          <w:highlight w:val="none"/>
        </w:rPr>
      </w:pPr>
    </w:p>
    <w:p>
      <w:pPr>
        <w:rPr>
          <w:highlight w:val="none"/>
        </w:rPr>
      </w:pPr>
    </w:p>
    <w:p>
      <w:pPr>
        <w:adjustRightInd w:val="0"/>
        <w:snapToGrid w:val="0"/>
        <w:spacing w:before="72" w:after="72" w:line="480" w:lineRule="auto"/>
        <w:ind w:firstLine="3158" w:firstLineChars="1316"/>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480" w:lineRule="auto"/>
        <w:ind w:firstLine="3158" w:firstLineChars="1316"/>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400" w:lineRule="exact"/>
        <w:ind w:firstLine="3158" w:firstLineChars="1316"/>
        <w:rPr>
          <w:rFonts w:eastAsia="仿宋_GB2312"/>
          <w:b/>
          <w:sz w:val="24"/>
          <w:highlight w:val="none"/>
        </w:rPr>
      </w:pPr>
      <w:r>
        <w:rPr>
          <w:rFonts w:hint="eastAsia" w:ascii="宋体" w:hAnsi="宋体" w:cs="宋体"/>
          <w:sz w:val="24"/>
          <w:highlight w:val="none"/>
        </w:rPr>
        <w:t>日期：   年   月   日</w:t>
      </w:r>
    </w:p>
    <w:p>
      <w:pPr>
        <w:spacing w:before="72" w:after="72" w:line="400" w:lineRule="exact"/>
        <w:rPr>
          <w:rFonts w:eastAsia="仿宋_GB2312"/>
          <w:b/>
          <w:sz w:val="24"/>
          <w:highlight w:val="none"/>
        </w:rPr>
      </w:pPr>
    </w:p>
    <w:p>
      <w:pPr>
        <w:spacing w:before="72" w:after="72" w:line="400" w:lineRule="exact"/>
        <w:rPr>
          <w:rFonts w:eastAsia="仿宋_GB2312"/>
          <w:b/>
          <w:sz w:val="24"/>
          <w:highlight w:val="none"/>
        </w:rPr>
      </w:pPr>
    </w:p>
    <w:p>
      <w:pPr>
        <w:spacing w:before="72" w:after="72" w:line="400" w:lineRule="exact"/>
        <w:rPr>
          <w:rFonts w:eastAsia="仿宋_GB2312"/>
          <w:b/>
          <w:sz w:val="24"/>
          <w:highlight w:val="none"/>
        </w:rPr>
      </w:pPr>
    </w:p>
    <w:p>
      <w:pPr>
        <w:spacing w:before="72" w:after="72" w:line="400" w:lineRule="exact"/>
        <w:rPr>
          <w:rFonts w:eastAsia="仿宋_GB2312"/>
          <w:b/>
          <w:sz w:val="24"/>
          <w:highlight w:val="none"/>
        </w:rPr>
      </w:pPr>
    </w:p>
    <w:p>
      <w:pPr>
        <w:spacing w:before="72" w:after="72" w:line="400" w:lineRule="exact"/>
        <w:rPr>
          <w:rFonts w:eastAsia="仿宋_GB2312"/>
          <w:b/>
          <w:sz w:val="24"/>
          <w:highlight w:val="none"/>
        </w:rPr>
      </w:pPr>
    </w:p>
    <w:p>
      <w:pPr>
        <w:pStyle w:val="4"/>
        <w:numPr>
          <w:ilvl w:val="0"/>
          <w:numId w:val="147"/>
        </w:numPr>
        <w:spacing w:before="0" w:after="0" w:line="360" w:lineRule="auto"/>
        <w:jc w:val="center"/>
        <w:rPr>
          <w:highlight w:val="none"/>
        </w:rPr>
      </w:pPr>
      <w:bookmarkStart w:id="561" w:name="_Toc31185"/>
      <w:bookmarkStart w:id="562" w:name="_Toc13609"/>
      <w:bookmarkStart w:id="563" w:name="_Toc19576"/>
      <w:r>
        <w:rPr>
          <w:rFonts w:hint="eastAsia"/>
          <w:highlight w:val="none"/>
        </w:rPr>
        <w:t>商务评审自查表</w:t>
      </w:r>
      <w:bookmarkEnd w:id="561"/>
      <w:bookmarkEnd w:id="562"/>
      <w:bookmarkEnd w:id="563"/>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0"/>
        <w:gridCol w:w="4831"/>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590" w:type="pct"/>
            <w:shd w:val="clear" w:color="auto" w:fill="CCCCCC"/>
            <w:vAlign w:val="center"/>
          </w:tcPr>
          <w:p>
            <w:pPr>
              <w:jc w:val="center"/>
              <w:rPr>
                <w:b/>
                <w:bCs/>
                <w:sz w:val="24"/>
                <w:highlight w:val="none"/>
              </w:rPr>
            </w:pPr>
            <w:r>
              <w:rPr>
                <w:rFonts w:hint="eastAsia"/>
                <w:b/>
                <w:bCs/>
                <w:sz w:val="24"/>
                <w:highlight w:val="none"/>
              </w:rPr>
              <w:t>序号</w:t>
            </w:r>
          </w:p>
        </w:tc>
        <w:tc>
          <w:tcPr>
            <w:tcW w:w="2615" w:type="pct"/>
            <w:shd w:val="clear" w:color="auto" w:fill="CCCCCC"/>
            <w:vAlign w:val="center"/>
          </w:tcPr>
          <w:p>
            <w:pPr>
              <w:jc w:val="center"/>
              <w:rPr>
                <w:b/>
                <w:bCs/>
                <w:sz w:val="24"/>
                <w:highlight w:val="none"/>
              </w:rPr>
            </w:pPr>
            <w:r>
              <w:rPr>
                <w:rFonts w:hint="eastAsia"/>
                <w:b/>
                <w:bCs/>
                <w:sz w:val="24"/>
                <w:highlight w:val="none"/>
              </w:rPr>
              <w:t>评审项目</w:t>
            </w:r>
          </w:p>
        </w:tc>
        <w:tc>
          <w:tcPr>
            <w:tcW w:w="1794" w:type="pct"/>
            <w:shd w:val="clear" w:color="auto" w:fill="CCCCCC"/>
            <w:vAlign w:val="center"/>
          </w:tcPr>
          <w:p>
            <w:pPr>
              <w:jc w:val="center"/>
              <w:rPr>
                <w:b/>
                <w:bCs/>
                <w:sz w:val="24"/>
                <w:highlight w:val="none"/>
              </w:rPr>
            </w:pPr>
            <w:r>
              <w:rPr>
                <w:rFonts w:hint="eastAsia"/>
                <w:b/>
                <w:bCs/>
                <w:sz w:val="24"/>
                <w:highlight w:val="none"/>
              </w:rPr>
              <w:t>证明材料对应页码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1</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2</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3</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4</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5</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6</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7</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8</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9</w:t>
            </w:r>
          </w:p>
        </w:tc>
        <w:tc>
          <w:tcPr>
            <w:tcW w:w="2615" w:type="pct"/>
            <w:vAlign w:val="center"/>
          </w:tcPr>
          <w:p>
            <w:pPr>
              <w:rPr>
                <w:sz w:val="24"/>
                <w:highlight w:val="none"/>
              </w:rPr>
            </w:pPr>
          </w:p>
        </w:tc>
        <w:tc>
          <w:tcPr>
            <w:tcW w:w="1794" w:type="pct"/>
            <w:vAlign w:val="center"/>
          </w:tcPr>
          <w:p>
            <w:pPr>
              <w:rPr>
                <w:sz w:val="24"/>
                <w:highlight w:val="none"/>
              </w:rPr>
            </w:pPr>
            <w:r>
              <w:rPr>
                <w:rFonts w:hint="eastAsia"/>
                <w:sz w:val="24"/>
                <w:highlight w:val="none"/>
              </w:rPr>
              <w:t>见投标文件（）页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90"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2615" w:type="pct"/>
            <w:vAlign w:val="center"/>
          </w:tcPr>
          <w:p>
            <w:pPr>
              <w:rPr>
                <w:sz w:val="24"/>
                <w:highlight w:val="none"/>
              </w:rPr>
            </w:pPr>
          </w:p>
        </w:tc>
        <w:tc>
          <w:tcPr>
            <w:tcW w:w="1794" w:type="pct"/>
            <w:vAlign w:val="center"/>
          </w:tcPr>
          <w:p>
            <w:pPr>
              <w:rPr>
                <w:sz w:val="24"/>
                <w:highlight w:val="none"/>
              </w:rPr>
            </w:pPr>
          </w:p>
        </w:tc>
      </w:tr>
    </w:tbl>
    <w:p>
      <w:pPr>
        <w:spacing w:before="120" w:beforeLines="50" w:line="360" w:lineRule="auto"/>
        <w:rPr>
          <w:sz w:val="24"/>
          <w:highlight w:val="none"/>
        </w:rPr>
      </w:pPr>
      <w:r>
        <w:rPr>
          <w:rFonts w:hint="eastAsia"/>
          <w:sz w:val="24"/>
          <w:highlight w:val="none"/>
        </w:rPr>
        <w:t>注：投标人应根据《商务评审表》的各项内容填写此表。</w:t>
      </w:r>
    </w:p>
    <w:p>
      <w:pPr>
        <w:rPr>
          <w:highlight w:val="none"/>
        </w:rPr>
      </w:pPr>
    </w:p>
    <w:p>
      <w:pPr>
        <w:rPr>
          <w:highlight w:val="none"/>
        </w:rPr>
      </w:pPr>
    </w:p>
    <w:p>
      <w:pPr>
        <w:rPr>
          <w:highlight w:val="none"/>
        </w:rPr>
      </w:pPr>
    </w:p>
    <w:p>
      <w:pPr>
        <w:rPr>
          <w:highlight w:val="none"/>
        </w:rPr>
      </w:pPr>
    </w:p>
    <w:p>
      <w:pPr>
        <w:rPr>
          <w:highlight w:val="none"/>
        </w:rPr>
      </w:pPr>
    </w:p>
    <w:p>
      <w:pPr>
        <w:adjustRightInd w:val="0"/>
        <w:snapToGrid w:val="0"/>
        <w:spacing w:before="72" w:after="72" w:line="480" w:lineRule="auto"/>
        <w:ind w:firstLine="3158" w:firstLineChars="1316"/>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480" w:lineRule="auto"/>
        <w:ind w:firstLine="3158" w:firstLineChars="1316"/>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400" w:lineRule="exact"/>
        <w:ind w:firstLine="3158" w:firstLineChars="1316"/>
        <w:rPr>
          <w:rFonts w:eastAsia="仿宋_GB2312"/>
          <w:b/>
          <w:sz w:val="24"/>
          <w:highlight w:val="none"/>
        </w:rPr>
      </w:pPr>
      <w:r>
        <w:rPr>
          <w:rFonts w:hint="eastAsia" w:ascii="宋体" w:hAnsi="宋体" w:cs="宋体"/>
          <w:sz w:val="24"/>
          <w:highlight w:val="none"/>
        </w:rPr>
        <w:t>日期：   年   月   日</w:t>
      </w:r>
    </w:p>
    <w:p>
      <w:pPr>
        <w:rPr>
          <w:highlight w:val="none"/>
        </w:rPr>
      </w:pPr>
    </w:p>
    <w:p>
      <w:pPr>
        <w:rPr>
          <w:highlight w:val="none"/>
        </w:rPr>
      </w:pPr>
    </w:p>
    <w:p>
      <w:pPr>
        <w:rPr>
          <w:highlight w:val="none"/>
        </w:rPr>
      </w:pPr>
    </w:p>
    <w:p>
      <w:pPr>
        <w:rPr>
          <w:highlight w:val="none"/>
        </w:rPr>
        <w:sectPr>
          <w:pgSz w:w="11905" w:h="16838"/>
          <w:pgMar w:top="1803" w:right="1440" w:bottom="1803" w:left="1440" w:header="850" w:footer="822" w:gutter="0"/>
          <w:cols w:space="0" w:num="1"/>
          <w:docGrid w:linePitch="312" w:charSpace="0"/>
        </w:sect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jc w:val="center"/>
        <w:rPr>
          <w:sz w:val="44"/>
          <w:szCs w:val="44"/>
          <w:highlight w:val="none"/>
        </w:rPr>
      </w:pPr>
      <w:bookmarkStart w:id="564" w:name="_Toc25040"/>
      <w:bookmarkStart w:id="565" w:name="_Toc13359"/>
      <w:bookmarkStart w:id="566" w:name="_Toc381489424"/>
      <w:bookmarkStart w:id="567" w:name="_Toc9365"/>
      <w:bookmarkStart w:id="568" w:name="_Toc423021954"/>
      <w:r>
        <w:rPr>
          <w:sz w:val="44"/>
          <w:szCs w:val="44"/>
          <w:highlight w:val="none"/>
        </w:rPr>
        <w:t>第</w:t>
      </w:r>
      <w:r>
        <w:rPr>
          <w:rFonts w:hint="eastAsia"/>
          <w:sz w:val="44"/>
          <w:szCs w:val="44"/>
          <w:highlight w:val="none"/>
        </w:rPr>
        <w:t>二</w:t>
      </w:r>
      <w:r>
        <w:rPr>
          <w:sz w:val="44"/>
          <w:szCs w:val="44"/>
          <w:highlight w:val="none"/>
        </w:rPr>
        <w:t xml:space="preserve">部分 </w:t>
      </w:r>
      <w:r>
        <w:rPr>
          <w:rFonts w:hint="eastAsia"/>
          <w:sz w:val="44"/>
          <w:szCs w:val="44"/>
          <w:highlight w:val="none"/>
        </w:rPr>
        <w:t>资格文件</w:t>
      </w:r>
      <w:bookmarkEnd w:id="564"/>
      <w:bookmarkEnd w:id="565"/>
      <w:bookmarkEnd w:id="566"/>
      <w:bookmarkEnd w:id="567"/>
      <w:bookmarkEnd w:id="568"/>
    </w:p>
    <w:p>
      <w:pPr>
        <w:rPr>
          <w:highlight w:val="none"/>
        </w:rPr>
      </w:pPr>
      <w:bookmarkStart w:id="569" w:name="_Toc196294644"/>
      <w:bookmarkStart w:id="570" w:name="_Toc182886665"/>
      <w:bookmarkStart w:id="571" w:name="_Toc169318447"/>
      <w:bookmarkStart w:id="572" w:name="_Toc183316725"/>
      <w:bookmarkStart w:id="573" w:name="_Toc168730817"/>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numPr>
          <w:ilvl w:val="0"/>
          <w:numId w:val="150"/>
        </w:numPr>
        <w:spacing w:before="0" w:after="0" w:line="360" w:lineRule="auto"/>
        <w:jc w:val="center"/>
        <w:rPr>
          <w:highlight w:val="none"/>
        </w:rPr>
      </w:pPr>
      <w:bookmarkStart w:id="574" w:name="_Toc7618"/>
      <w:bookmarkStart w:id="575" w:name="_Toc381489425"/>
      <w:bookmarkStart w:id="576" w:name="_Toc6320"/>
      <w:bookmarkStart w:id="577" w:name="_Toc26081"/>
      <w:bookmarkStart w:id="578" w:name="_Toc423021955"/>
      <w:r>
        <w:rPr>
          <w:rFonts w:hint="eastAsia"/>
          <w:highlight w:val="none"/>
        </w:rPr>
        <w:t>投标函</w:t>
      </w:r>
      <w:bookmarkEnd w:id="569"/>
      <w:bookmarkEnd w:id="570"/>
      <w:bookmarkEnd w:id="571"/>
      <w:bookmarkEnd w:id="572"/>
      <w:bookmarkEnd w:id="573"/>
      <w:bookmarkEnd w:id="574"/>
      <w:bookmarkEnd w:id="575"/>
      <w:bookmarkEnd w:id="576"/>
      <w:bookmarkEnd w:id="577"/>
      <w:bookmarkEnd w:id="578"/>
    </w:p>
    <w:p>
      <w:pPr>
        <w:adjustRightInd w:val="0"/>
        <w:snapToGrid w:val="0"/>
        <w:spacing w:before="120" w:beforeLines="50" w:after="120" w:afterLines="50" w:line="360" w:lineRule="auto"/>
        <w:rPr>
          <w:rFonts w:ascii="宋体" w:hAnsi="宋体" w:cs="宋体"/>
          <w:b/>
          <w:sz w:val="24"/>
          <w:highlight w:val="none"/>
        </w:rPr>
      </w:pPr>
      <w:r>
        <w:rPr>
          <w:rFonts w:hint="eastAsia" w:ascii="宋体" w:hAnsi="宋体" w:cs="宋体"/>
          <w:b/>
          <w:sz w:val="24"/>
          <w:highlight w:val="none"/>
        </w:rPr>
        <w:t>致：广东有德招标采购有限公司</w:t>
      </w:r>
    </w:p>
    <w:p>
      <w:pPr>
        <w:tabs>
          <w:tab w:val="left" w:pos="7740"/>
        </w:tabs>
        <w:autoSpaceDE w:val="0"/>
        <w:autoSpaceDN w:val="0"/>
        <w:adjustRightInd w:val="0"/>
        <w:snapToGrid w:val="0"/>
        <w:spacing w:line="360" w:lineRule="auto"/>
        <w:ind w:right="26" w:firstLine="480" w:firstLineChars="200"/>
        <w:rPr>
          <w:rFonts w:ascii="宋体" w:hAnsi="宋体" w:cs="宋体"/>
          <w:kern w:val="0"/>
          <w:sz w:val="24"/>
          <w:highlight w:val="none"/>
        </w:rPr>
      </w:pPr>
      <w:bookmarkStart w:id="579" w:name="_Toc182886666"/>
      <w:bookmarkStart w:id="580" w:name="_Toc159221038"/>
      <w:bookmarkStart w:id="581" w:name="_Toc124256789"/>
      <w:bookmarkStart w:id="582" w:name="_Toc196294645"/>
      <w:bookmarkStart w:id="583" w:name="_Toc183316726"/>
      <w:r>
        <w:rPr>
          <w:rFonts w:hint="eastAsia" w:ascii="宋体" w:hAnsi="宋体" w:cs="宋体"/>
          <w:kern w:val="0"/>
          <w:sz w:val="24"/>
          <w:highlight w:val="none"/>
        </w:rPr>
        <w:t>依据贵方</w:t>
      </w:r>
      <w:r>
        <w:rPr>
          <w:rFonts w:hint="eastAsia" w:ascii="宋体" w:hAnsi="宋体" w:cs="宋体"/>
          <w:sz w:val="24"/>
          <w:highlight w:val="none"/>
        </w:rPr>
        <w:t>采购</w:t>
      </w:r>
      <w:r>
        <w:rPr>
          <w:rFonts w:hint="eastAsia" w:ascii="宋体" w:hAnsi="宋体" w:cs="宋体"/>
          <w:sz w:val="24"/>
          <w:highlight w:val="none"/>
          <w:u w:val="single"/>
        </w:rPr>
        <w:t xml:space="preserve">项目名称（项目编号：) </w:t>
      </w:r>
      <w:r>
        <w:rPr>
          <w:rFonts w:hint="eastAsia" w:ascii="宋体" w:hAnsi="宋体" w:cs="宋体"/>
          <w:kern w:val="0"/>
          <w:sz w:val="24"/>
          <w:highlight w:val="none"/>
        </w:rPr>
        <w:t>的投标邀请，我方代表</w:t>
      </w:r>
      <w:r>
        <w:rPr>
          <w:rFonts w:hint="eastAsia" w:ascii="宋体" w:hAnsi="宋体" w:cs="宋体"/>
          <w:sz w:val="24"/>
          <w:highlight w:val="none"/>
          <w:u w:val="single"/>
        </w:rPr>
        <w:t>（姓名、职务）</w:t>
      </w:r>
      <w:r>
        <w:rPr>
          <w:rFonts w:hint="eastAsia" w:ascii="宋体" w:hAnsi="宋体" w:cs="宋体"/>
          <w:kern w:val="0"/>
          <w:sz w:val="24"/>
          <w:highlight w:val="none"/>
        </w:rPr>
        <w:t>经正式授权并代表</w:t>
      </w:r>
      <w:r>
        <w:rPr>
          <w:rFonts w:hint="eastAsia" w:ascii="宋体" w:hAnsi="宋体" w:cs="宋体"/>
          <w:sz w:val="24"/>
          <w:highlight w:val="none"/>
          <w:u w:val="single"/>
        </w:rPr>
        <w:t>（投标人名称、地址）</w:t>
      </w:r>
      <w:r>
        <w:rPr>
          <w:rFonts w:hint="eastAsia" w:ascii="宋体" w:hAnsi="宋体" w:cs="宋体"/>
          <w:kern w:val="0"/>
          <w:sz w:val="24"/>
          <w:highlight w:val="none"/>
        </w:rPr>
        <w:t>提交下述文件正本</w:t>
      </w:r>
      <w:r>
        <w:rPr>
          <w:rFonts w:hint="eastAsia" w:ascii="宋体" w:hAnsi="宋体" w:cs="宋体"/>
          <w:kern w:val="0"/>
          <w:sz w:val="24"/>
          <w:highlight w:val="none"/>
          <w:u w:val="single"/>
        </w:rPr>
        <w:t xml:space="preserve">   </w:t>
      </w:r>
      <w:r>
        <w:rPr>
          <w:rFonts w:hint="eastAsia" w:ascii="宋体" w:hAnsi="宋体" w:cs="宋体"/>
          <w:kern w:val="0"/>
          <w:sz w:val="24"/>
          <w:highlight w:val="none"/>
        </w:rPr>
        <w:t>份，副本</w:t>
      </w:r>
      <w:r>
        <w:rPr>
          <w:rFonts w:hint="eastAsia" w:ascii="宋体" w:hAnsi="宋体" w:cs="宋体"/>
          <w:kern w:val="0"/>
          <w:sz w:val="24"/>
          <w:highlight w:val="none"/>
          <w:u w:val="single"/>
        </w:rPr>
        <w:t xml:space="preserve">   </w:t>
      </w:r>
      <w:r>
        <w:rPr>
          <w:rFonts w:hint="eastAsia" w:ascii="宋体" w:hAnsi="宋体" w:cs="宋体"/>
          <w:kern w:val="0"/>
          <w:sz w:val="24"/>
          <w:highlight w:val="none"/>
        </w:rPr>
        <w:t>份。</w:t>
      </w:r>
    </w:p>
    <w:p>
      <w:pPr>
        <w:numPr>
          <w:ilvl w:val="0"/>
          <w:numId w:val="151"/>
        </w:numPr>
        <w:tabs>
          <w:tab w:val="left" w:pos="7740"/>
        </w:tabs>
        <w:autoSpaceDE w:val="0"/>
        <w:autoSpaceDN w:val="0"/>
        <w:adjustRightInd w:val="0"/>
        <w:snapToGrid w:val="0"/>
        <w:spacing w:line="360" w:lineRule="auto"/>
        <w:ind w:right="246"/>
        <w:rPr>
          <w:rFonts w:ascii="宋体" w:hAnsi="宋体" w:cs="宋体"/>
          <w:kern w:val="0"/>
          <w:sz w:val="24"/>
          <w:highlight w:val="none"/>
        </w:rPr>
      </w:pPr>
      <w:r>
        <w:rPr>
          <w:rFonts w:hint="eastAsia" w:ascii="宋体" w:hAnsi="宋体" w:cs="宋体"/>
          <w:sz w:val="24"/>
          <w:highlight w:val="none"/>
        </w:rPr>
        <w:t>自查表</w:t>
      </w:r>
    </w:p>
    <w:p>
      <w:pPr>
        <w:numPr>
          <w:ilvl w:val="0"/>
          <w:numId w:val="151"/>
        </w:numPr>
        <w:tabs>
          <w:tab w:val="left" w:pos="7740"/>
        </w:tabs>
        <w:autoSpaceDE w:val="0"/>
        <w:autoSpaceDN w:val="0"/>
        <w:adjustRightInd w:val="0"/>
        <w:snapToGrid w:val="0"/>
        <w:spacing w:line="360" w:lineRule="auto"/>
        <w:ind w:right="246"/>
        <w:rPr>
          <w:rFonts w:ascii="宋体" w:hAnsi="宋体" w:cs="宋体"/>
          <w:kern w:val="0"/>
          <w:sz w:val="24"/>
          <w:highlight w:val="none"/>
        </w:rPr>
      </w:pPr>
      <w:r>
        <w:rPr>
          <w:rFonts w:hint="eastAsia" w:ascii="宋体" w:hAnsi="宋体" w:cs="宋体"/>
          <w:sz w:val="24"/>
          <w:highlight w:val="none"/>
        </w:rPr>
        <w:t>资格文件</w:t>
      </w:r>
    </w:p>
    <w:p>
      <w:pPr>
        <w:numPr>
          <w:ilvl w:val="0"/>
          <w:numId w:val="151"/>
        </w:numPr>
        <w:tabs>
          <w:tab w:val="left" w:pos="7740"/>
        </w:tabs>
        <w:autoSpaceDE w:val="0"/>
        <w:autoSpaceDN w:val="0"/>
        <w:adjustRightInd w:val="0"/>
        <w:snapToGrid w:val="0"/>
        <w:spacing w:line="360" w:lineRule="auto"/>
        <w:ind w:right="246"/>
        <w:rPr>
          <w:rFonts w:ascii="宋体" w:hAnsi="宋体" w:cs="宋体"/>
          <w:kern w:val="0"/>
          <w:sz w:val="24"/>
          <w:highlight w:val="none"/>
        </w:rPr>
      </w:pPr>
      <w:r>
        <w:rPr>
          <w:rFonts w:hint="eastAsia" w:ascii="宋体" w:hAnsi="宋体" w:cs="宋体"/>
          <w:sz w:val="24"/>
          <w:highlight w:val="none"/>
        </w:rPr>
        <w:t>商务文件</w:t>
      </w:r>
    </w:p>
    <w:p>
      <w:pPr>
        <w:numPr>
          <w:ilvl w:val="0"/>
          <w:numId w:val="151"/>
        </w:numPr>
        <w:tabs>
          <w:tab w:val="left" w:pos="7740"/>
        </w:tabs>
        <w:autoSpaceDE w:val="0"/>
        <w:autoSpaceDN w:val="0"/>
        <w:adjustRightInd w:val="0"/>
        <w:snapToGrid w:val="0"/>
        <w:spacing w:line="360" w:lineRule="auto"/>
        <w:ind w:right="246"/>
        <w:rPr>
          <w:rFonts w:ascii="宋体" w:hAnsi="宋体" w:cs="宋体"/>
          <w:kern w:val="0"/>
          <w:sz w:val="24"/>
          <w:highlight w:val="none"/>
        </w:rPr>
      </w:pPr>
      <w:r>
        <w:rPr>
          <w:rFonts w:hint="eastAsia" w:ascii="宋体" w:hAnsi="宋体" w:cs="宋体"/>
          <w:kern w:val="0"/>
          <w:sz w:val="24"/>
          <w:highlight w:val="none"/>
        </w:rPr>
        <w:t>技术</w:t>
      </w:r>
      <w:r>
        <w:rPr>
          <w:rFonts w:hint="eastAsia" w:ascii="宋体" w:hAnsi="宋体" w:cs="宋体"/>
          <w:sz w:val="24"/>
          <w:highlight w:val="none"/>
        </w:rPr>
        <w:t>文件</w:t>
      </w:r>
    </w:p>
    <w:p>
      <w:pPr>
        <w:numPr>
          <w:ilvl w:val="0"/>
          <w:numId w:val="151"/>
        </w:numPr>
        <w:tabs>
          <w:tab w:val="left" w:pos="7740"/>
        </w:tabs>
        <w:autoSpaceDE w:val="0"/>
        <w:autoSpaceDN w:val="0"/>
        <w:adjustRightInd w:val="0"/>
        <w:snapToGrid w:val="0"/>
        <w:spacing w:line="360" w:lineRule="auto"/>
        <w:ind w:right="32"/>
        <w:rPr>
          <w:rFonts w:ascii="宋体" w:hAnsi="宋体" w:cs="宋体"/>
          <w:kern w:val="0"/>
          <w:sz w:val="24"/>
          <w:highlight w:val="none"/>
        </w:rPr>
      </w:pPr>
      <w:r>
        <w:rPr>
          <w:rFonts w:hint="eastAsia" w:ascii="宋体" w:hAnsi="宋体" w:cs="宋体"/>
          <w:sz w:val="24"/>
          <w:highlight w:val="none"/>
        </w:rPr>
        <w:t>报价文件</w:t>
      </w:r>
    </w:p>
    <w:p>
      <w:pPr>
        <w:tabs>
          <w:tab w:val="left" w:pos="7740"/>
        </w:tabs>
        <w:autoSpaceDE w:val="0"/>
        <w:autoSpaceDN w:val="0"/>
        <w:adjustRightInd w:val="0"/>
        <w:snapToGrid w:val="0"/>
        <w:spacing w:line="360" w:lineRule="auto"/>
        <w:ind w:right="26" w:firstLine="480" w:firstLineChars="200"/>
        <w:rPr>
          <w:rFonts w:ascii="宋体" w:hAnsi="宋体" w:cs="宋体"/>
          <w:kern w:val="0"/>
          <w:sz w:val="24"/>
          <w:highlight w:val="none"/>
        </w:rPr>
      </w:pPr>
      <w:r>
        <w:rPr>
          <w:rFonts w:hint="eastAsia" w:ascii="宋体" w:hAnsi="宋体" w:cs="宋体"/>
          <w:kern w:val="0"/>
          <w:sz w:val="24"/>
          <w:highlight w:val="none"/>
        </w:rPr>
        <w:t>在此，我方声明如下：</w:t>
      </w:r>
    </w:p>
    <w:p>
      <w:pPr>
        <w:numPr>
          <w:ilvl w:val="0"/>
          <w:numId w:val="152"/>
        </w:numPr>
        <w:tabs>
          <w:tab w:val="left" w:pos="7740"/>
        </w:tabs>
        <w:adjustRightInd w:val="0"/>
        <w:snapToGrid w:val="0"/>
        <w:spacing w:line="360" w:lineRule="auto"/>
        <w:rPr>
          <w:rFonts w:ascii="宋体" w:hAnsi="宋体" w:cs="宋体"/>
          <w:sz w:val="24"/>
          <w:highlight w:val="none"/>
        </w:rPr>
      </w:pPr>
      <w:r>
        <w:rPr>
          <w:rFonts w:hint="eastAsia" w:ascii="宋体" w:hAnsi="宋体" w:cs="宋体"/>
          <w:sz w:val="24"/>
          <w:highlight w:val="none"/>
        </w:rPr>
        <w:t>同意并接受招标文件的各项要求，遵守招标文件中的各项规定，按招标文件的要求提供报价。</w:t>
      </w:r>
    </w:p>
    <w:p>
      <w:pPr>
        <w:numPr>
          <w:ilvl w:val="0"/>
          <w:numId w:val="152"/>
        </w:numPr>
        <w:tabs>
          <w:tab w:val="left" w:pos="7740"/>
        </w:tabs>
        <w:adjustRightInd w:val="0"/>
        <w:snapToGrid w:val="0"/>
        <w:spacing w:line="360" w:lineRule="auto"/>
        <w:rPr>
          <w:rFonts w:ascii="宋体" w:hAnsi="宋体" w:cs="宋体"/>
          <w:sz w:val="24"/>
          <w:highlight w:val="none"/>
        </w:rPr>
      </w:pPr>
      <w:r>
        <w:rPr>
          <w:rFonts w:hint="eastAsia" w:ascii="宋体" w:hAnsi="宋体" w:cs="宋体"/>
          <w:sz w:val="24"/>
          <w:highlight w:val="none"/>
        </w:rPr>
        <w:t>投标有效期为递交投标文件之日起</w:t>
      </w:r>
      <w:r>
        <w:rPr>
          <w:rFonts w:hint="eastAsia" w:ascii="宋体" w:hAnsi="宋体" w:cs="宋体"/>
          <w:sz w:val="24"/>
          <w:highlight w:val="none"/>
          <w:u w:val="single"/>
        </w:rPr>
        <w:t xml:space="preserve"> 90 </w:t>
      </w:r>
      <w:r>
        <w:rPr>
          <w:rFonts w:hint="eastAsia" w:ascii="宋体" w:hAnsi="宋体" w:cs="宋体"/>
          <w:sz w:val="24"/>
          <w:highlight w:val="none"/>
        </w:rPr>
        <w:t>天，中标人投标有效期延至合同验收之日。</w:t>
      </w:r>
    </w:p>
    <w:p>
      <w:pPr>
        <w:numPr>
          <w:ilvl w:val="0"/>
          <w:numId w:val="152"/>
        </w:numPr>
        <w:tabs>
          <w:tab w:val="left" w:pos="7740"/>
        </w:tabs>
        <w:adjustRightInd w:val="0"/>
        <w:snapToGrid w:val="0"/>
        <w:spacing w:line="360" w:lineRule="auto"/>
        <w:rPr>
          <w:rFonts w:ascii="宋体" w:hAnsi="宋体" w:cs="宋体"/>
          <w:sz w:val="24"/>
          <w:highlight w:val="none"/>
        </w:rPr>
      </w:pPr>
      <w:r>
        <w:rPr>
          <w:rFonts w:hint="eastAsia" w:ascii="宋体" w:hAnsi="宋体" w:cs="宋体"/>
          <w:sz w:val="24"/>
          <w:highlight w:val="none"/>
        </w:rPr>
        <w:t>我方已经详细地阅读了全部招标文件及其附件，包括澄清及参考文件(如果有的话)。我方已完全清晰理解招标文件的要求，不存在任何含糊不清和误解之处，同意放弃对这些文件所提出的异议和质疑的权利。</w:t>
      </w:r>
    </w:p>
    <w:p>
      <w:pPr>
        <w:numPr>
          <w:ilvl w:val="0"/>
          <w:numId w:val="152"/>
        </w:numPr>
        <w:tabs>
          <w:tab w:val="left" w:pos="7740"/>
        </w:tabs>
        <w:adjustRightInd w:val="0"/>
        <w:snapToGrid w:val="0"/>
        <w:spacing w:line="360" w:lineRule="auto"/>
        <w:rPr>
          <w:rFonts w:ascii="宋体" w:hAnsi="宋体" w:cs="宋体"/>
          <w:sz w:val="24"/>
          <w:highlight w:val="none"/>
        </w:rPr>
      </w:pPr>
      <w:r>
        <w:rPr>
          <w:rFonts w:hint="eastAsia" w:ascii="宋体" w:hAnsi="宋体" w:cs="宋体"/>
          <w:sz w:val="24"/>
          <w:highlight w:val="none"/>
        </w:rPr>
        <w:t>我方已毫无保留地向贵方提供一切所需的证明材料。</w:t>
      </w:r>
    </w:p>
    <w:p>
      <w:pPr>
        <w:numPr>
          <w:ilvl w:val="0"/>
          <w:numId w:val="152"/>
        </w:numPr>
        <w:tabs>
          <w:tab w:val="left" w:pos="7740"/>
        </w:tabs>
        <w:adjustRightInd w:val="0"/>
        <w:snapToGrid w:val="0"/>
        <w:spacing w:line="360" w:lineRule="auto"/>
        <w:rPr>
          <w:rFonts w:ascii="宋体" w:hAnsi="宋体" w:cs="宋体"/>
          <w:sz w:val="24"/>
          <w:highlight w:val="none"/>
        </w:rPr>
      </w:pPr>
      <w:r>
        <w:rPr>
          <w:rFonts w:hint="eastAsia" w:ascii="宋体" w:hAnsi="宋体" w:cs="宋体"/>
          <w:sz w:val="24"/>
          <w:highlight w:val="none"/>
        </w:rPr>
        <w:t>我方承诺在本次投标中提供的一切文件，无论是原件还是复印件均为真实和准确的，绝无任何虚假、伪造和夸大的成份，否则，愿承担相应的后果和法律责任。</w:t>
      </w:r>
    </w:p>
    <w:p>
      <w:pPr>
        <w:numPr>
          <w:ilvl w:val="0"/>
          <w:numId w:val="152"/>
        </w:numPr>
        <w:tabs>
          <w:tab w:val="left" w:pos="7740"/>
        </w:tabs>
        <w:adjustRightInd w:val="0"/>
        <w:snapToGrid w:val="0"/>
        <w:spacing w:line="360" w:lineRule="auto"/>
        <w:rPr>
          <w:rFonts w:ascii="宋体" w:hAnsi="宋体" w:cs="宋体"/>
          <w:sz w:val="24"/>
          <w:highlight w:val="none"/>
        </w:rPr>
      </w:pPr>
      <w:r>
        <w:rPr>
          <w:rFonts w:hint="eastAsia" w:ascii="宋体" w:hAnsi="宋体" w:cs="宋体"/>
          <w:sz w:val="24"/>
          <w:highlight w:val="none"/>
        </w:rPr>
        <w:t>我方完全服从和尊重评标委员会所作的评定结果，同时清楚理解到报价最低并非意味着必定获得中标资格。</w:t>
      </w:r>
    </w:p>
    <w:p>
      <w:pPr>
        <w:numPr>
          <w:ilvl w:val="0"/>
          <w:numId w:val="152"/>
        </w:numPr>
        <w:tabs>
          <w:tab w:val="left" w:pos="7740"/>
        </w:tabs>
        <w:adjustRightInd w:val="0"/>
        <w:snapToGrid w:val="0"/>
        <w:spacing w:line="360" w:lineRule="auto"/>
        <w:rPr>
          <w:rFonts w:ascii="宋体" w:hAnsi="宋体" w:cs="宋体"/>
          <w:sz w:val="24"/>
          <w:highlight w:val="none"/>
        </w:rPr>
      </w:pPr>
      <w:r>
        <w:rPr>
          <w:rFonts w:hint="eastAsia" w:ascii="宋体" w:hAnsi="宋体" w:cs="宋体"/>
          <w:sz w:val="24"/>
          <w:highlight w:val="none"/>
        </w:rPr>
        <w:t>我方同意按招标文件规定向采购代理机构缴纳</w:t>
      </w:r>
      <w:r>
        <w:rPr>
          <w:rFonts w:hint="eastAsia" w:ascii="宋体" w:hAnsi="宋体" w:cs="宋体"/>
          <w:sz w:val="24"/>
          <w:highlight w:val="none"/>
          <w:lang w:val="en-GB"/>
        </w:rPr>
        <w:t>招标代理</w:t>
      </w:r>
      <w:r>
        <w:rPr>
          <w:rFonts w:hint="eastAsia" w:ascii="宋体" w:hAnsi="宋体" w:cs="宋体"/>
          <w:sz w:val="24"/>
          <w:highlight w:val="none"/>
        </w:rPr>
        <w:t>服务费。</w:t>
      </w:r>
    </w:p>
    <w:p>
      <w:pPr>
        <w:tabs>
          <w:tab w:val="left" w:pos="7740"/>
        </w:tabs>
        <w:adjustRightInd w:val="0"/>
        <w:snapToGrid w:val="0"/>
        <w:spacing w:line="360" w:lineRule="auto"/>
        <w:ind w:left="420"/>
        <w:rPr>
          <w:rFonts w:ascii="宋体" w:hAnsi="宋体" w:cs="宋体"/>
          <w:sz w:val="24"/>
          <w:highlight w:val="none"/>
        </w:rPr>
      </w:pPr>
    </w:p>
    <w:p>
      <w:pPr>
        <w:adjustRightInd w:val="0"/>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备注：本投标函内容不得擅自删改，否则视为无效投标。</w:t>
      </w:r>
    </w:p>
    <w:p>
      <w:pPr>
        <w:rPr>
          <w:rFonts w:ascii="宋体" w:hAnsi="宋体" w:cs="宋体"/>
          <w:kern w:val="0"/>
          <w:sz w:val="24"/>
          <w:highlight w:val="none"/>
        </w:rPr>
      </w:pPr>
      <w:r>
        <w:rPr>
          <w:rFonts w:hint="eastAsia" w:ascii="宋体" w:hAnsi="宋体" w:cs="宋体"/>
          <w:kern w:val="0"/>
          <w:sz w:val="24"/>
          <w:highlight w:val="none"/>
        </w:rPr>
        <w:br w:type="page"/>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 xml:space="preserve">地址：                           电话：     </w:t>
      </w:r>
    </w:p>
    <w:p>
      <w:pPr>
        <w:tabs>
          <w:tab w:val="left" w:pos="7740"/>
        </w:tabs>
        <w:autoSpaceDE w:val="0"/>
        <w:autoSpaceDN w:val="0"/>
        <w:adjustRightInd w:val="0"/>
        <w:snapToGrid w:val="0"/>
        <w:spacing w:line="360" w:lineRule="auto"/>
        <w:ind w:right="246" w:firstLine="480" w:firstLineChars="200"/>
        <w:rPr>
          <w:rFonts w:ascii="宋体" w:hAnsi="宋体" w:cs="宋体"/>
          <w:kern w:val="0"/>
          <w:sz w:val="24"/>
          <w:highlight w:val="none"/>
        </w:rPr>
      </w:pPr>
      <w:r>
        <w:rPr>
          <w:rFonts w:hint="eastAsia" w:ascii="宋体" w:hAnsi="宋体" w:cs="宋体"/>
          <w:kern w:val="0"/>
          <w:sz w:val="24"/>
          <w:highlight w:val="none"/>
        </w:rPr>
        <w:t>传真：                           电子邮箱：</w:t>
      </w:r>
    </w:p>
    <w:p>
      <w:pPr>
        <w:tabs>
          <w:tab w:val="left" w:pos="7740"/>
        </w:tabs>
        <w:autoSpaceDE w:val="0"/>
        <w:autoSpaceDN w:val="0"/>
        <w:adjustRightInd w:val="0"/>
        <w:snapToGrid w:val="0"/>
        <w:spacing w:line="360" w:lineRule="auto"/>
        <w:ind w:right="246" w:firstLine="480" w:firstLineChars="200"/>
        <w:rPr>
          <w:rFonts w:ascii="宋体" w:hAnsi="宋体" w:cs="宋体"/>
          <w:kern w:val="0"/>
          <w:sz w:val="24"/>
          <w:highlight w:val="none"/>
        </w:rPr>
      </w:pPr>
      <w:r>
        <w:rPr>
          <w:rFonts w:hint="eastAsia" w:ascii="宋体" w:hAnsi="宋体" w:cs="宋体"/>
          <w:kern w:val="0"/>
          <w:sz w:val="24"/>
          <w:highlight w:val="none"/>
        </w:rPr>
        <w:t xml:space="preserve">开户银行：                           </w:t>
      </w:r>
    </w:p>
    <w:p>
      <w:pPr>
        <w:tabs>
          <w:tab w:val="left" w:pos="7740"/>
        </w:tabs>
        <w:autoSpaceDE w:val="0"/>
        <w:autoSpaceDN w:val="0"/>
        <w:adjustRightInd w:val="0"/>
        <w:snapToGrid w:val="0"/>
        <w:spacing w:line="360" w:lineRule="auto"/>
        <w:ind w:right="246" w:firstLine="480" w:firstLineChars="200"/>
        <w:rPr>
          <w:rFonts w:ascii="宋体" w:hAnsi="宋体" w:cs="宋体"/>
          <w:kern w:val="0"/>
          <w:sz w:val="24"/>
          <w:highlight w:val="none"/>
        </w:rPr>
      </w:pPr>
      <w:r>
        <w:rPr>
          <w:rFonts w:hint="eastAsia" w:ascii="宋体" w:hAnsi="宋体" w:cs="宋体"/>
          <w:kern w:val="0"/>
          <w:sz w:val="24"/>
          <w:highlight w:val="none"/>
        </w:rPr>
        <w:t xml:space="preserve">帐号：                                    </w:t>
      </w:r>
    </w:p>
    <w:p>
      <w:pPr>
        <w:tabs>
          <w:tab w:val="left" w:pos="7740"/>
        </w:tabs>
        <w:autoSpaceDE w:val="0"/>
        <w:autoSpaceDN w:val="0"/>
        <w:adjustRightInd w:val="0"/>
        <w:snapToGrid w:val="0"/>
        <w:spacing w:line="360" w:lineRule="auto"/>
        <w:ind w:right="246" w:firstLine="480" w:firstLineChars="200"/>
        <w:rPr>
          <w:rFonts w:ascii="宋体" w:hAnsi="宋体" w:cs="宋体"/>
          <w:kern w:val="0"/>
          <w:sz w:val="24"/>
          <w:highlight w:val="none"/>
        </w:rPr>
      </w:pPr>
      <w:r>
        <w:rPr>
          <w:rFonts w:hint="eastAsia" w:ascii="宋体" w:hAnsi="宋体" w:cs="宋体"/>
          <w:kern w:val="0"/>
          <w:sz w:val="24"/>
          <w:highlight w:val="none"/>
        </w:rPr>
        <w:t xml:space="preserve"> </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bookmarkEnd w:id="579"/>
    <w:bookmarkEnd w:id="580"/>
    <w:bookmarkEnd w:id="581"/>
    <w:bookmarkEnd w:id="582"/>
    <w:bookmarkEnd w:id="583"/>
    <w:p>
      <w:pPr>
        <w:pStyle w:val="4"/>
        <w:numPr>
          <w:ilvl w:val="0"/>
          <w:numId w:val="150"/>
        </w:numPr>
        <w:spacing w:before="0" w:after="0" w:line="360" w:lineRule="auto"/>
        <w:jc w:val="center"/>
        <w:rPr>
          <w:highlight w:val="none"/>
        </w:rPr>
      </w:pPr>
      <w:bookmarkStart w:id="584" w:name="_Toc29434"/>
      <w:bookmarkStart w:id="585" w:name="_Toc32599"/>
      <w:bookmarkStart w:id="586" w:name="_Toc423021956"/>
      <w:bookmarkStart w:id="587" w:name="_Toc381489426"/>
      <w:bookmarkStart w:id="588" w:name="_Toc13614"/>
      <w:r>
        <w:rPr>
          <w:rFonts w:hint="eastAsia"/>
          <w:highlight w:val="none"/>
        </w:rPr>
        <w:t>投标资格声明</w:t>
      </w:r>
      <w:bookmarkEnd w:id="584"/>
      <w:bookmarkEnd w:id="585"/>
      <w:bookmarkEnd w:id="586"/>
      <w:bookmarkEnd w:id="587"/>
      <w:bookmarkEnd w:id="588"/>
    </w:p>
    <w:p>
      <w:pPr>
        <w:spacing w:before="120" w:beforeLines="50" w:after="120" w:afterLines="50" w:line="360" w:lineRule="auto"/>
        <w:rPr>
          <w:rFonts w:ascii="宋体" w:hAnsi="宋体" w:cs="宋体"/>
          <w:b/>
          <w:sz w:val="24"/>
          <w:highlight w:val="none"/>
        </w:rPr>
      </w:pPr>
      <w:r>
        <w:rPr>
          <w:rFonts w:hint="eastAsia" w:ascii="宋体" w:hAnsi="宋体" w:cs="宋体"/>
          <w:b/>
          <w:sz w:val="24"/>
          <w:highlight w:val="none"/>
        </w:rPr>
        <w:t>致：中国热带农业科学院热带作物品种资源研究所、广东有德招标采购有限公司</w:t>
      </w:r>
    </w:p>
    <w:p>
      <w:pPr>
        <w:adjustRightInd w:val="0"/>
        <w:snapToGrid w:val="0"/>
        <w:spacing w:line="360" w:lineRule="auto"/>
        <w:ind w:firstLine="480" w:firstLineChars="200"/>
        <w:rPr>
          <w:rFonts w:ascii="宋体" w:hAnsi="宋体" w:cs="宋体"/>
          <w:sz w:val="24"/>
          <w:highlight w:val="none"/>
        </w:rPr>
      </w:pPr>
      <w:r>
        <w:rPr>
          <w:rFonts w:hint="eastAsia" w:ascii="Calibri" w:hAnsi="Calibri"/>
          <w:sz w:val="24"/>
          <w:highlight w:val="none"/>
        </w:rPr>
        <w:t>我方</w:t>
      </w:r>
      <w:r>
        <w:rPr>
          <w:rFonts w:hint="eastAsia" w:ascii="宋体" w:hAnsi="宋体" w:cs="宋体"/>
          <w:sz w:val="24"/>
          <w:highlight w:val="none"/>
        </w:rPr>
        <w:t>作为参加本次</w:t>
      </w:r>
      <w:r>
        <w:rPr>
          <w:rFonts w:hint="eastAsia" w:ascii="宋体" w:hAnsi="宋体" w:cs="宋体"/>
          <w:sz w:val="24"/>
          <w:highlight w:val="none"/>
          <w:u w:val="single"/>
        </w:rPr>
        <w:t xml:space="preserve">       （项目名称、项目编号）    </w:t>
      </w:r>
      <w:r>
        <w:rPr>
          <w:rFonts w:hint="eastAsia" w:ascii="宋体" w:hAnsi="宋体" w:cs="宋体"/>
          <w:sz w:val="24"/>
          <w:highlight w:val="none"/>
        </w:rPr>
        <w:t>的供应商，承诺具备以下条件：</w:t>
      </w:r>
    </w:p>
    <w:p>
      <w:pPr>
        <w:numPr>
          <w:ilvl w:val="0"/>
          <w:numId w:val="153"/>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我方具备《中华人民共和国政府采购法》第二十二条规定：</w:t>
      </w:r>
    </w:p>
    <w:p>
      <w:pPr>
        <w:numPr>
          <w:ilvl w:val="0"/>
          <w:numId w:val="154"/>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我方具有独立承担民事责任的能力；</w:t>
      </w:r>
    </w:p>
    <w:p>
      <w:pPr>
        <w:numPr>
          <w:ilvl w:val="0"/>
          <w:numId w:val="154"/>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我方具有良好的商业信誉和健全的财务会计制度；</w:t>
      </w:r>
    </w:p>
    <w:p>
      <w:pPr>
        <w:numPr>
          <w:ilvl w:val="0"/>
          <w:numId w:val="154"/>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我方有依法缴纳税收和社会保障资金的良好记录；</w:t>
      </w:r>
    </w:p>
    <w:p>
      <w:pPr>
        <w:numPr>
          <w:ilvl w:val="0"/>
          <w:numId w:val="154"/>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我方具有履行合同所必需的设备和专业技术能力；</w:t>
      </w:r>
    </w:p>
    <w:p>
      <w:pPr>
        <w:numPr>
          <w:ilvl w:val="0"/>
          <w:numId w:val="154"/>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我方参加采购活动前三年内，在经营活动中没有重大违法记录；</w:t>
      </w:r>
    </w:p>
    <w:p>
      <w:pPr>
        <w:numPr>
          <w:ilvl w:val="0"/>
          <w:numId w:val="154"/>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我方满足法律、行政法规规定的其他条件。</w:t>
      </w:r>
    </w:p>
    <w:p>
      <w:pPr>
        <w:numPr>
          <w:ilvl w:val="0"/>
          <w:numId w:val="153"/>
        </w:numPr>
        <w:adjustRightInd w:val="0"/>
        <w:snapToGrid w:val="0"/>
        <w:spacing w:line="360" w:lineRule="auto"/>
        <w:rPr>
          <w:rFonts w:ascii="宋体" w:hAnsi="宋体" w:cs="宋体"/>
          <w:sz w:val="24"/>
          <w:highlight w:val="none"/>
        </w:rPr>
      </w:pPr>
      <w:r>
        <w:rPr>
          <w:rFonts w:hint="eastAsia" w:ascii="宋体" w:hAnsi="宋体" w:cs="宋体"/>
          <w:sz w:val="24"/>
          <w:highlight w:val="none"/>
        </w:rPr>
        <w:t>参与</w:t>
      </w:r>
      <w:r>
        <w:rPr>
          <w:rFonts w:hint="eastAsia" w:ascii="宋体" w:hAnsi="宋体" w:cs="宋体"/>
          <w:sz w:val="24"/>
          <w:highlight w:val="none"/>
          <w:u w:val="none"/>
        </w:rPr>
        <w:t>本项目</w:t>
      </w:r>
      <w:r>
        <w:rPr>
          <w:rFonts w:hint="eastAsia" w:ascii="宋体" w:hAnsi="宋体" w:cs="宋体"/>
          <w:sz w:val="24"/>
          <w:highlight w:val="none"/>
        </w:rPr>
        <w:t>投标中，与本公司单位负责人为同一人或者与本公司存在控股、管理关系的其他单位包括：</w:t>
      </w:r>
      <w:r>
        <w:rPr>
          <w:rFonts w:hint="eastAsia" w:ascii="宋体" w:hAnsi="宋体" w:cs="宋体"/>
          <w:sz w:val="24"/>
          <w:highlight w:val="none"/>
          <w:u w:val="single"/>
        </w:rPr>
        <w:t xml:space="preserve">         </w:t>
      </w:r>
      <w:r>
        <w:rPr>
          <w:rFonts w:hint="eastAsia" w:ascii="宋体" w:hAnsi="宋体" w:cs="宋体"/>
          <w:sz w:val="24"/>
          <w:highlight w:val="none"/>
        </w:rPr>
        <w:t>。（注：本条由投标供应商如实填写，如有，应列出全部满足招标公告资质要求的相关单位的名称；如无，则填写“无”）。</w:t>
      </w:r>
    </w:p>
    <w:p>
      <w:pPr>
        <w:numPr>
          <w:ilvl w:val="0"/>
          <w:numId w:val="153"/>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我方未为本采购项目提供整体设计、规范编制或者项目管理、监理、检测等服务。</w:t>
      </w:r>
    </w:p>
    <w:p>
      <w:pPr>
        <w:numPr>
          <w:ilvl w:val="0"/>
          <w:numId w:val="153"/>
        </w:numPr>
        <w:adjustRightInd w:val="0"/>
        <w:snapToGrid w:val="0"/>
        <w:spacing w:line="360" w:lineRule="auto"/>
        <w:rPr>
          <w:rFonts w:ascii="宋体" w:hAnsi="宋体" w:cs="宋体"/>
          <w:sz w:val="24"/>
          <w:highlight w:val="none"/>
        </w:rPr>
      </w:pPr>
      <w:r>
        <w:rPr>
          <w:rFonts w:hint="eastAsia" w:ascii="宋体" w:hAnsi="宋体" w:cs="宋体"/>
          <w:sz w:val="24"/>
          <w:highlight w:val="none"/>
        </w:rPr>
        <w:t>我方非联合体投标。</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我方对上述承诺的真实性负责。如有虚假，将依法承担相应责任。</w:t>
      </w:r>
    </w:p>
    <w:p>
      <w:pPr>
        <w:spacing w:before="72" w:after="72" w:line="360" w:lineRule="auto"/>
        <w:ind w:firstLine="480"/>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pPr>
      <w:r>
        <w:rPr>
          <w:rFonts w:hint="eastAsia" w:ascii="宋体" w:hAnsi="宋体" w:cs="宋体"/>
          <w:sz w:val="24"/>
          <w:highlight w:val="none"/>
        </w:rPr>
        <w:t>日期：   年   月   日</w:t>
      </w:r>
    </w:p>
    <w:p>
      <w:pPr>
        <w:rPr>
          <w:rFonts w:ascii="Calibri" w:hAnsi="Calibri"/>
          <w:highlight w:val="none"/>
        </w:rPr>
      </w:pPr>
    </w:p>
    <w:p>
      <w:pPr>
        <w:rPr>
          <w:rFonts w:ascii="Calibri" w:hAnsi="Calibri"/>
          <w:highlight w:val="none"/>
        </w:rPr>
      </w:pPr>
      <w:r>
        <w:rPr>
          <w:rFonts w:ascii="Calibri" w:hAnsi="Calibri"/>
          <w:highlight w:val="none"/>
        </w:rPr>
        <w:br w:type="page"/>
      </w:r>
    </w:p>
    <w:p>
      <w:pPr>
        <w:pStyle w:val="4"/>
        <w:numPr>
          <w:ilvl w:val="0"/>
          <w:numId w:val="150"/>
        </w:numPr>
        <w:spacing w:before="0" w:after="0" w:line="360" w:lineRule="auto"/>
        <w:jc w:val="center"/>
        <w:rPr>
          <w:highlight w:val="none"/>
        </w:rPr>
      </w:pPr>
      <w:bookmarkStart w:id="589" w:name="_Toc28684"/>
      <w:bookmarkStart w:id="590" w:name="_Toc6933"/>
      <w:bookmarkStart w:id="591" w:name="_Toc165"/>
      <w:bookmarkStart w:id="592" w:name="_Toc196294648"/>
      <w:bookmarkStart w:id="593" w:name="_Toc182886668"/>
      <w:bookmarkStart w:id="594" w:name="_Toc197799988"/>
      <w:bookmarkStart w:id="595" w:name="_Toc381489429"/>
      <w:bookmarkStart w:id="596" w:name="_Toc196294647"/>
      <w:bookmarkStart w:id="597" w:name="_Toc183316728"/>
      <w:r>
        <w:rPr>
          <w:rFonts w:hint="eastAsia"/>
          <w:highlight w:val="none"/>
        </w:rPr>
        <w:t>法定代表人（负责人）证明书和法定代表人（负责人）</w:t>
      </w:r>
      <w:bookmarkEnd w:id="589"/>
      <w:bookmarkStart w:id="598" w:name="_Toc31477"/>
      <w:r>
        <w:rPr>
          <w:rFonts w:hint="eastAsia"/>
          <w:highlight w:val="none"/>
        </w:rPr>
        <w:br w:type="textWrapping"/>
      </w:r>
      <w:r>
        <w:rPr>
          <w:rFonts w:hint="eastAsia"/>
          <w:highlight w:val="none"/>
        </w:rPr>
        <w:t>授权委托书</w:t>
      </w:r>
      <w:bookmarkEnd w:id="590"/>
      <w:bookmarkEnd w:id="591"/>
      <w:bookmarkEnd w:id="598"/>
    </w:p>
    <w:p>
      <w:pPr>
        <w:numPr>
          <w:ilvl w:val="0"/>
          <w:numId w:val="155"/>
        </w:numPr>
        <w:spacing w:before="72" w:after="72" w:line="360" w:lineRule="auto"/>
        <w:jc w:val="center"/>
        <w:rPr>
          <w:rFonts w:ascii="宋体" w:hAnsi="宋体" w:cs="宋体"/>
          <w:sz w:val="30"/>
          <w:szCs w:val="30"/>
          <w:highlight w:val="none"/>
        </w:rPr>
      </w:pPr>
      <w:r>
        <w:rPr>
          <w:rFonts w:hint="eastAsia" w:ascii="宋体" w:hAnsi="宋体" w:cs="宋体"/>
          <w:b/>
          <w:kern w:val="44"/>
          <w:sz w:val="30"/>
          <w:szCs w:val="30"/>
          <w:highlight w:val="none"/>
        </w:rPr>
        <w:t>法定代表人（负责人）证明书</w:t>
      </w:r>
    </w:p>
    <w:p>
      <w:pPr>
        <w:adjustRightInd w:val="0"/>
        <w:snapToGrid w:val="0"/>
        <w:spacing w:before="120" w:beforeLines="50" w:after="120" w:afterLines="50" w:line="360" w:lineRule="auto"/>
        <w:rPr>
          <w:rFonts w:ascii="宋体" w:hAnsi="宋体" w:cs="宋体"/>
          <w:b/>
          <w:sz w:val="24"/>
          <w:highlight w:val="none"/>
        </w:rPr>
      </w:pPr>
      <w:r>
        <w:rPr>
          <w:rFonts w:hint="eastAsia" w:ascii="宋体" w:hAnsi="宋体" w:cs="宋体"/>
          <w:b/>
          <w:sz w:val="24"/>
          <w:highlight w:val="none"/>
        </w:rPr>
        <w:t>致：广东有德招标采购有限公司</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同志，现任我单位</w:t>
      </w:r>
      <w:r>
        <w:rPr>
          <w:rFonts w:hint="eastAsia" w:ascii="宋体" w:hAnsi="宋体" w:cs="宋体"/>
          <w:sz w:val="24"/>
          <w:highlight w:val="none"/>
          <w:u w:val="single"/>
        </w:rPr>
        <w:t>　　　　　　　</w:t>
      </w:r>
      <w:r>
        <w:rPr>
          <w:rFonts w:hint="eastAsia" w:ascii="宋体" w:hAnsi="宋体" w:cs="宋体"/>
          <w:sz w:val="24"/>
          <w:highlight w:val="none"/>
        </w:rPr>
        <w:t>职务，为法定代表人（负责人），特此证明。</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本证明书有效期与本公司投标文件中标注的投标有效期相同。</w:t>
      </w:r>
    </w:p>
    <w:p>
      <w:pPr>
        <w:spacing w:before="72" w:after="72" w:line="360" w:lineRule="auto"/>
        <w:ind w:firstLine="480" w:firstLineChars="200"/>
        <w:rPr>
          <w:rFonts w:ascii="宋体" w:hAnsi="宋体" w:cs="宋体"/>
          <w:b/>
          <w:sz w:val="24"/>
          <w:highlight w:val="none"/>
        </w:rPr>
      </w:pPr>
      <w:r>
        <w:rPr>
          <w:rFonts w:hint="eastAsia" w:ascii="宋体" w:hAnsi="宋体" w:cs="宋体"/>
          <w:sz w:val="24"/>
          <w:highlight w:val="none"/>
        </w:rPr>
        <w:t xml:space="preserve">   </w:t>
      </w:r>
    </w:p>
    <w:p>
      <w:pPr>
        <w:spacing w:before="72" w:after="72" w:line="360" w:lineRule="auto"/>
        <w:ind w:firstLine="420" w:firstLineChars="200"/>
        <w:rPr>
          <w:rFonts w:ascii="宋体" w:hAnsi="宋体" w:cs="宋体"/>
          <w:szCs w:val="21"/>
          <w:highlight w:val="none"/>
        </w:rPr>
      </w:pPr>
    </w:p>
    <w:p>
      <w:pPr>
        <w:spacing w:before="72" w:after="72" w:line="360" w:lineRule="auto"/>
        <w:rPr>
          <w:rFonts w:ascii="宋体" w:hAnsi="宋体" w:cs="宋体"/>
          <w:sz w:val="24"/>
          <w:highlight w:val="none"/>
        </w:rPr>
      </w:pPr>
      <w:r>
        <w:rPr>
          <w:rFonts w:hint="eastAsia" w:ascii="宋体" w:hAnsi="宋体" w:cs="宋体"/>
          <w:sz w:val="24"/>
          <w:highlight w:val="none"/>
        </w:rPr>
        <w:t>投标人名称（加盖公章）：</w:t>
      </w:r>
    </w:p>
    <w:p>
      <w:pPr>
        <w:spacing w:before="240" w:beforeLines="100"/>
        <w:rPr>
          <w:rFonts w:ascii="宋体" w:hAnsi="宋体" w:cs="宋体"/>
          <w:b/>
          <w:bCs/>
          <w:sz w:val="28"/>
          <w:szCs w:val="28"/>
          <w:highlight w:val="none"/>
        </w:rPr>
      </w:pPr>
      <w:r>
        <w:rPr>
          <w:rFonts w:hint="eastAsia" w:ascii="宋体" w:hAnsi="宋体" w:cs="宋体"/>
          <w:sz w:val="24"/>
          <w:highlight w:val="none"/>
        </w:rPr>
        <w:t>日期：</w:t>
      </w:r>
      <w:r>
        <w:rPr>
          <w:rFonts w:hint="eastAsia" w:ascii="宋体" w:hAnsi="宋体" w:cs="宋体"/>
          <w:bCs/>
          <w:sz w:val="24"/>
          <w:highlight w:val="none"/>
        </w:rPr>
        <w:t xml:space="preserve">    年    月    日</w:t>
      </w:r>
    </w:p>
    <w:p>
      <w:pPr>
        <w:spacing w:before="72" w:after="72" w:line="360" w:lineRule="auto"/>
        <w:ind w:firstLine="480" w:firstLineChars="200"/>
        <w:rPr>
          <w:rFonts w:ascii="宋体" w:hAnsi="宋体" w:cs="宋体"/>
          <w:sz w:val="24"/>
          <w:highlight w:val="none"/>
        </w:rPr>
      </w:pPr>
    </w:p>
    <w:p>
      <w:pPr>
        <w:spacing w:before="72" w:after="72" w:line="360" w:lineRule="auto"/>
        <w:ind w:firstLine="480" w:firstLineChars="200"/>
        <w:rPr>
          <w:rFonts w:ascii="宋体" w:hAnsi="宋体" w:cs="宋体"/>
          <w:sz w:val="24"/>
          <w:highlight w:val="none"/>
        </w:rPr>
      </w:pPr>
    </w:p>
    <w:p>
      <w:pPr>
        <w:pStyle w:val="13"/>
        <w:spacing w:before="72" w:after="72" w:line="360" w:lineRule="auto"/>
        <w:rPr>
          <w:rFonts w:hAnsi="宋体" w:cs="宋体"/>
          <w:b/>
          <w:sz w:val="24"/>
          <w:highlight w:val="none"/>
        </w:rPr>
      </w:pPr>
      <w:r>
        <w:rPr>
          <w:rFonts w:hint="eastAsia" w:hAnsi="宋体" w:cs="宋体"/>
          <w:b/>
          <w:sz w:val="24"/>
          <w:highlight w:val="none"/>
        </w:rPr>
        <w:t>附法定代表人（负责人）身份证粘贴处（正反面）</w:t>
      </w:r>
    </w:p>
    <w:p>
      <w:pPr>
        <w:spacing w:before="72" w:after="72" w:line="360" w:lineRule="auto"/>
        <w:rPr>
          <w:rFonts w:ascii="宋体" w:hAnsi="宋体" w:cs="宋体"/>
          <w:b/>
          <w:bCs/>
          <w:sz w:val="24"/>
          <w:highlight w:val="none"/>
        </w:rPr>
      </w:pPr>
      <w:r>
        <w:rPr>
          <w:rFonts w:ascii="宋体" w:hAnsi="宋体" w:cs="宋体"/>
          <w:b/>
          <w:bCs/>
          <w:sz w:val="24"/>
          <w:highlight w:val="none"/>
        </w:rPr>
        <mc:AlternateContent>
          <mc:Choice Requires="wps">
            <w:drawing>
              <wp:anchor distT="0" distB="0" distL="114300" distR="114300" simplePos="0" relativeHeight="251661312" behindDoc="0" locked="0" layoutInCell="1" allowOverlap="1">
                <wp:simplePos x="0" y="0"/>
                <wp:positionH relativeFrom="column">
                  <wp:posOffset>2618105</wp:posOffset>
                </wp:positionH>
                <wp:positionV relativeFrom="paragraph">
                  <wp:posOffset>48260</wp:posOffset>
                </wp:positionV>
                <wp:extent cx="2628900" cy="1755140"/>
                <wp:effectExtent l="4445" t="4445" r="14605" b="12065"/>
                <wp:wrapNone/>
                <wp:docPr id="7" name="矩形 7"/>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法定代表人（负责人）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_x0000_s1026" o:spid="_x0000_s1026" o:spt="1" style="position:absolute;left:0pt;margin-left:206.15pt;margin-top:3.8pt;height:138.2pt;width:207pt;z-index:251661312;mso-width-relative:page;mso-height-relative:page;" fillcolor="#FFFFFF" filled="t" stroked="t" coordsize="21600,21600" o:gfxdata="UEsDBAoAAAAAAIdO4kAAAAAAAAAAAAAAAAAEAAAAZHJzL1BLAwQUAAAACACHTuJAM0+6N9cAAAAJ&#10;AQAADwAAAGRycy9kb3ducmV2LnhtbE2PMU/DMBSEdyT+g/WQ2KgdtwohjdMBVCTGNl3YXuLXJBDb&#10;Uey0gV+PmWA83enuu2K3mIFdaPK9swqSlQBGtnG6t62CU7V/yID5gFbj4Cwp+CIPu/L2psBcu6s9&#10;0OUYWhZLrM9RQRfCmHPum44M+pUbyUbv7CaDIcqp5XrCayw3A5dCpNxgb+NChyM9d9R8HmejoO7l&#10;Cb8P1aswT/t1eFuqj/n9Ran7u0RsgQVawl8YfvEjOpSRqXaz1Z4NCjaJXMeogscUWPQzmUZdK5DZ&#10;RgAvC/7/QfkDUEsDBBQAAAAIAIdO4kDJ7x/BCQIAADgEAAAOAAAAZHJzL2Uyb0RvYy54bWytU82O&#10;0zAQviPxDpbvNGlFt7tR0z1QygXBSgsPMHUmiSX/yXab9GmQuPEQPA7iNRi7pXQXDj2QgzNjj7+Z&#10;75vx8n7Uiu3RB2lNzaeTkjM0wjbSdDX//Gnz6pazEME0oKzBmh8w8PvVyxfLwVU4s71VDXpGICZU&#10;g6t5H6OriiKIHjWEiXVo6LC1XkMk13dF42EgdK2KWVneFIP1jfNWYAi0uz4e8hOivwbQtq0UuLZi&#10;p9HEI6pHBZEohV66wFe52rZFET+2bcDIVM2JacwrJSF7m9ZitYSq8+B6KU4lwDUlPOOkQRpKeoZa&#10;QwS28/IvKC2Ft8G2cSKsLo5EsiLEYlo+0+axB4eZC0kd3Fn08P9gxYf9g2eyqfmCMwOaGv7zy7cf&#10;37+yRdJmcKGikEf34E9eIDMRHVuv058osDHreTjriWNkgjZnN7Pbu5KkFnQ2Xczn09dZ8eLPdedD&#10;fIdWs2TU3FPDso6wfx8ipaTQ3yEpW7BKNhupVHZ8t32jPNsDNXeTv1QzXXkSpgwban43n82pEKCJ&#10;bWlSyNSOWAfT5XxPboRL4DJ//wJOha0h9McCMkIKg0rLiEkvqHqE5q1pWDw4UtbQg+KpGI0NZwrp&#10;/SUrR0aQ6ppIYqdMgsY83SeVUp+OnUlWHLcjgSZza5sDNXjnvOx6EniaiaQTGqis1Wn408Re+mRf&#10;PvjV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NPujfXAAAACQEAAA8AAAAAAAAAAQAgAAAAIgAA&#10;AGRycy9kb3ducmV2LnhtbFBLAQIUABQAAAAIAIdO4kDJ7x/BCQIAADgEAAAOAAAAAAAAAAEAIAAA&#10;ACYBAABkcnMvZTJvRG9jLnhtbFBLBQYAAAAABgAGAFkBAAChBQAAAAA=&#10;">
                <v:fill on="t" focussize="0,0"/>
                <v:stroke color="#000000" joinstyle="miter"/>
                <v:imagedata o:title=""/>
                <o:lock v:ext="edit" aspectratio="f"/>
                <v:textbox>
                  <w:txbxContent>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法定代表人（负责人）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r>
        <w:rPr>
          <w:rFonts w:ascii="宋体" w:hAnsi="宋体" w:cs="宋体"/>
          <w:b/>
          <w:bCs/>
          <w:sz w:val="24"/>
          <w:highlight w:val="none"/>
        </w:rPr>
        <mc:AlternateContent>
          <mc:Choice Requires="wps">
            <w:drawing>
              <wp:anchor distT="0" distB="0" distL="114300" distR="114300" simplePos="0" relativeHeight="251662336" behindDoc="0" locked="0" layoutInCell="1" allowOverlap="1">
                <wp:simplePos x="0" y="0"/>
                <wp:positionH relativeFrom="column">
                  <wp:posOffset>-118745</wp:posOffset>
                </wp:positionH>
                <wp:positionV relativeFrom="paragraph">
                  <wp:posOffset>28575</wp:posOffset>
                </wp:positionV>
                <wp:extent cx="2628900" cy="1755140"/>
                <wp:effectExtent l="4445" t="4445" r="14605" b="12065"/>
                <wp:wrapNone/>
                <wp:docPr id="4" name="矩形 4"/>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法定代表人（负责人）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_x0000_s1026" o:spid="_x0000_s1026" o:spt="1" style="position:absolute;left:0pt;margin-left:-9.35pt;margin-top:2.25pt;height:138.2pt;width:207pt;z-index:251662336;mso-width-relative:page;mso-height-relative:page;" fillcolor="#FFFFFF" filled="t" stroked="t" coordsize="21600,21600" o:gfxdata="UEsDBAoAAAAAAIdO4kAAAAAAAAAAAAAAAAAEAAAAZHJzL1BLAwQUAAAACACHTuJAEjo4kNgAAAAJ&#10;AQAADwAAAGRycy9kb3ducmV2LnhtbE2PMU/DMBSEdyT+g/WQ2Fo7CYUkxOkAKhJjmy5sL7FJAvFz&#10;FDtt6K+vmWA83enuu2K7mIGd9OR6SxKitQCmqbGqp1bCsdqtUmDOIykcLGkJP9rBtry9KTBX9kx7&#10;fTr4loUScjlK6Lwfc85d02mDbm1HTcH7tJNBH+TUcjXhOZSbgcdCPHKDPYWFDkf90unm+zAbCXUf&#10;H/Gyr96EyXaJf1+qr/njVcr7u0g8A/N68X9h+MUP6FAGptrOpBwbJKyi9ClEJTxsgAU/yTYJsFpC&#10;nIoMeFnw/w/KK1BLAwQUAAAACACHTuJAOC6vZwkCAAA4BAAADgAAAGRycy9lMm9Eb2MueG1srVPN&#10;jtMwEL4j8Q6W7zRp1S67UdM9UMoFwUoLD+A6k8SS/+Rxm/RpkLjxEDwO4jUYu6V0Fw49kIMzY4+/&#10;me+b8fJ+NJrtIaBytubTSckZWOkaZbuaf/60eXXLGUZhG6GdhZofAPn96uWL5eArmLne6QYCIxCL&#10;1eBr3sfoq6JA2YMROHEeLB22LhgRyQ1d0QQxELrRxawsb4rBhcYHJwGRdtfHQ35CDNcAurZVEtZO&#10;7gzYeEQNoEUkStgrj3yVq21bkPFj2yJEpmtOTGNeKQnZ27QWq6WouiB8r+SpBHFNCc84GaEsJT1D&#10;rUUUbBfUX1BGyeDQtXEinSmORLIixGJaPtPmsRceMheSGv1ZdPx/sPLD/iEw1dR8zpkVhhr+88u3&#10;H9+/snnSZvBYUcijfwgnD8lMRMc2mPQnCmzMeh7OesIYmaTN2c3s9q4kqSWdTV8vFtN5Vrz4c90H&#10;jO/AGZaMmgdqWNZR7N9jpJQU+jskZUOnVbNRWmcndNs3OrC9oOZu8pdqpitPwrRlQ83vFrMFFSJo&#10;YluaFDKNJ9Zou5zvyQ28BC7z9y/gVNhaYH8sICOkMFEZFSHpJaoeRPPWNiwePClr6UHxVIyBhjMN&#10;9P6SlSOjUPqaSGKnbYKGPN0nlVKfjp1JVhy3I4Emc+uaAzV454PqehJ4momkExqorNVp+NPEXvpk&#10;Xz74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SOjiQ2AAAAAkBAAAPAAAAAAAAAAEAIAAAACIA&#10;AABkcnMvZG93bnJldi54bWxQSwECFAAUAAAACACHTuJAOC6vZwkCAAA4BAAADgAAAAAAAAABACAA&#10;AAAnAQAAZHJzL2Uyb0RvYy54bWxQSwUGAAAAAAYABgBZAQAAogUAAAAA&#10;">
                <v:fill on="t" focussize="0,0"/>
                <v:stroke color="#000000" joinstyle="miter"/>
                <v:imagedata o:title=""/>
                <o:lock v:ext="edit" aspectratio="f"/>
                <v:textbox>
                  <w:txbxContent>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法定代表人（负责人）</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r>
        <w:rPr>
          <w:rFonts w:hint="eastAsia" w:ascii="宋体" w:hAnsi="宋体" w:cs="宋体"/>
          <w:b/>
          <w:bCs/>
          <w:sz w:val="24"/>
          <w:highlight w:val="none"/>
        </w:rPr>
        <w:t>说明：分支机构参加投标的，提供分支机构营业执照上载明的负责人签字或盖章。</w:t>
      </w:r>
    </w:p>
    <w:p>
      <w:pPr>
        <w:spacing w:before="72" w:after="72" w:line="360" w:lineRule="auto"/>
        <w:rPr>
          <w:rFonts w:ascii="宋体" w:hAnsi="宋体" w:cs="宋体"/>
          <w:b/>
          <w:bCs/>
          <w:sz w:val="24"/>
          <w:highlight w:val="none"/>
        </w:rPr>
        <w:sectPr>
          <w:pgSz w:w="11905" w:h="16838"/>
          <w:pgMar w:top="1803" w:right="1440" w:bottom="1803" w:left="1440" w:header="850" w:footer="822" w:gutter="0"/>
          <w:cols w:space="0" w:num="1"/>
          <w:docGrid w:linePitch="312" w:charSpace="0"/>
        </w:sectPr>
      </w:pPr>
    </w:p>
    <w:p>
      <w:pPr>
        <w:numPr>
          <w:ilvl w:val="0"/>
          <w:numId w:val="155"/>
        </w:numPr>
        <w:spacing w:before="72" w:after="72" w:line="360" w:lineRule="auto"/>
        <w:jc w:val="center"/>
        <w:rPr>
          <w:rFonts w:ascii="宋体" w:hAnsi="宋体" w:cs="宋体"/>
          <w:b/>
          <w:kern w:val="44"/>
          <w:sz w:val="30"/>
          <w:szCs w:val="30"/>
          <w:highlight w:val="none"/>
        </w:rPr>
      </w:pPr>
      <w:bookmarkStart w:id="599" w:name="_Toc415494949"/>
      <w:bookmarkStart w:id="600" w:name="_Toc381489428"/>
      <w:bookmarkStart w:id="601" w:name="_Toc414383247"/>
      <w:bookmarkStart w:id="602" w:name="_Toc414383032"/>
      <w:bookmarkStart w:id="603" w:name="_Toc417738414"/>
      <w:bookmarkStart w:id="604" w:name="_Toc413373063"/>
      <w:bookmarkStart w:id="605" w:name="_Toc415496511"/>
      <w:bookmarkStart w:id="606" w:name="_Toc413404716"/>
      <w:bookmarkStart w:id="607" w:name="_Toc413372470"/>
      <w:r>
        <w:rPr>
          <w:rFonts w:hint="eastAsia" w:ascii="宋体" w:hAnsi="宋体" w:cs="宋体"/>
          <w:b/>
          <w:kern w:val="44"/>
          <w:sz w:val="30"/>
          <w:szCs w:val="30"/>
          <w:highlight w:val="none"/>
        </w:rPr>
        <w:t>法定代表人（负责人）授权委托书</w:t>
      </w:r>
      <w:bookmarkEnd w:id="599"/>
      <w:bookmarkEnd w:id="600"/>
      <w:bookmarkEnd w:id="601"/>
      <w:bookmarkEnd w:id="602"/>
      <w:bookmarkEnd w:id="603"/>
      <w:bookmarkEnd w:id="604"/>
      <w:bookmarkEnd w:id="605"/>
      <w:bookmarkEnd w:id="606"/>
      <w:bookmarkEnd w:id="607"/>
    </w:p>
    <w:p>
      <w:pPr>
        <w:spacing w:before="120" w:beforeLines="50" w:after="120" w:afterLines="50" w:line="360" w:lineRule="auto"/>
        <w:rPr>
          <w:rFonts w:ascii="宋体" w:hAnsi="宋体" w:cs="宋体"/>
          <w:b/>
          <w:sz w:val="24"/>
          <w:highlight w:val="none"/>
        </w:rPr>
      </w:pPr>
      <w:r>
        <w:rPr>
          <w:rFonts w:hint="eastAsia" w:ascii="宋体" w:hAnsi="宋体" w:cs="宋体"/>
          <w:b/>
          <w:sz w:val="24"/>
          <w:highlight w:val="none"/>
        </w:rPr>
        <w:t>致：广东有德招标采购有限公司</w:t>
      </w:r>
    </w:p>
    <w:p>
      <w:pPr>
        <w:pStyle w:val="13"/>
        <w:spacing w:before="72" w:after="72" w:line="360" w:lineRule="auto"/>
        <w:ind w:firstLine="420"/>
        <w:rPr>
          <w:rFonts w:hAnsi="宋体" w:cs="宋体"/>
          <w:sz w:val="24"/>
          <w:highlight w:val="none"/>
        </w:rPr>
      </w:pPr>
      <w:r>
        <w:rPr>
          <w:rFonts w:hint="eastAsia" w:hAnsi="宋体" w:cs="宋体"/>
          <w:sz w:val="24"/>
          <w:highlight w:val="none"/>
        </w:rPr>
        <w:t>我</w:t>
      </w:r>
      <w:r>
        <w:rPr>
          <w:rFonts w:hint="eastAsia" w:hAnsi="宋体" w:cs="宋体"/>
          <w:sz w:val="24"/>
          <w:highlight w:val="none"/>
          <w:u w:val="single"/>
        </w:rPr>
        <w:t>　　   　　</w:t>
      </w:r>
      <w:r>
        <w:rPr>
          <w:rFonts w:hint="eastAsia" w:hAnsi="宋体" w:cs="宋体"/>
          <w:sz w:val="24"/>
          <w:highlight w:val="none"/>
        </w:rPr>
        <w:t>（姓名）系</w:t>
      </w:r>
      <w:r>
        <w:rPr>
          <w:rFonts w:hint="eastAsia" w:hAnsi="宋体" w:cs="宋体"/>
          <w:sz w:val="24"/>
          <w:highlight w:val="none"/>
          <w:u w:val="single"/>
        </w:rPr>
        <w:t>　　  　　　　</w:t>
      </w:r>
      <w:r>
        <w:rPr>
          <w:rFonts w:hint="eastAsia" w:hAnsi="宋体" w:cs="宋体"/>
          <w:sz w:val="24"/>
          <w:highlight w:val="none"/>
        </w:rPr>
        <w:t>（投标人名称）的法定代表人（负责人），现授权委托</w:t>
      </w:r>
      <w:r>
        <w:rPr>
          <w:rFonts w:hint="eastAsia" w:hAnsi="宋体" w:cs="宋体"/>
          <w:sz w:val="24"/>
          <w:highlight w:val="none"/>
          <w:u w:val="single"/>
        </w:rPr>
        <w:t>　　　  　　　　　   　　　</w:t>
      </w:r>
      <w:r>
        <w:rPr>
          <w:rFonts w:hint="eastAsia" w:hAnsi="宋体" w:cs="宋体"/>
          <w:sz w:val="24"/>
          <w:highlight w:val="none"/>
        </w:rPr>
        <w:t>（被授权人姓名、职务）为我公司授权代表，以本公司的名义参加</w:t>
      </w:r>
      <w:r>
        <w:rPr>
          <w:rFonts w:hint="eastAsia" w:hAnsi="宋体" w:cs="宋体"/>
          <w:sz w:val="24"/>
          <w:highlight w:val="none"/>
          <w:u w:val="single"/>
          <w:lang w:val="zh-CN"/>
        </w:rPr>
        <w:t>（项目名称、项目编号）</w:t>
      </w:r>
      <w:r>
        <w:rPr>
          <w:rFonts w:hint="eastAsia" w:hAnsi="宋体" w:cs="宋体"/>
          <w:sz w:val="24"/>
          <w:highlight w:val="none"/>
        </w:rPr>
        <w:t>的投标活动以及处理与之有关的一切事务。</w:t>
      </w:r>
    </w:p>
    <w:p>
      <w:pPr>
        <w:pStyle w:val="13"/>
        <w:spacing w:before="72" w:after="72" w:line="360" w:lineRule="auto"/>
        <w:ind w:firstLine="420"/>
        <w:rPr>
          <w:rFonts w:hAnsi="宋体" w:cs="宋体"/>
          <w:sz w:val="24"/>
          <w:highlight w:val="none"/>
        </w:rPr>
      </w:pPr>
      <w:r>
        <w:rPr>
          <w:rFonts w:hint="eastAsia" w:hAnsi="宋体" w:cs="宋体"/>
          <w:sz w:val="24"/>
          <w:highlight w:val="none"/>
        </w:rPr>
        <w:t>本授权委托书自法定代表人（负责人）签字之日起生效，被授权人</w:t>
      </w:r>
      <w:r>
        <w:rPr>
          <w:rFonts w:hint="eastAsia" w:hAnsi="宋体" w:cs="宋体"/>
          <w:sz w:val="24"/>
          <w:highlight w:val="none"/>
          <w:u w:val="single"/>
        </w:rPr>
        <w:t>（投标人授权代表）</w:t>
      </w:r>
      <w:r>
        <w:rPr>
          <w:rFonts w:hint="eastAsia" w:hAnsi="宋体" w:cs="宋体"/>
          <w:sz w:val="24"/>
          <w:highlight w:val="none"/>
        </w:rPr>
        <w:t>无转委托权限。</w:t>
      </w:r>
    </w:p>
    <w:p>
      <w:pPr>
        <w:pStyle w:val="13"/>
        <w:spacing w:before="72" w:after="72" w:line="360" w:lineRule="auto"/>
        <w:ind w:firstLine="420"/>
        <w:rPr>
          <w:rFonts w:hAnsi="宋体" w:cs="宋体"/>
          <w:sz w:val="24"/>
          <w:highlight w:val="none"/>
        </w:rPr>
      </w:pPr>
    </w:p>
    <w:p>
      <w:pPr>
        <w:pStyle w:val="13"/>
        <w:spacing w:before="72" w:after="72" w:line="360" w:lineRule="auto"/>
        <w:rPr>
          <w:rFonts w:hAnsi="宋体" w:cs="宋体"/>
          <w:sz w:val="24"/>
          <w:highlight w:val="none"/>
        </w:rPr>
      </w:pPr>
    </w:p>
    <w:p>
      <w:pPr>
        <w:adjustRightInd w:val="0"/>
        <w:snapToGrid w:val="0"/>
        <w:spacing w:before="72" w:after="72" w:line="480" w:lineRule="auto"/>
        <w:rPr>
          <w:rFonts w:ascii="宋体" w:hAnsi="宋体" w:cs="宋体"/>
          <w:sz w:val="24"/>
          <w:highlight w:val="none"/>
        </w:rPr>
      </w:pPr>
      <w:r>
        <w:rPr>
          <w:rFonts w:hint="eastAsia" w:ascii="宋体" w:hAnsi="宋体" w:cs="宋体"/>
          <w:sz w:val="24"/>
          <w:highlight w:val="none"/>
        </w:rPr>
        <w:t>投标人名称（加盖公章）：</w:t>
      </w:r>
    </w:p>
    <w:p>
      <w:pPr>
        <w:adjustRightInd w:val="0"/>
        <w:snapToGrid w:val="0"/>
        <w:spacing w:before="72" w:after="72" w:line="480" w:lineRule="auto"/>
        <w:rPr>
          <w:rFonts w:ascii="宋体" w:hAnsi="宋体" w:cs="宋体"/>
          <w:sz w:val="24"/>
          <w:highlight w:val="none"/>
        </w:rPr>
      </w:pPr>
      <w:r>
        <w:rPr>
          <w:rFonts w:hint="eastAsia" w:ascii="宋体" w:hAnsi="宋体" w:cs="宋体"/>
          <w:sz w:val="24"/>
          <w:highlight w:val="none"/>
        </w:rPr>
        <w:t>投标人法定代表人（负责人）（签字或盖章）：</w:t>
      </w:r>
    </w:p>
    <w:p>
      <w:pPr>
        <w:adjustRightInd w:val="0"/>
        <w:snapToGrid w:val="0"/>
        <w:spacing w:before="72" w:after="72" w:line="480" w:lineRule="auto"/>
        <w:rPr>
          <w:rFonts w:ascii="宋体" w:hAnsi="宋体" w:cs="宋体"/>
          <w:sz w:val="24"/>
          <w:highlight w:val="none"/>
        </w:rPr>
      </w:pPr>
      <w:r>
        <w:rPr>
          <w:rFonts w:hint="eastAsia" w:ascii="宋体" w:hAnsi="宋体" w:cs="宋体"/>
          <w:sz w:val="24"/>
          <w:highlight w:val="none"/>
        </w:rPr>
        <w:t>投标人被授权代表（签字或盖章）：</w:t>
      </w:r>
    </w:p>
    <w:p>
      <w:pPr>
        <w:adjustRightInd w:val="0"/>
        <w:snapToGrid w:val="0"/>
        <w:spacing w:before="72" w:after="72" w:line="480" w:lineRule="auto"/>
        <w:rPr>
          <w:rFonts w:ascii="宋体" w:hAnsi="宋体" w:cs="宋体"/>
          <w:sz w:val="24"/>
          <w:highlight w:val="none"/>
        </w:rPr>
      </w:pPr>
      <w:r>
        <w:rPr>
          <w:rFonts w:hint="eastAsia" w:ascii="宋体" w:hAnsi="宋体" w:cs="宋体"/>
          <w:sz w:val="24"/>
          <w:highlight w:val="none"/>
        </w:rPr>
        <w:t>签发日期：   年   月   日</w:t>
      </w:r>
    </w:p>
    <w:p>
      <w:pPr>
        <w:pStyle w:val="13"/>
        <w:spacing w:before="72" w:after="72" w:line="360" w:lineRule="auto"/>
        <w:rPr>
          <w:rFonts w:hAnsi="宋体" w:cs="宋体"/>
          <w:sz w:val="24"/>
          <w:highlight w:val="none"/>
        </w:rPr>
      </w:pPr>
      <w:r>
        <w:rPr>
          <w:rFonts w:hAnsi="宋体" w:cs="宋体"/>
          <w:b/>
          <w:bCs/>
          <w:sz w:val="24"/>
          <w:highlight w:val="none"/>
        </w:rPr>
        <mc:AlternateContent>
          <mc:Choice Requires="wps">
            <w:drawing>
              <wp:anchor distT="0" distB="0" distL="114300" distR="114300" simplePos="0" relativeHeight="251659264" behindDoc="0" locked="0" layoutInCell="1" allowOverlap="1">
                <wp:simplePos x="0" y="0"/>
                <wp:positionH relativeFrom="column">
                  <wp:posOffset>2618105</wp:posOffset>
                </wp:positionH>
                <wp:positionV relativeFrom="paragraph">
                  <wp:posOffset>316230</wp:posOffset>
                </wp:positionV>
                <wp:extent cx="2628900" cy="1755140"/>
                <wp:effectExtent l="4445" t="4445" r="14605" b="12065"/>
                <wp:wrapNone/>
                <wp:docPr id="9" name="矩形 9"/>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wps:txbx>
                      <wps:bodyPr upright="1"/>
                    </wps:wsp>
                  </a:graphicData>
                </a:graphic>
              </wp:anchor>
            </w:drawing>
          </mc:Choice>
          <mc:Fallback>
            <w:pict>
              <v:rect id="_x0000_s1026" o:spid="_x0000_s1026" o:spt="1" style="position:absolute;left:0pt;margin-left:206.15pt;margin-top:24.9pt;height:138.2pt;width:207pt;z-index:251659264;mso-width-relative:page;mso-height-relative:page;" fillcolor="#FFFFFF" filled="t" stroked="t" coordsize="21600,21600" o:gfxdata="UEsDBAoAAAAAAIdO4kAAAAAAAAAAAAAAAAAEAAAAZHJzL1BLAwQUAAAACACHTuJAMeVladgAAAAK&#10;AQAADwAAAGRycy9kb3ducmV2LnhtbE2PMU/DMBCFdyT+g3VIbNSOg6I2xOkAKhJjmy7dnNgkaeNz&#10;FDtt4NdzTLDd3Xt6971iu7iBXe0Ueo8KkpUAZrHxpsdWwbHaPa2BhajR6MGjVfBlA2zL+7tC58bf&#10;cG+vh9gyCsGQawVdjGPOeWg663RY+dEiaZ9+cjrSOrXcTPpG4W7gUoiMO90jfej0aF8721wOs1NQ&#10;9/Kov/fVu3CbXRo/luo8n96UenxIxAuwaJf4Z4ZffEKHkphqP6MJbFDwnMiUrDRsqAIZ1jKjQ60g&#10;lZkEXhb8f4XyB1BLAwQUAAAACACHTuJAr2FARAkCAAA4BAAADgAAAGRycy9lMm9Eb2MueG1srVPN&#10;jtMwEL4j8Q6W7zRpRZdt1HQPlHJBsNIuDzB1Jokl/8l2m/RpkLjxEDwO4jUYu6V0Fw49kIMzY4+/&#10;me+b8fJu1Irt0QdpTc2nk5IzNMI20nQ1//y4eXXLWYhgGlDWYM0PGPjd6uWL5eAqnNneqgY9IxAT&#10;qsHVvI/RVUURRI8awsQ6NHTYWq8hkuu7ovEwELpWxawsb4rB+sZ5KzAE2l0fD/kJ0V8DaNtWClxb&#10;sdNo4hHVo4JIlEIvXeCrXG3booif2jZgZKrmxDTmlZKQvU1rsVpC1XlwvRSnEuCaEp5x0iANJT1D&#10;rSEC23n5F5SWwttg2zgRVhdHIlkRYjEtn2nz0IPDzIWkDu4sevh/sOLj/t4z2dR8wZkBTQ3/+eXb&#10;j+9f2SJpM7hQUciDu/cnL5CZiI6t1+lPFNiY9Tyc9cQxMkGbs5vZ7aIkqQWdTd/M59PXWfHiz3Xn&#10;Q3yPVrNk1NxTw7KOsP8QIqWk0N8hKVuwSjYbqVR2fLd9qzzbAzV3k79UM115EqYMG4jefDanQoAm&#10;tqVJIVM7Yh1Ml/M9uREugcv8/Qs4FbaG0B8LyAgpDCotIya9oOoRmnemYfHgSFlDD4qnYjQ2nCmk&#10;95esHBlBqmsiiZ0yCRrzdJ9USn06diZZcdyOBJrMrW0O1OCd87LrSeBpJpJOaKCyVqfhTxN76ZN9&#10;+eBX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x5WVp2AAAAAoBAAAPAAAAAAAAAAEAIAAAACIA&#10;AABkcnMvZG93bnJldi54bWxQSwECFAAUAAAACACHTuJAr2FARAkCAAA4BAAADgAAAAAAAAABACAA&#10;AAAnAQAAZHJzL2Uyb0RvYy54bWxQSwUGAAAAAAYABgBZAQAAogUAAAAA&#10;">
                <v:fill on="t" focussize="0,0"/>
                <v:stroke color="#000000" joinstyle="miter"/>
                <v:imagedata o:title=""/>
                <o:lock v:ext="edit" aspectratio="f"/>
                <v:textbox>
                  <w:txbxContent>
                    <w:p>
                      <w:pPr>
                        <w:spacing w:before="72" w:after="72"/>
                        <w:rPr>
                          <w:rFonts w:ascii="宋体" w:hAnsi="宋体" w:cs="宋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（反面）</w:t>
                      </w:r>
                    </w:p>
                  </w:txbxContent>
                </v:textbox>
              </v:rect>
            </w:pict>
          </mc:Fallback>
        </mc:AlternateContent>
      </w:r>
      <w:r>
        <w:rPr>
          <w:rFonts w:hAnsi="宋体" w:cs="宋体"/>
          <w:b/>
          <w:bCs/>
          <w:sz w:val="24"/>
          <w:highlight w:val="none"/>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318135</wp:posOffset>
                </wp:positionV>
                <wp:extent cx="2628900" cy="1755140"/>
                <wp:effectExtent l="4445" t="4445" r="14605" b="12065"/>
                <wp:wrapNone/>
                <wp:docPr id="8" name="矩形 8"/>
                <wp:cNvGraphicFramePr/>
                <a:graphic xmlns:a="http://schemas.openxmlformats.org/drawingml/2006/main">
                  <a:graphicData uri="http://schemas.microsoft.com/office/word/2010/wordprocessingShape">
                    <wps:wsp>
                      <wps:cNvSpPr/>
                      <wps:spPr>
                        <a:xfrm>
                          <a:off x="0" y="0"/>
                          <a:ext cx="2628900" cy="175514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wps:txbx>
                      <wps:bodyPr upright="1"/>
                    </wps:wsp>
                  </a:graphicData>
                </a:graphic>
              </wp:anchor>
            </w:drawing>
          </mc:Choice>
          <mc:Fallback>
            <w:pict>
              <v:rect id="_x0000_s1026" o:spid="_x0000_s1026" o:spt="1" style="position:absolute;left:0pt;margin-left:-4.35pt;margin-top:25.05pt;height:138.2pt;width:207pt;z-index:251660288;mso-width-relative:page;mso-height-relative:page;" fillcolor="#FFFFFF" filled="t" stroked="t" coordsize="21600,21600" o:gfxdata="UEsDBAoAAAAAAIdO4kAAAAAAAAAAAAAAAAAEAAAAZHJzL1BLAwQUAAAACACHTuJAabUhudgAAAAJ&#10;AQAADwAAAGRycy9kb3ducmV2LnhtbE2PQU+DQBSE7yb+h80z8dbuAlIr8uhBUxOPLb14W+AJKPuW&#10;sEuL/nrXkx4nM5n5Jt8tZhBnmlxvGSFaKxDEtW16bhFO5X61BeG85kYPlgnhixzsiuurXGeNvfCB&#10;zkffilDCLtMInfdjJqWrOzLare1IHLx3Oxntg5xa2Uz6EsrNIGOlNtLonsNCp0d66qj+PM4Goerj&#10;k/4+lC/KPOwT/7qUH/PbM+LtTaQeQXha/F8YfvEDOhSBqbIzN04MCKvtfUgipCoCEfw7lSYgKoQk&#10;3qQgi1z+f1D8AFBLAwQUAAAACACHTuJAPyP/kAkCAAA4BAAADgAAAGRycy9lMm9Eb2MueG1srVPN&#10;jtMwEL4j8Q6W7zRpRZdu1HQPlHJBsNIuDzB1Jokl/8l2m/RpkLjxEDwO4jUYu6V0Fw49kIMzY4+/&#10;me+b8fJu1Irt0QdpTc2nk5IzNMI20nQ1//y4ebXgLEQwDShrsOYHDPxu9fLFcnAVzmxvVYOeEYgJ&#10;1eBq3sfoqqIIokcNYWIdGjpsrdcQyfVd0XgYCF2rYlaWN8VgfeO8FRgC7a6Ph/yE6K8BtG0rBa6t&#10;2Gk08YjqUUEkSqGXLvBVrrZtUcRPbRswMlVzYhrzSknI3qa1WC2h6jy4XopTCXBNCc84aZCGkp6h&#10;1hCB7bz8C0pL4W2wbZwIq4sjkawIsZiWz7R56MFh5kJSB3cWPfw/WPFxf++ZbGpObTegqeE/v3z7&#10;8f0rWyRtBhcqCnlw9/7kBTIT0bH1Ov2JAhuznoeznjhGJmhzdjNb3JYktaCz6Zv5fPo6K178ue58&#10;iO/RapaMmntqWNYR9h9CpJQU+jskZQtWyWYjlcqO77ZvlWd7oOZu8pdqpitPwpRhQ81v57M5FQI0&#10;sS1NCpnaEetgupzvyY1wCVzm71/AqbA1hP5YQEZIYVBpGTHpBVWP0LwzDYsHR8oaelA8FaOx4Uwh&#10;vb9k5cgIUl0TSeyUSdCYp/ukUurTsTPJiuN2JNBkbm1zoAbvnJddTwJPM5F0QgOVtToNf5rYS5/s&#10;ywe/+g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ptSG52AAAAAkBAAAPAAAAAAAAAAEAIAAAACIA&#10;AABkcnMvZG93bnJldi54bWxQSwECFAAUAAAACACHTuJAPyP/kAkCAAA4BAAADgAAAAAAAAABACAA&#10;AAAnAQAAZHJzL2Uyb0RvYy54bWxQSwUGAAAAAAYABgBZAQAAogUAAAAA&#10;">
                <v:fill on="t" focussize="0,0"/>
                <v:stroke color="#000000" joinstyle="miter"/>
                <v:imagedata o:title=""/>
                <o:lock v:ext="edit" aspectratio="f"/>
                <v:textbox>
                  <w:txbxContent>
                    <w:p>
                      <w:pPr>
                        <w:spacing w:before="72" w:after="72"/>
                        <w:rPr>
                          <w:rFonts w:eastAsia="黑体"/>
                          <w:b/>
                          <w:sz w:val="30"/>
                        </w:rPr>
                      </w:pPr>
                    </w:p>
                    <w:p>
                      <w:pPr>
                        <w:spacing w:before="72" w:after="72"/>
                        <w:jc w:val="center"/>
                        <w:rPr>
                          <w:rFonts w:ascii="宋体" w:hAnsi="宋体" w:cs="宋体"/>
                          <w:sz w:val="24"/>
                        </w:rPr>
                      </w:pPr>
                      <w:r>
                        <w:rPr>
                          <w:rFonts w:hint="eastAsia" w:ascii="宋体" w:hAnsi="宋体" w:cs="宋体"/>
                          <w:sz w:val="24"/>
                        </w:rPr>
                        <w:t>被授权人（授权代表）</w:t>
                      </w:r>
                    </w:p>
                    <w:p>
                      <w:pPr>
                        <w:spacing w:before="72" w:after="72"/>
                        <w:jc w:val="center"/>
                        <w:rPr>
                          <w:rFonts w:ascii="宋体" w:hAnsi="宋体" w:cs="宋体"/>
                          <w:sz w:val="24"/>
                        </w:rPr>
                      </w:pPr>
                      <w:r>
                        <w:rPr>
                          <w:rFonts w:hint="eastAsia" w:ascii="宋体" w:hAnsi="宋体" w:cs="宋体"/>
                          <w:sz w:val="24"/>
                        </w:rPr>
                        <w:t>居民身份证复印件粘贴处</w:t>
                      </w:r>
                    </w:p>
                    <w:p>
                      <w:pPr>
                        <w:spacing w:before="72" w:after="72"/>
                        <w:jc w:val="center"/>
                        <w:rPr>
                          <w:rFonts w:ascii="宋体" w:hAnsi="宋体" w:cs="宋体"/>
                          <w:sz w:val="24"/>
                        </w:rPr>
                      </w:pPr>
                      <w:r>
                        <w:rPr>
                          <w:rFonts w:hint="eastAsia" w:ascii="宋体" w:hAnsi="宋体" w:cs="宋体"/>
                          <w:sz w:val="24"/>
                        </w:rPr>
                        <w:t>（正面）</w:t>
                      </w:r>
                    </w:p>
                  </w:txbxContent>
                </v:textbox>
              </v:rect>
            </w:pict>
          </mc:Fallback>
        </mc:AlternateContent>
      </w: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before="72" w:after="72" w:line="360" w:lineRule="auto"/>
        <w:rPr>
          <w:rFonts w:ascii="宋体" w:hAnsi="宋体" w:cs="宋体"/>
          <w:b/>
          <w:bCs/>
          <w:sz w:val="24"/>
          <w:highlight w:val="none"/>
        </w:rPr>
      </w:pPr>
    </w:p>
    <w:p>
      <w:pPr>
        <w:spacing w:line="360" w:lineRule="auto"/>
        <w:rPr>
          <w:rFonts w:ascii="宋体" w:hAnsi="宋体" w:cs="宋体"/>
          <w:b/>
          <w:bCs/>
          <w:sz w:val="24"/>
          <w:highlight w:val="none"/>
        </w:rPr>
      </w:pPr>
      <w:r>
        <w:rPr>
          <w:rFonts w:hint="eastAsia" w:ascii="宋体" w:hAnsi="宋体" w:cs="宋体"/>
          <w:b/>
          <w:bCs/>
          <w:sz w:val="24"/>
          <w:highlight w:val="none"/>
        </w:rPr>
        <w:t>说明：</w:t>
      </w:r>
    </w:p>
    <w:p>
      <w:pPr>
        <w:numPr>
          <w:ilvl w:val="0"/>
          <w:numId w:val="156"/>
        </w:numPr>
        <w:spacing w:line="360" w:lineRule="auto"/>
        <w:rPr>
          <w:rFonts w:ascii="宋体" w:hAnsi="宋体" w:cs="宋体"/>
          <w:b/>
          <w:bCs/>
          <w:sz w:val="24"/>
          <w:highlight w:val="none"/>
        </w:rPr>
      </w:pPr>
      <w:r>
        <w:rPr>
          <w:rFonts w:hint="eastAsia" w:ascii="宋体" w:hAnsi="宋体" w:cs="宋体"/>
          <w:b/>
          <w:bCs/>
          <w:sz w:val="24"/>
          <w:highlight w:val="none"/>
        </w:rPr>
        <w:t>法定代表人参加投标的，无需提交本授权书。</w:t>
      </w:r>
    </w:p>
    <w:p>
      <w:pPr>
        <w:numPr>
          <w:ilvl w:val="0"/>
          <w:numId w:val="156"/>
        </w:numPr>
        <w:spacing w:line="360" w:lineRule="auto"/>
        <w:rPr>
          <w:rFonts w:ascii="宋体" w:hAnsi="宋体" w:cs="宋体"/>
          <w:b/>
          <w:bCs/>
          <w:sz w:val="24"/>
          <w:highlight w:val="none"/>
        </w:rPr>
      </w:pPr>
      <w:r>
        <w:rPr>
          <w:rFonts w:hint="eastAsia" w:ascii="宋体" w:hAnsi="宋体" w:cs="宋体"/>
          <w:b/>
          <w:bCs/>
          <w:sz w:val="24"/>
          <w:highlight w:val="none"/>
        </w:rPr>
        <w:t>分支机构参加投标的，提供分支机构营业执照上载明的负责人签字或盖章。</w:t>
      </w:r>
    </w:p>
    <w:p>
      <w:pPr>
        <w:rPr>
          <w:highlight w:val="none"/>
        </w:rPr>
      </w:pPr>
      <w:r>
        <w:rPr>
          <w:rFonts w:hint="eastAsia" w:ascii="宋体" w:hAnsi="宋体" w:cs="宋体"/>
          <w:b/>
          <w:kern w:val="44"/>
          <w:szCs w:val="36"/>
          <w:highlight w:val="none"/>
        </w:rPr>
        <w:br w:type="page"/>
      </w:r>
      <w:bookmarkEnd w:id="592"/>
      <w:bookmarkEnd w:id="593"/>
      <w:bookmarkEnd w:id="594"/>
      <w:bookmarkEnd w:id="595"/>
      <w:bookmarkEnd w:id="596"/>
      <w:bookmarkEnd w:id="597"/>
      <w:bookmarkStart w:id="608" w:name="_Toc196294649"/>
      <w:bookmarkEnd w:id="608"/>
      <w:bookmarkStart w:id="609" w:name="_Toc182886678"/>
      <w:bookmarkEnd w:id="609"/>
      <w:bookmarkStart w:id="610" w:name="_Toc183316737"/>
      <w:bookmarkEnd w:id="610"/>
    </w:p>
    <w:p>
      <w:pPr>
        <w:pStyle w:val="4"/>
        <w:numPr>
          <w:ilvl w:val="0"/>
          <w:numId w:val="150"/>
        </w:numPr>
        <w:spacing w:before="0" w:after="0" w:line="360" w:lineRule="auto"/>
        <w:jc w:val="center"/>
        <w:rPr>
          <w:highlight w:val="none"/>
        </w:rPr>
      </w:pPr>
      <w:bookmarkStart w:id="611" w:name="_Toc17221"/>
      <w:bookmarkStart w:id="612" w:name="_Toc423021968"/>
      <w:bookmarkStart w:id="613" w:name="_Toc16612"/>
      <w:bookmarkStart w:id="614" w:name="_Toc8719"/>
      <w:bookmarkStart w:id="615" w:name="_Toc381489432"/>
      <w:bookmarkStart w:id="616" w:name="_Toc196294634"/>
      <w:r>
        <w:rPr>
          <w:rFonts w:hint="eastAsia"/>
          <w:highlight w:val="none"/>
        </w:rPr>
        <w:t>退还投标保证金说明</w:t>
      </w:r>
      <w:bookmarkEnd w:id="611"/>
      <w:bookmarkEnd w:id="612"/>
      <w:bookmarkEnd w:id="613"/>
      <w:bookmarkEnd w:id="614"/>
      <w:bookmarkEnd w:id="615"/>
    </w:p>
    <w:p>
      <w:pPr>
        <w:adjustRightInd w:val="0"/>
        <w:snapToGrid w:val="0"/>
        <w:spacing w:before="120" w:beforeLines="50" w:after="120" w:afterLines="50" w:line="360" w:lineRule="auto"/>
        <w:rPr>
          <w:rFonts w:ascii="宋体" w:hAnsi="宋体" w:cs="宋体"/>
          <w:b/>
          <w:sz w:val="24"/>
          <w:highlight w:val="none"/>
        </w:rPr>
      </w:pPr>
      <w:r>
        <w:rPr>
          <w:rFonts w:hint="eastAsia" w:ascii="宋体" w:hAnsi="宋体" w:cs="宋体"/>
          <w:b/>
          <w:sz w:val="24"/>
          <w:highlight w:val="none"/>
        </w:rPr>
        <w:t>致：广东有德招标采购有限公司</w:t>
      </w:r>
    </w:p>
    <w:p>
      <w:pPr>
        <w:spacing w:line="360" w:lineRule="auto"/>
        <w:ind w:firstLine="420"/>
        <w:rPr>
          <w:rFonts w:ascii="宋体" w:hAnsi="宋体" w:cs="宋体"/>
          <w:sz w:val="24"/>
          <w:highlight w:val="none"/>
        </w:rPr>
      </w:pPr>
      <w:r>
        <w:rPr>
          <w:rFonts w:hint="eastAsia" w:ascii="宋体" w:hAnsi="宋体" w:cs="宋体"/>
          <w:sz w:val="24"/>
          <w:highlight w:val="none"/>
        </w:rPr>
        <w:t>（投标人全称) 参加贵方组织的</w:t>
      </w:r>
      <w:r>
        <w:rPr>
          <w:rFonts w:hint="eastAsia" w:ascii="宋体" w:hAnsi="宋体" w:cs="宋体"/>
          <w:sz w:val="24"/>
          <w:highlight w:val="none"/>
          <w:u w:val="single"/>
        </w:rPr>
        <w:t>（项目名称）（项目编号为： ）</w:t>
      </w:r>
      <w:r>
        <w:rPr>
          <w:rFonts w:hint="eastAsia" w:ascii="宋体" w:hAnsi="宋体" w:cs="宋体"/>
          <w:sz w:val="24"/>
          <w:highlight w:val="none"/>
        </w:rPr>
        <w:t>的采购活动。按招标文件的规定，已通过（银行转帐、银行汇款、银行保函）形式交纳</w:t>
      </w:r>
      <w:r>
        <w:rPr>
          <w:rFonts w:hint="eastAsia" w:ascii="宋体" w:hAnsi="宋体" w:cs="宋体"/>
          <w:sz w:val="24"/>
          <w:highlight w:val="none"/>
          <w:u w:val="single"/>
        </w:rPr>
        <w:t>（大写）人民币  　　  元</w:t>
      </w:r>
      <w:r>
        <w:rPr>
          <w:rFonts w:hint="eastAsia" w:ascii="宋体" w:hAnsi="宋体" w:cs="宋体"/>
          <w:sz w:val="24"/>
          <w:highlight w:val="none"/>
        </w:rPr>
        <w:t>的投标保证金。请贵公司退还时划到以下账户：</w:t>
      </w:r>
    </w:p>
    <w:tbl>
      <w:tblPr>
        <w:tblStyle w:val="29"/>
        <w:tblW w:w="878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43"/>
        <w:gridCol w:w="66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21" w:hRule="atLeast"/>
          <w:jc w:val="center"/>
        </w:trPr>
        <w:tc>
          <w:tcPr>
            <w:tcW w:w="2143" w:type="dxa"/>
            <w:vAlign w:val="center"/>
          </w:tcPr>
          <w:p>
            <w:pPr>
              <w:rPr>
                <w:rFonts w:ascii="宋体" w:hAnsi="宋体" w:cs="宋体"/>
                <w:sz w:val="24"/>
                <w:highlight w:val="none"/>
              </w:rPr>
            </w:pPr>
            <w:r>
              <w:rPr>
                <w:rFonts w:hint="eastAsia" w:ascii="宋体" w:hAnsi="宋体" w:cs="宋体"/>
                <w:sz w:val="24"/>
                <w:highlight w:val="none"/>
              </w:rPr>
              <w:t xml:space="preserve">收款单位（全称） </w:t>
            </w:r>
          </w:p>
        </w:tc>
        <w:tc>
          <w:tcPr>
            <w:tcW w:w="6638" w:type="dxa"/>
            <w:vAlign w:val="center"/>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5" w:hRule="atLeast"/>
          <w:jc w:val="center"/>
        </w:trPr>
        <w:tc>
          <w:tcPr>
            <w:tcW w:w="2143" w:type="dxa"/>
            <w:vAlign w:val="center"/>
          </w:tcPr>
          <w:p>
            <w:pPr>
              <w:rPr>
                <w:rFonts w:ascii="宋体" w:hAnsi="宋体" w:cs="宋体"/>
                <w:sz w:val="24"/>
                <w:highlight w:val="none"/>
              </w:rPr>
            </w:pPr>
            <w:r>
              <w:rPr>
                <w:rFonts w:hint="eastAsia" w:ascii="宋体" w:hAnsi="宋体" w:cs="宋体"/>
                <w:sz w:val="24"/>
                <w:highlight w:val="none"/>
              </w:rPr>
              <w:t>开户银行（全称）</w:t>
            </w:r>
          </w:p>
        </w:tc>
        <w:tc>
          <w:tcPr>
            <w:tcW w:w="6638" w:type="dxa"/>
            <w:vAlign w:val="center"/>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vAlign w:val="center"/>
          </w:tcPr>
          <w:p>
            <w:pPr>
              <w:rPr>
                <w:rFonts w:ascii="宋体" w:hAnsi="宋体" w:cs="宋体"/>
                <w:sz w:val="24"/>
                <w:highlight w:val="none"/>
              </w:rPr>
            </w:pPr>
            <w:r>
              <w:rPr>
                <w:rFonts w:hint="eastAsia" w:ascii="宋体" w:hAnsi="宋体" w:cs="宋体"/>
                <w:sz w:val="24"/>
                <w:highlight w:val="none"/>
              </w:rPr>
              <w:t>开户银行帐号</w:t>
            </w:r>
          </w:p>
        </w:tc>
        <w:tc>
          <w:tcPr>
            <w:tcW w:w="6638" w:type="dxa"/>
            <w:vAlign w:val="center"/>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vAlign w:val="center"/>
          </w:tcPr>
          <w:p>
            <w:pPr>
              <w:rPr>
                <w:rFonts w:ascii="宋体" w:hAnsi="宋体" w:cs="宋体"/>
                <w:sz w:val="24"/>
                <w:highlight w:val="none"/>
              </w:rPr>
            </w:pPr>
            <w:r>
              <w:rPr>
                <w:rFonts w:hint="eastAsia" w:ascii="宋体" w:hAnsi="宋体" w:cs="宋体"/>
                <w:sz w:val="24"/>
                <w:highlight w:val="none"/>
              </w:rPr>
              <w:t>联系人</w:t>
            </w:r>
          </w:p>
        </w:tc>
        <w:tc>
          <w:tcPr>
            <w:tcW w:w="6638" w:type="dxa"/>
            <w:vAlign w:val="center"/>
          </w:tcPr>
          <w:p>
            <w:pP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6" w:hRule="atLeast"/>
          <w:jc w:val="center"/>
        </w:trPr>
        <w:tc>
          <w:tcPr>
            <w:tcW w:w="2143" w:type="dxa"/>
            <w:vAlign w:val="center"/>
          </w:tcPr>
          <w:p>
            <w:pPr>
              <w:rPr>
                <w:rFonts w:ascii="宋体" w:hAnsi="宋体" w:cs="宋体"/>
                <w:sz w:val="24"/>
                <w:highlight w:val="none"/>
              </w:rPr>
            </w:pPr>
            <w:r>
              <w:rPr>
                <w:rFonts w:hint="eastAsia" w:ascii="宋体" w:hAnsi="宋体" w:cs="宋体"/>
                <w:sz w:val="24"/>
                <w:highlight w:val="none"/>
              </w:rPr>
              <w:t>联系电话（手机）</w:t>
            </w:r>
          </w:p>
        </w:tc>
        <w:tc>
          <w:tcPr>
            <w:tcW w:w="6638" w:type="dxa"/>
            <w:vAlign w:val="center"/>
          </w:tcPr>
          <w:p>
            <w:pPr>
              <w:rPr>
                <w:rFonts w:ascii="宋体" w:hAnsi="宋体" w:cs="宋体"/>
                <w:sz w:val="24"/>
                <w:highlight w:val="none"/>
              </w:rPr>
            </w:pPr>
          </w:p>
        </w:tc>
      </w:tr>
    </w:tbl>
    <w:p>
      <w:pPr>
        <w:snapToGrid w:val="0"/>
        <w:spacing w:line="360" w:lineRule="auto"/>
        <w:ind w:firstLine="470" w:firstLineChars="196"/>
        <w:rPr>
          <w:rFonts w:ascii="宋体" w:hAnsi="宋体" w:cs="宋体"/>
          <w:sz w:val="24"/>
          <w:highlight w:val="none"/>
        </w:rPr>
      </w:pPr>
    </w:p>
    <w:p>
      <w:pPr>
        <w:adjustRightInd w:val="0"/>
        <w:snapToGrid w:val="0"/>
        <w:spacing w:before="72" w:after="72" w:line="480" w:lineRule="auto"/>
        <w:ind w:firstLine="3578" w:firstLineChars="1491"/>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pStyle w:val="4"/>
        <w:numPr>
          <w:ilvl w:val="0"/>
          <w:numId w:val="150"/>
        </w:numPr>
        <w:spacing w:before="0" w:after="0" w:line="360" w:lineRule="auto"/>
        <w:jc w:val="center"/>
        <w:rPr>
          <w:highlight w:val="none"/>
        </w:rPr>
      </w:pPr>
      <w:bookmarkStart w:id="617" w:name="_Toc22209"/>
      <w:bookmarkStart w:id="618" w:name="_Toc21382"/>
      <w:r>
        <w:rPr>
          <w:rFonts w:hint="eastAsia"/>
          <w:highlight w:val="none"/>
        </w:rPr>
        <w:t>投标保证金凭证</w:t>
      </w:r>
      <w:bookmarkEnd w:id="617"/>
      <w:bookmarkEnd w:id="618"/>
    </w:p>
    <w:p>
      <w:pPr>
        <w:snapToGrid w:val="0"/>
        <w:spacing w:line="360" w:lineRule="auto"/>
        <w:ind w:firstLine="470" w:firstLineChars="196"/>
        <w:rPr>
          <w:rFonts w:ascii="宋体" w:hAnsi="宋体" w:cs="宋体"/>
          <w:sz w:val="24"/>
          <w:highlight w:val="none"/>
        </w:rPr>
      </w:pPr>
      <w:r>
        <w:rPr>
          <w:rFonts w:hint="eastAsia" w:ascii="宋体" w:hAnsi="宋体" w:cs="宋体"/>
          <w:sz w:val="24"/>
          <w:highlight w:val="none"/>
        </w:rPr>
        <w:t>说明：附投标保证金交纳凭证。</w:t>
      </w:r>
    </w:p>
    <w:p>
      <w:pPr>
        <w:snapToGrid w:val="0"/>
        <w:spacing w:line="360" w:lineRule="auto"/>
        <w:ind w:firstLine="470" w:firstLineChars="196"/>
        <w:rPr>
          <w:rFonts w:ascii="宋体" w:hAnsi="宋体" w:cs="宋体"/>
          <w:sz w:val="24"/>
          <w:highlight w:val="none"/>
        </w:rPr>
      </w:pPr>
    </w:p>
    <w:p>
      <w:pPr>
        <w:pStyle w:val="4"/>
        <w:numPr>
          <w:ilvl w:val="0"/>
          <w:numId w:val="150"/>
        </w:numPr>
        <w:spacing w:before="0" w:after="0" w:line="360" w:lineRule="auto"/>
        <w:jc w:val="center"/>
        <w:rPr>
          <w:highlight w:val="none"/>
        </w:rPr>
      </w:pPr>
      <w:bookmarkStart w:id="619" w:name="_Toc381489434"/>
      <w:bookmarkStart w:id="620" w:name="_Toc4056"/>
      <w:bookmarkStart w:id="621" w:name="_Toc434"/>
      <w:bookmarkStart w:id="622" w:name="_Toc1217"/>
      <w:bookmarkStart w:id="623" w:name="_Toc423021969"/>
      <w:r>
        <w:rPr>
          <w:rFonts w:hint="eastAsia"/>
          <w:highlight w:val="none"/>
        </w:rPr>
        <w:t>政府采购投标担保函</w:t>
      </w:r>
      <w:bookmarkEnd w:id="619"/>
      <w:bookmarkEnd w:id="620"/>
      <w:bookmarkEnd w:id="621"/>
      <w:bookmarkEnd w:id="622"/>
      <w:bookmarkEnd w:id="623"/>
    </w:p>
    <w:p>
      <w:pPr>
        <w:spacing w:before="72" w:after="72" w:line="360" w:lineRule="auto"/>
        <w:ind w:right="84" w:rightChars="40"/>
        <w:jc w:val="center"/>
        <w:rPr>
          <w:rFonts w:ascii="宋体" w:hAnsi="宋体"/>
          <w:sz w:val="24"/>
          <w:highlight w:val="none"/>
        </w:rPr>
      </w:pPr>
      <w:r>
        <w:rPr>
          <w:rFonts w:hint="eastAsia" w:ascii="宋体" w:hAnsi="宋体"/>
          <w:b/>
          <w:bCs/>
          <w:sz w:val="24"/>
          <w:highlight w:val="none"/>
        </w:rPr>
        <w:t>（若用银行转账、电汇等方式交纳投标保证金，可不递交该投标担保函）</w:t>
      </w:r>
    </w:p>
    <w:p>
      <w:pPr>
        <w:spacing w:before="72" w:after="72" w:line="360" w:lineRule="auto"/>
        <w:rPr>
          <w:rFonts w:ascii="仿宋_GB2312" w:hAnsi="宋体" w:eastAsia="仿宋_GB2312"/>
          <w:sz w:val="24"/>
          <w:highlight w:val="none"/>
        </w:rPr>
      </w:pPr>
    </w:p>
    <w:p>
      <w:pPr>
        <w:spacing w:before="72" w:after="72" w:line="360" w:lineRule="auto"/>
        <w:rPr>
          <w:rFonts w:ascii="宋体" w:hAnsi="宋体" w:cs="宋体"/>
          <w:b/>
          <w:bCs/>
          <w:sz w:val="24"/>
          <w:highlight w:val="none"/>
        </w:rPr>
      </w:pPr>
      <w:r>
        <w:rPr>
          <w:rFonts w:hint="eastAsia" w:ascii="宋体" w:hAnsi="宋体" w:cs="宋体"/>
          <w:b/>
          <w:bCs/>
          <w:sz w:val="24"/>
          <w:highlight w:val="none"/>
        </w:rPr>
        <w:t>致：广东有德招标采购有限公司</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鉴于</w:t>
      </w:r>
      <w:r>
        <w:rPr>
          <w:rFonts w:hint="eastAsia" w:ascii="宋体" w:hAnsi="宋体" w:cs="宋体"/>
          <w:sz w:val="24"/>
          <w:highlight w:val="none"/>
          <w:u w:val="single"/>
        </w:rPr>
        <w:t xml:space="preserve">               </w:t>
      </w:r>
      <w:r>
        <w:rPr>
          <w:rFonts w:hint="eastAsia" w:ascii="宋体" w:hAnsi="宋体" w:cs="宋体"/>
          <w:sz w:val="24"/>
          <w:highlight w:val="none"/>
        </w:rPr>
        <w:t>（以下简称“投标人”）拟参加“</w:t>
      </w:r>
      <w:r>
        <w:rPr>
          <w:rFonts w:hint="eastAsia" w:ascii="宋体" w:hAnsi="宋体" w:cs="宋体"/>
          <w:i/>
          <w:sz w:val="24"/>
          <w:highlight w:val="none"/>
          <w:u w:val="single"/>
        </w:rPr>
        <w:t>（项目名称）</w:t>
      </w:r>
      <w:r>
        <w:rPr>
          <w:rFonts w:hint="eastAsia" w:ascii="宋体" w:hAnsi="宋体" w:cs="宋体"/>
          <w:sz w:val="24"/>
          <w:highlight w:val="none"/>
        </w:rPr>
        <w:t xml:space="preserve">”项目编号： </w:t>
      </w:r>
      <w:r>
        <w:rPr>
          <w:rFonts w:hint="eastAsia" w:ascii="宋体" w:hAnsi="宋体" w:cs="宋体"/>
          <w:sz w:val="24"/>
          <w:highlight w:val="none"/>
          <w:u w:val="single"/>
        </w:rPr>
        <w:t xml:space="preserve">    （包组号：）</w:t>
      </w:r>
      <w:r>
        <w:rPr>
          <w:rFonts w:hint="eastAsia" w:ascii="宋体" w:hAnsi="宋体" w:cs="宋体"/>
          <w:sz w:val="24"/>
          <w:highlight w:val="none"/>
        </w:rPr>
        <w:t>（以下简称“本项目”）的投标，根据本项目招标文件，投标人参加投标时应向你方交纳投标保证金，且可以投标担保函的形式交纳投标保证金。应投标人的申请，我方以保证的方式向你方提供如下投标保证金担保：</w:t>
      </w:r>
    </w:p>
    <w:p>
      <w:pPr>
        <w:numPr>
          <w:ilvl w:val="0"/>
          <w:numId w:val="157"/>
        </w:numPr>
        <w:spacing w:before="72" w:after="72" w:line="360" w:lineRule="auto"/>
        <w:rPr>
          <w:rFonts w:ascii="宋体" w:hAnsi="宋体" w:cs="宋体"/>
          <w:b/>
          <w:bCs/>
          <w:sz w:val="24"/>
          <w:highlight w:val="none"/>
        </w:rPr>
      </w:pPr>
      <w:r>
        <w:rPr>
          <w:rFonts w:hint="eastAsia" w:ascii="宋体" w:hAnsi="宋体" w:cs="宋体"/>
          <w:b/>
          <w:bCs/>
          <w:sz w:val="24"/>
          <w:highlight w:val="none"/>
        </w:rPr>
        <w:t>保证责任的情形及保证金额</w:t>
      </w:r>
    </w:p>
    <w:p>
      <w:pPr>
        <w:numPr>
          <w:ilvl w:val="0"/>
          <w:numId w:val="158"/>
        </w:numPr>
        <w:spacing w:before="72" w:after="72" w:line="360" w:lineRule="auto"/>
        <w:rPr>
          <w:rFonts w:ascii="宋体" w:hAnsi="宋体" w:cs="宋体"/>
          <w:sz w:val="24"/>
          <w:highlight w:val="none"/>
        </w:rPr>
      </w:pPr>
      <w:r>
        <w:rPr>
          <w:rFonts w:hint="eastAsia" w:ascii="宋体" w:hAnsi="宋体" w:cs="宋体"/>
          <w:sz w:val="24"/>
          <w:highlight w:val="none"/>
        </w:rPr>
        <w:t>在投标人出现下列情形之一时，我方承担保证责任：</w:t>
      </w:r>
    </w:p>
    <w:p>
      <w:pPr>
        <w:numPr>
          <w:ilvl w:val="0"/>
          <w:numId w:val="159"/>
        </w:numPr>
        <w:spacing w:before="72" w:after="72" w:line="360" w:lineRule="auto"/>
        <w:ind w:firstLine="567"/>
        <w:rPr>
          <w:rFonts w:ascii="宋体" w:hAnsi="宋体" w:cs="宋体"/>
          <w:sz w:val="24"/>
          <w:highlight w:val="none"/>
        </w:rPr>
      </w:pPr>
      <w:r>
        <w:rPr>
          <w:rFonts w:hint="eastAsia" w:ascii="宋体" w:hAnsi="宋体" w:cs="宋体"/>
          <w:sz w:val="24"/>
          <w:highlight w:val="none"/>
        </w:rPr>
        <w:t>中标后投标人无正当理由不与采购人签订《政府采购合同》；</w:t>
      </w:r>
    </w:p>
    <w:p>
      <w:pPr>
        <w:numPr>
          <w:ilvl w:val="0"/>
          <w:numId w:val="159"/>
        </w:numPr>
        <w:spacing w:before="72" w:after="72" w:line="360" w:lineRule="auto"/>
        <w:ind w:firstLine="567"/>
        <w:rPr>
          <w:rFonts w:ascii="宋体" w:hAnsi="宋体" w:cs="宋体"/>
          <w:sz w:val="24"/>
          <w:highlight w:val="none"/>
        </w:rPr>
      </w:pPr>
      <w:r>
        <w:rPr>
          <w:rFonts w:hint="eastAsia" w:ascii="宋体" w:hAnsi="宋体" w:cs="宋体"/>
          <w:sz w:val="24"/>
          <w:highlight w:val="none"/>
        </w:rPr>
        <w:t>招标文件规定的投标人应当交纳保证金的其他情形。</w:t>
      </w:r>
    </w:p>
    <w:p>
      <w:pPr>
        <w:numPr>
          <w:ilvl w:val="0"/>
          <w:numId w:val="158"/>
        </w:numPr>
        <w:spacing w:before="72" w:after="72" w:line="360" w:lineRule="auto"/>
        <w:rPr>
          <w:rFonts w:ascii="宋体" w:hAnsi="宋体" w:cs="宋体"/>
          <w:sz w:val="24"/>
          <w:highlight w:val="none"/>
        </w:rPr>
      </w:pPr>
      <w:r>
        <w:rPr>
          <w:rFonts w:hint="eastAsia" w:ascii="宋体" w:hAnsi="宋体" w:cs="宋体"/>
          <w:sz w:val="24"/>
          <w:highlight w:val="none"/>
        </w:rPr>
        <w:t>我方承担保证责任的最高金额为人民币</w:t>
      </w:r>
      <w:r>
        <w:rPr>
          <w:rFonts w:hint="eastAsia" w:ascii="宋体" w:hAnsi="宋体" w:cs="宋体"/>
          <w:sz w:val="24"/>
          <w:highlight w:val="none"/>
          <w:u w:val="single"/>
        </w:rPr>
        <w:t xml:space="preserve">     </w:t>
      </w:r>
      <w:r>
        <w:rPr>
          <w:rFonts w:hint="eastAsia" w:ascii="宋体" w:hAnsi="宋体" w:cs="宋体"/>
          <w:sz w:val="24"/>
          <w:highlight w:val="none"/>
        </w:rPr>
        <w:t>元（大写</w:t>
      </w:r>
      <w:r>
        <w:rPr>
          <w:rFonts w:hint="eastAsia" w:ascii="宋体" w:hAnsi="宋体" w:cs="宋体"/>
          <w:sz w:val="24"/>
          <w:highlight w:val="none"/>
          <w:u w:val="single"/>
        </w:rPr>
        <w:t xml:space="preserve">            </w:t>
      </w:r>
      <w:r>
        <w:rPr>
          <w:rFonts w:hint="eastAsia" w:ascii="宋体" w:hAnsi="宋体" w:cs="宋体"/>
          <w:sz w:val="24"/>
          <w:highlight w:val="none"/>
        </w:rPr>
        <w:t>），即本项目的投标保证金金额。</w:t>
      </w:r>
    </w:p>
    <w:p>
      <w:pPr>
        <w:numPr>
          <w:ilvl w:val="0"/>
          <w:numId w:val="157"/>
        </w:numPr>
        <w:spacing w:before="72" w:after="72" w:line="360" w:lineRule="auto"/>
        <w:rPr>
          <w:rFonts w:ascii="宋体" w:hAnsi="宋体" w:cs="宋体"/>
          <w:b/>
          <w:bCs/>
          <w:sz w:val="24"/>
          <w:highlight w:val="none"/>
        </w:rPr>
      </w:pPr>
      <w:r>
        <w:rPr>
          <w:rFonts w:hint="eastAsia" w:ascii="宋体" w:hAnsi="宋体" w:cs="宋体"/>
          <w:b/>
          <w:bCs/>
          <w:sz w:val="24"/>
          <w:highlight w:val="none"/>
        </w:rPr>
        <w:t>保证的方式及保证期间</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我方保证的方式为：连带责任保证。</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我方的保证期间为：自本保函生效之日起</w:t>
      </w:r>
      <w:r>
        <w:rPr>
          <w:rFonts w:hint="eastAsia" w:ascii="宋体" w:hAnsi="宋体" w:cs="宋体"/>
          <w:sz w:val="24"/>
          <w:highlight w:val="none"/>
          <w:u w:val="single"/>
        </w:rPr>
        <w:t xml:space="preserve">    </w:t>
      </w:r>
      <w:r>
        <w:rPr>
          <w:rFonts w:hint="eastAsia" w:ascii="宋体" w:hAnsi="宋体" w:cs="宋体"/>
          <w:sz w:val="24"/>
          <w:highlight w:val="none"/>
        </w:rPr>
        <w:t>个月止。（必须包含本项目招标文件中规定的投标截止日起的投标有效期，即不得少于90天）</w:t>
      </w:r>
    </w:p>
    <w:p>
      <w:pPr>
        <w:numPr>
          <w:ilvl w:val="0"/>
          <w:numId w:val="157"/>
        </w:numPr>
        <w:spacing w:before="72" w:after="72" w:line="360" w:lineRule="auto"/>
        <w:rPr>
          <w:rFonts w:ascii="宋体" w:hAnsi="宋体" w:cs="宋体"/>
          <w:b/>
          <w:bCs/>
          <w:sz w:val="24"/>
          <w:highlight w:val="none"/>
        </w:rPr>
      </w:pPr>
      <w:r>
        <w:rPr>
          <w:rFonts w:hint="eastAsia" w:ascii="宋体" w:hAnsi="宋体" w:cs="宋体"/>
          <w:b/>
          <w:bCs/>
          <w:sz w:val="24"/>
          <w:highlight w:val="none"/>
        </w:rPr>
        <w:t>承担保证责任的程序</w:t>
      </w:r>
    </w:p>
    <w:p>
      <w:pPr>
        <w:numPr>
          <w:ilvl w:val="0"/>
          <w:numId w:val="160"/>
        </w:numPr>
        <w:spacing w:before="72" w:after="72" w:line="360" w:lineRule="auto"/>
        <w:ind w:firstLine="567"/>
        <w:rPr>
          <w:rFonts w:ascii="宋体" w:hAnsi="宋体" w:cs="宋体"/>
          <w:sz w:val="24"/>
          <w:highlight w:val="none"/>
        </w:rPr>
      </w:pPr>
      <w:r>
        <w:rPr>
          <w:rFonts w:hint="eastAsia" w:ascii="宋体" w:hAnsi="宋体" w:cs="宋体"/>
          <w:sz w:val="24"/>
          <w:highlight w:val="none"/>
        </w:rPr>
        <w:t>你方要求我方承担保证责任的，应在本保函保证期间内向我方发出书面索赔通知。索赔通知应写明要求索赔的金额，支付款项应到达的账号，并附有证明投标人发生我方应承担保证责任情形的事实材料。</w:t>
      </w:r>
    </w:p>
    <w:p>
      <w:pPr>
        <w:numPr>
          <w:ilvl w:val="0"/>
          <w:numId w:val="160"/>
        </w:numPr>
        <w:spacing w:before="72" w:after="72" w:line="360" w:lineRule="auto"/>
        <w:ind w:firstLine="567"/>
        <w:rPr>
          <w:rFonts w:ascii="宋体" w:hAnsi="宋体" w:cs="宋体"/>
          <w:sz w:val="24"/>
          <w:highlight w:val="none"/>
        </w:rPr>
      </w:pPr>
      <w:r>
        <w:rPr>
          <w:rFonts w:hint="eastAsia" w:ascii="宋体" w:hAnsi="宋体" w:cs="宋体"/>
          <w:sz w:val="24"/>
          <w:highlight w:val="none"/>
        </w:rPr>
        <w:t>我方在收到索赔通知及相关证明材料后，在</w:t>
      </w:r>
      <w:r>
        <w:rPr>
          <w:rFonts w:hint="eastAsia" w:ascii="宋体" w:hAnsi="宋体" w:cs="宋体"/>
          <w:sz w:val="24"/>
          <w:highlight w:val="none"/>
          <w:u w:val="single"/>
        </w:rPr>
        <w:t>　　　</w:t>
      </w:r>
      <w:r>
        <w:rPr>
          <w:rFonts w:hint="eastAsia" w:ascii="宋体" w:hAnsi="宋体" w:cs="宋体"/>
          <w:sz w:val="24"/>
          <w:highlight w:val="none"/>
        </w:rPr>
        <w:t>个工作日内进行审查，符合应承担保证责任情形的，我方应按照你方的要求代投标人向你方支付投标保证金。</w:t>
      </w:r>
    </w:p>
    <w:p>
      <w:pPr>
        <w:numPr>
          <w:ilvl w:val="0"/>
          <w:numId w:val="157"/>
        </w:numPr>
        <w:spacing w:before="72" w:after="72" w:line="360" w:lineRule="auto"/>
        <w:rPr>
          <w:rFonts w:ascii="宋体" w:hAnsi="宋体" w:cs="宋体"/>
          <w:b/>
          <w:bCs/>
          <w:sz w:val="24"/>
          <w:highlight w:val="none"/>
        </w:rPr>
      </w:pPr>
      <w:r>
        <w:rPr>
          <w:rFonts w:hint="eastAsia" w:ascii="宋体" w:hAnsi="宋体" w:cs="宋体"/>
          <w:b/>
          <w:bCs/>
          <w:sz w:val="24"/>
          <w:highlight w:val="none"/>
        </w:rPr>
        <w:t>保证责任的终止</w:t>
      </w:r>
    </w:p>
    <w:p>
      <w:pPr>
        <w:numPr>
          <w:ilvl w:val="0"/>
          <w:numId w:val="161"/>
        </w:numPr>
        <w:spacing w:before="72" w:after="72" w:line="360" w:lineRule="auto"/>
        <w:ind w:firstLine="567"/>
        <w:rPr>
          <w:rFonts w:ascii="宋体" w:hAnsi="宋体" w:cs="宋体"/>
          <w:sz w:val="24"/>
          <w:highlight w:val="none"/>
        </w:rPr>
      </w:pPr>
      <w:r>
        <w:rPr>
          <w:rFonts w:hint="eastAsia" w:ascii="宋体" w:hAnsi="宋体" w:cs="宋体"/>
          <w:sz w:val="24"/>
          <w:highlight w:val="none"/>
        </w:rPr>
        <w:t>保证期间届满你方未向我方书面主张保证责任的，自保证期间届满次日起，我方保证责任自动终止。</w:t>
      </w:r>
    </w:p>
    <w:p>
      <w:pPr>
        <w:numPr>
          <w:ilvl w:val="0"/>
          <w:numId w:val="161"/>
        </w:numPr>
        <w:spacing w:before="72" w:after="72" w:line="360" w:lineRule="auto"/>
        <w:ind w:firstLine="567"/>
        <w:rPr>
          <w:rFonts w:ascii="宋体" w:hAnsi="宋体" w:cs="宋体"/>
          <w:sz w:val="24"/>
          <w:highlight w:val="none"/>
        </w:rPr>
      </w:pPr>
      <w:r>
        <w:rPr>
          <w:rFonts w:hint="eastAsia" w:ascii="宋体" w:hAnsi="宋体" w:cs="宋体"/>
          <w:sz w:val="24"/>
          <w:highlight w:val="none"/>
        </w:rPr>
        <w:t>我方按照本保函向你方履行了保证责任后，自我方向你方支付款项（支付款项从我方账户划出）之日起，保证责任终止。</w:t>
      </w:r>
    </w:p>
    <w:p>
      <w:pPr>
        <w:numPr>
          <w:ilvl w:val="0"/>
          <w:numId w:val="161"/>
        </w:numPr>
        <w:spacing w:before="72" w:after="72" w:line="360" w:lineRule="auto"/>
        <w:ind w:firstLine="567"/>
        <w:rPr>
          <w:rFonts w:ascii="宋体" w:hAnsi="宋体" w:cs="宋体"/>
          <w:sz w:val="24"/>
          <w:highlight w:val="none"/>
        </w:rPr>
      </w:pPr>
      <w:r>
        <w:rPr>
          <w:rFonts w:hint="eastAsia" w:ascii="宋体" w:hAnsi="宋体" w:cs="宋体"/>
          <w:sz w:val="24"/>
          <w:highlight w:val="none"/>
        </w:rPr>
        <w:t>按照法律法规的规定或出现我方保证责任终止的其它情形的，我方在本保函项下的保证责任亦终止。</w:t>
      </w:r>
    </w:p>
    <w:p>
      <w:pPr>
        <w:numPr>
          <w:ilvl w:val="0"/>
          <w:numId w:val="157"/>
        </w:numPr>
        <w:spacing w:before="72" w:after="72" w:line="360" w:lineRule="auto"/>
        <w:rPr>
          <w:rFonts w:ascii="宋体" w:hAnsi="宋体" w:cs="宋体"/>
          <w:b/>
          <w:bCs/>
          <w:sz w:val="24"/>
          <w:highlight w:val="none"/>
        </w:rPr>
      </w:pPr>
      <w:r>
        <w:rPr>
          <w:rFonts w:hint="eastAsia" w:ascii="宋体" w:hAnsi="宋体" w:cs="宋体"/>
          <w:b/>
          <w:bCs/>
          <w:sz w:val="24"/>
          <w:highlight w:val="none"/>
        </w:rPr>
        <w:t>免责条款</w:t>
      </w:r>
    </w:p>
    <w:p>
      <w:pPr>
        <w:numPr>
          <w:ilvl w:val="0"/>
          <w:numId w:val="162"/>
        </w:numPr>
        <w:spacing w:before="72" w:after="72" w:line="360" w:lineRule="auto"/>
        <w:ind w:firstLine="567"/>
        <w:rPr>
          <w:rFonts w:ascii="宋体" w:hAnsi="宋体" w:cs="宋体"/>
          <w:sz w:val="24"/>
          <w:highlight w:val="none"/>
        </w:rPr>
      </w:pPr>
      <w:r>
        <w:rPr>
          <w:rFonts w:hint="eastAsia" w:ascii="宋体" w:hAnsi="宋体" w:cs="宋体"/>
          <w:sz w:val="24"/>
          <w:highlight w:val="none"/>
        </w:rPr>
        <w:t>依照法律规定或你方与投标人的另行约定，全部或者部分免除投标人投标保证金义务时，我方亦免除相应的保证责任。</w:t>
      </w:r>
    </w:p>
    <w:p>
      <w:pPr>
        <w:numPr>
          <w:ilvl w:val="0"/>
          <w:numId w:val="162"/>
        </w:numPr>
        <w:spacing w:before="72" w:after="72" w:line="360" w:lineRule="auto"/>
        <w:ind w:firstLine="567"/>
        <w:rPr>
          <w:rFonts w:ascii="宋体" w:hAnsi="宋体" w:cs="宋体"/>
          <w:sz w:val="24"/>
          <w:highlight w:val="none"/>
        </w:rPr>
      </w:pPr>
      <w:r>
        <w:rPr>
          <w:rFonts w:hint="eastAsia" w:ascii="宋体" w:hAnsi="宋体" w:cs="宋体"/>
          <w:sz w:val="24"/>
          <w:highlight w:val="none"/>
        </w:rPr>
        <w:t>因你方原因致使投标人发生本保函第一条第（一）款约定情形的，我方不承担保证责任。</w:t>
      </w:r>
    </w:p>
    <w:p>
      <w:pPr>
        <w:numPr>
          <w:ilvl w:val="0"/>
          <w:numId w:val="162"/>
        </w:numPr>
        <w:spacing w:before="72" w:after="72" w:line="360" w:lineRule="auto"/>
        <w:ind w:firstLine="567"/>
        <w:rPr>
          <w:rFonts w:ascii="宋体" w:hAnsi="宋体" w:cs="宋体"/>
          <w:sz w:val="24"/>
          <w:highlight w:val="none"/>
        </w:rPr>
      </w:pPr>
      <w:r>
        <w:rPr>
          <w:rFonts w:hint="eastAsia" w:ascii="宋体" w:hAnsi="宋体" w:cs="宋体"/>
          <w:sz w:val="24"/>
          <w:highlight w:val="none"/>
        </w:rPr>
        <w:t>因不可抗力造成投标人发生本保函第一条约定情形的，我方不承担保证责任。</w:t>
      </w:r>
    </w:p>
    <w:p>
      <w:pPr>
        <w:numPr>
          <w:ilvl w:val="0"/>
          <w:numId w:val="162"/>
        </w:numPr>
        <w:spacing w:before="72" w:after="72" w:line="360" w:lineRule="auto"/>
        <w:ind w:firstLine="567"/>
        <w:rPr>
          <w:rFonts w:ascii="宋体" w:hAnsi="宋体" w:cs="宋体"/>
          <w:sz w:val="24"/>
          <w:highlight w:val="none"/>
        </w:rPr>
      </w:pPr>
      <w:r>
        <w:rPr>
          <w:rFonts w:hint="eastAsia" w:ascii="宋体" w:hAnsi="宋体" w:cs="宋体"/>
          <w:sz w:val="24"/>
          <w:highlight w:val="none"/>
        </w:rPr>
        <w:t>你方或其他有权机关对招标文件进行任何澄清或修改，加重我方保证责任的，我方对加重部分不承担保证责任，但该澄清或修改经我方事先书面同意的除外。</w:t>
      </w:r>
    </w:p>
    <w:p>
      <w:pPr>
        <w:numPr>
          <w:ilvl w:val="0"/>
          <w:numId w:val="157"/>
        </w:numPr>
        <w:spacing w:before="72" w:after="72" w:line="360" w:lineRule="auto"/>
        <w:rPr>
          <w:rFonts w:ascii="宋体" w:hAnsi="宋体" w:cs="宋体"/>
          <w:b/>
          <w:bCs/>
          <w:sz w:val="24"/>
          <w:highlight w:val="none"/>
        </w:rPr>
      </w:pPr>
      <w:r>
        <w:rPr>
          <w:rFonts w:hint="eastAsia" w:ascii="宋体" w:hAnsi="宋体" w:cs="宋体"/>
          <w:b/>
          <w:bCs/>
          <w:sz w:val="24"/>
          <w:highlight w:val="none"/>
        </w:rPr>
        <w:t>争议的解决</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因本保函发生的纠纷，由你我双方协商解决，协商不成的，通过诉讼程序解决，诉讼管辖地法院为</w:t>
      </w:r>
      <w:r>
        <w:rPr>
          <w:rFonts w:hint="eastAsia" w:ascii="宋体" w:hAnsi="宋体" w:cs="宋体"/>
          <w:sz w:val="24"/>
          <w:highlight w:val="none"/>
          <w:u w:val="single"/>
        </w:rPr>
        <w:t xml:space="preserve">          </w:t>
      </w:r>
      <w:r>
        <w:rPr>
          <w:rFonts w:hint="eastAsia" w:ascii="宋体" w:hAnsi="宋体" w:cs="宋体"/>
          <w:sz w:val="24"/>
          <w:highlight w:val="none"/>
        </w:rPr>
        <w:t>法院。</w:t>
      </w:r>
    </w:p>
    <w:p>
      <w:pPr>
        <w:numPr>
          <w:ilvl w:val="0"/>
          <w:numId w:val="157"/>
        </w:numPr>
        <w:spacing w:before="72" w:after="72" w:line="360" w:lineRule="auto"/>
        <w:rPr>
          <w:rFonts w:ascii="宋体" w:hAnsi="宋体" w:cs="宋体"/>
          <w:b/>
          <w:bCs/>
          <w:sz w:val="24"/>
          <w:highlight w:val="none"/>
        </w:rPr>
      </w:pPr>
      <w:r>
        <w:rPr>
          <w:rFonts w:hint="eastAsia" w:ascii="宋体" w:hAnsi="宋体" w:cs="宋体"/>
          <w:b/>
          <w:bCs/>
          <w:sz w:val="24"/>
          <w:highlight w:val="none"/>
        </w:rPr>
        <w:t>保函的生效</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本保函自我方加盖公章之日起生效。</w:t>
      </w:r>
    </w:p>
    <w:p>
      <w:pPr>
        <w:spacing w:before="72" w:after="72" w:line="360" w:lineRule="auto"/>
        <w:ind w:firstLine="4680" w:firstLineChars="1950"/>
        <w:rPr>
          <w:rFonts w:ascii="宋体" w:hAnsi="宋体" w:cs="宋体"/>
          <w:sz w:val="24"/>
          <w:highlight w:val="none"/>
        </w:rPr>
      </w:pPr>
      <w:r>
        <w:rPr>
          <w:rFonts w:hint="eastAsia" w:ascii="宋体" w:hAnsi="宋体" w:cs="宋体"/>
          <w:sz w:val="24"/>
          <w:highlight w:val="none"/>
        </w:rPr>
        <w:t xml:space="preserve">保证人：（公章） </w:t>
      </w:r>
    </w:p>
    <w:p>
      <w:pPr>
        <w:spacing w:before="72" w:after="72"/>
        <w:ind w:firstLine="4680" w:firstLineChars="1950"/>
        <w:rPr>
          <w:rFonts w:ascii="宋体" w:hAnsi="宋体" w:cs="宋体"/>
          <w:sz w:val="24"/>
          <w:highlight w:val="none"/>
        </w:rPr>
      </w:pPr>
      <w:r>
        <w:rPr>
          <w:rFonts w:hint="eastAsia" w:ascii="宋体" w:hAnsi="宋体" w:cs="宋体"/>
          <w:sz w:val="24"/>
          <w:highlight w:val="none"/>
        </w:rPr>
        <w:t>日期：  年   月   日</w:t>
      </w:r>
    </w:p>
    <w:p>
      <w:pPr>
        <w:pStyle w:val="4"/>
        <w:numPr>
          <w:ilvl w:val="0"/>
          <w:numId w:val="150"/>
        </w:numPr>
        <w:spacing w:before="0" w:after="0" w:line="360" w:lineRule="auto"/>
        <w:jc w:val="center"/>
        <w:rPr>
          <w:highlight w:val="none"/>
        </w:rPr>
      </w:pPr>
      <w:bookmarkStart w:id="624" w:name="_Toc423021970"/>
      <w:bookmarkStart w:id="625" w:name="_Toc583"/>
      <w:r>
        <w:rPr>
          <w:rFonts w:hint="eastAsia"/>
          <w:highlight w:val="none"/>
        </w:rPr>
        <w:br w:type="page"/>
      </w:r>
      <w:bookmarkStart w:id="626" w:name="_Toc5129"/>
      <w:bookmarkStart w:id="627" w:name="_Toc12421"/>
      <w:r>
        <w:rPr>
          <w:rFonts w:hint="eastAsia"/>
          <w:highlight w:val="none"/>
        </w:rPr>
        <w:t>招标代理服务费支付承诺书</w:t>
      </w:r>
      <w:bookmarkEnd w:id="624"/>
      <w:bookmarkEnd w:id="625"/>
      <w:bookmarkEnd w:id="626"/>
      <w:bookmarkEnd w:id="627"/>
    </w:p>
    <w:p>
      <w:pPr>
        <w:spacing w:before="120" w:beforeLines="50" w:after="120" w:afterLines="50" w:line="360" w:lineRule="auto"/>
        <w:rPr>
          <w:rFonts w:ascii="宋体" w:hAnsi="宋体" w:cs="宋体"/>
          <w:b/>
          <w:bCs/>
          <w:sz w:val="24"/>
          <w:highlight w:val="none"/>
        </w:rPr>
      </w:pPr>
      <w:r>
        <w:rPr>
          <w:rFonts w:hint="eastAsia" w:ascii="宋体" w:hAnsi="宋体" w:cs="宋体"/>
          <w:b/>
          <w:bCs/>
          <w:sz w:val="24"/>
          <w:highlight w:val="none"/>
        </w:rPr>
        <w:t>致：广东有德招标采购有限公司</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本公司</w:t>
      </w:r>
      <w:r>
        <w:rPr>
          <w:rFonts w:hint="eastAsia" w:ascii="宋体" w:hAnsi="宋体" w:cs="宋体"/>
          <w:sz w:val="24"/>
          <w:highlight w:val="none"/>
          <w:u w:val="single"/>
        </w:rPr>
        <w:t xml:space="preserve">     (投标人全称)   </w:t>
      </w:r>
      <w:r>
        <w:rPr>
          <w:rFonts w:hint="eastAsia" w:ascii="宋体" w:hAnsi="宋体" w:cs="宋体"/>
          <w:sz w:val="24"/>
          <w:highlight w:val="none"/>
        </w:rPr>
        <w:t>在参加贵公司举行的</w:t>
      </w:r>
      <w:r>
        <w:rPr>
          <w:rFonts w:hint="eastAsia" w:ascii="宋体" w:hAnsi="宋体" w:cs="宋体"/>
          <w:sz w:val="24"/>
          <w:highlight w:val="none"/>
          <w:u w:val="single"/>
        </w:rPr>
        <w:t>（项目名称）(项目编号： )</w:t>
      </w:r>
      <w:r>
        <w:rPr>
          <w:rFonts w:hint="eastAsia" w:ascii="宋体" w:hAnsi="宋体" w:cs="宋体"/>
          <w:sz w:val="24"/>
          <w:highlight w:val="none"/>
        </w:rPr>
        <w:t>招标中如获中标,保证在收到贵公司发出的中标通知书的同时，向贵公司交纳招标代理服务费。</w:t>
      </w:r>
    </w:p>
    <w:p>
      <w:pPr>
        <w:spacing w:before="72" w:after="72" w:line="360" w:lineRule="auto"/>
        <w:ind w:firstLine="480" w:firstLineChars="200"/>
        <w:rPr>
          <w:rFonts w:ascii="宋体" w:hAnsi="宋体" w:cs="宋体"/>
          <w:sz w:val="24"/>
          <w:highlight w:val="none"/>
        </w:rPr>
      </w:pPr>
      <w:r>
        <w:rPr>
          <w:rFonts w:hint="eastAsia" w:ascii="宋体" w:hAnsi="宋体" w:cs="宋体"/>
          <w:sz w:val="24"/>
          <w:highlight w:val="none"/>
        </w:rPr>
        <w:t>如我公司违反上述承诺，愿意承担由此引起的全部法律责任。</w:t>
      </w:r>
    </w:p>
    <w:p>
      <w:pPr>
        <w:spacing w:before="72" w:after="72" w:line="360" w:lineRule="auto"/>
        <w:ind w:firstLine="544" w:firstLineChars="227"/>
        <w:rPr>
          <w:rFonts w:ascii="宋体" w:hAnsi="宋体" w:cs="宋体"/>
          <w:sz w:val="24"/>
          <w:highlight w:val="none"/>
        </w:rPr>
      </w:pPr>
      <w:r>
        <w:rPr>
          <w:rFonts w:hint="eastAsia" w:ascii="宋体" w:hAnsi="宋体" w:cs="宋体"/>
          <w:sz w:val="24"/>
          <w:highlight w:val="none"/>
        </w:rPr>
        <w:t>特此承诺。</w:t>
      </w:r>
    </w:p>
    <w:p>
      <w:pPr>
        <w:spacing w:before="72" w:after="72" w:line="360" w:lineRule="auto"/>
        <w:ind w:left="315"/>
        <w:rPr>
          <w:rFonts w:ascii="宋体" w:hAnsi="宋体" w:cs="宋体"/>
          <w:sz w:val="24"/>
          <w:highlight w:val="none"/>
        </w:rPr>
      </w:pPr>
    </w:p>
    <w:p>
      <w:pPr>
        <w:spacing w:before="72" w:after="72" w:line="360" w:lineRule="auto"/>
        <w:ind w:left="315"/>
        <w:rPr>
          <w:rFonts w:ascii="宋体" w:hAnsi="宋体" w:cs="宋体"/>
          <w:sz w:val="24"/>
          <w:highlight w:val="none"/>
        </w:rPr>
      </w:pPr>
    </w:p>
    <w:p>
      <w:pPr>
        <w:spacing w:before="72" w:after="72" w:line="360" w:lineRule="auto"/>
        <w:ind w:left="315"/>
        <w:rPr>
          <w:rFonts w:ascii="宋体" w:hAnsi="宋体" w:cs="宋体"/>
          <w:sz w:val="24"/>
          <w:highlight w:val="none"/>
        </w:rPr>
      </w:pPr>
    </w:p>
    <w:p>
      <w:pPr>
        <w:adjustRightInd w:val="0"/>
        <w:snapToGrid w:val="0"/>
        <w:spacing w:before="72" w:after="72" w:line="360" w:lineRule="auto"/>
        <w:ind w:firstLine="3158" w:firstLineChars="1316"/>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3158" w:firstLineChars="1316"/>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3158" w:firstLineChars="1316"/>
        <w:rPr>
          <w:rFonts w:ascii="宋体" w:hAnsi="宋体" w:cs="宋体"/>
          <w:sz w:val="24"/>
          <w:highlight w:val="none"/>
        </w:rPr>
      </w:pPr>
      <w:r>
        <w:rPr>
          <w:rFonts w:hint="eastAsia" w:ascii="宋体" w:hAnsi="宋体" w:cs="宋体"/>
          <w:sz w:val="24"/>
          <w:highlight w:val="none"/>
        </w:rPr>
        <w:t>日期：   年   月   日</w:t>
      </w:r>
    </w:p>
    <w:p>
      <w:pPr>
        <w:spacing w:before="72" w:after="72" w:line="360" w:lineRule="auto"/>
        <w:ind w:firstLine="3578" w:firstLineChars="1491"/>
        <w:rPr>
          <w:rFonts w:ascii="宋体" w:hAnsi="宋体" w:cs="宋体"/>
          <w:sz w:val="24"/>
          <w:highlight w:val="none"/>
        </w:rPr>
      </w:pPr>
    </w:p>
    <w:p>
      <w:pPr>
        <w:spacing w:before="72" w:after="72" w:line="400" w:lineRule="exact"/>
        <w:ind w:firstLine="3578" w:firstLineChars="1491"/>
        <w:rPr>
          <w:rFonts w:ascii="宋体" w:hAnsi="宋体" w:cs="宋体"/>
          <w:sz w:val="24"/>
          <w:highlight w:val="none"/>
        </w:rPr>
      </w:pPr>
    </w:p>
    <w:p>
      <w:pPr>
        <w:spacing w:before="72" w:after="72" w:line="400" w:lineRule="exact"/>
        <w:ind w:firstLine="3578" w:firstLineChars="1491"/>
        <w:rPr>
          <w:rFonts w:ascii="宋体" w:hAnsi="宋体" w:cs="宋体"/>
          <w:sz w:val="24"/>
          <w:highlight w:val="none"/>
        </w:rPr>
      </w:pPr>
    </w:p>
    <w:p>
      <w:pPr>
        <w:spacing w:before="72" w:after="72" w:line="400" w:lineRule="exact"/>
        <w:ind w:firstLine="3578" w:firstLineChars="1491"/>
        <w:rPr>
          <w:rFonts w:ascii="宋体" w:hAnsi="宋体" w:cs="宋体"/>
          <w:sz w:val="24"/>
          <w:highlight w:val="none"/>
        </w:rPr>
      </w:pPr>
    </w:p>
    <w:p>
      <w:pPr>
        <w:spacing w:before="72" w:after="72" w:line="400" w:lineRule="exact"/>
        <w:ind w:firstLine="3578" w:firstLineChars="1491"/>
        <w:rPr>
          <w:rFonts w:ascii="宋体" w:hAnsi="宋体" w:cs="宋体"/>
          <w:sz w:val="24"/>
          <w:highlight w:val="none"/>
        </w:rPr>
      </w:pPr>
    </w:p>
    <w:p>
      <w:pPr>
        <w:spacing w:before="72" w:after="72" w:line="400" w:lineRule="exact"/>
        <w:ind w:firstLine="3578" w:firstLineChars="1491"/>
        <w:rPr>
          <w:rFonts w:ascii="宋体" w:hAnsi="宋体" w:cs="宋体"/>
          <w:sz w:val="24"/>
          <w:highlight w:val="none"/>
        </w:rPr>
      </w:pPr>
    </w:p>
    <w:p>
      <w:pPr>
        <w:spacing w:before="72" w:after="72" w:line="400" w:lineRule="exact"/>
        <w:ind w:firstLine="3578" w:firstLineChars="1491"/>
        <w:rPr>
          <w:rFonts w:ascii="宋体" w:hAnsi="宋体" w:cs="宋体"/>
          <w:sz w:val="24"/>
          <w:highlight w:val="none"/>
        </w:rPr>
      </w:pPr>
    </w:p>
    <w:p>
      <w:pPr>
        <w:autoSpaceDE w:val="0"/>
        <w:autoSpaceDN w:val="0"/>
        <w:spacing w:line="360" w:lineRule="auto"/>
        <w:jc w:val="center"/>
        <w:rPr>
          <w:rFonts w:ascii="仿宋_GB2312" w:hAnsi="仿宋" w:eastAsia="仿宋_GB2312"/>
          <w:b/>
          <w:sz w:val="28"/>
          <w:szCs w:val="28"/>
          <w:highlight w:val="none"/>
        </w:rPr>
        <w:sectPr>
          <w:pgSz w:w="11905" w:h="16838"/>
          <w:pgMar w:top="1803" w:right="1440" w:bottom="1803" w:left="1440" w:header="850" w:footer="822" w:gutter="0"/>
          <w:cols w:space="0" w:num="1"/>
          <w:docGrid w:linePitch="312" w:charSpace="0"/>
        </w:sect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3"/>
        <w:jc w:val="center"/>
        <w:rPr>
          <w:sz w:val="44"/>
          <w:szCs w:val="44"/>
          <w:highlight w:val="none"/>
        </w:rPr>
      </w:pPr>
      <w:bookmarkStart w:id="628" w:name="_Toc25209"/>
      <w:bookmarkStart w:id="629" w:name="_Toc381489435"/>
      <w:bookmarkStart w:id="630" w:name="_Toc7559"/>
      <w:bookmarkStart w:id="631" w:name="_Toc423021961"/>
      <w:bookmarkStart w:id="632" w:name="_Toc20635"/>
      <w:r>
        <w:rPr>
          <w:sz w:val="44"/>
          <w:szCs w:val="44"/>
          <w:highlight w:val="none"/>
        </w:rPr>
        <w:t>第</w:t>
      </w:r>
      <w:r>
        <w:rPr>
          <w:rFonts w:hint="eastAsia"/>
          <w:sz w:val="44"/>
          <w:szCs w:val="44"/>
          <w:highlight w:val="none"/>
        </w:rPr>
        <w:t>三</w:t>
      </w:r>
      <w:r>
        <w:rPr>
          <w:sz w:val="44"/>
          <w:szCs w:val="44"/>
          <w:highlight w:val="none"/>
        </w:rPr>
        <w:t xml:space="preserve">部分 </w:t>
      </w:r>
      <w:r>
        <w:rPr>
          <w:rFonts w:hint="eastAsia"/>
          <w:sz w:val="44"/>
          <w:szCs w:val="44"/>
          <w:highlight w:val="none"/>
        </w:rPr>
        <w:t>商务</w:t>
      </w:r>
      <w:r>
        <w:rPr>
          <w:sz w:val="44"/>
          <w:szCs w:val="44"/>
          <w:highlight w:val="none"/>
        </w:rPr>
        <w:t>文件</w:t>
      </w:r>
      <w:bookmarkEnd w:id="616"/>
      <w:bookmarkEnd w:id="628"/>
      <w:bookmarkEnd w:id="629"/>
      <w:bookmarkEnd w:id="630"/>
      <w:bookmarkEnd w:id="631"/>
      <w:bookmarkEnd w:id="632"/>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rPr>
          <w:highlight w:val="none"/>
        </w:rPr>
      </w:pPr>
    </w:p>
    <w:p>
      <w:pPr>
        <w:pStyle w:val="4"/>
        <w:numPr>
          <w:ilvl w:val="0"/>
          <w:numId w:val="163"/>
        </w:numPr>
        <w:spacing w:before="0" w:after="0" w:line="360" w:lineRule="auto"/>
        <w:jc w:val="center"/>
        <w:rPr>
          <w:highlight w:val="none"/>
        </w:rPr>
      </w:pPr>
      <w:bookmarkStart w:id="633" w:name="_Toc381489436"/>
      <w:bookmarkStart w:id="634" w:name="_Toc423021962"/>
      <w:bookmarkStart w:id="635" w:name="_Toc9533"/>
      <w:bookmarkStart w:id="636" w:name="_Toc4797"/>
      <w:bookmarkStart w:id="637" w:name="_Toc4289"/>
      <w:r>
        <w:rPr>
          <w:rFonts w:hint="eastAsia"/>
          <w:highlight w:val="none"/>
        </w:rPr>
        <w:t>投标人</w:t>
      </w:r>
      <w:bookmarkEnd w:id="633"/>
      <w:bookmarkEnd w:id="634"/>
      <w:bookmarkEnd w:id="635"/>
      <w:r>
        <w:rPr>
          <w:rFonts w:hint="eastAsia"/>
          <w:highlight w:val="none"/>
        </w:rPr>
        <w:t>概况</w:t>
      </w:r>
      <w:bookmarkEnd w:id="636"/>
      <w:bookmarkEnd w:id="637"/>
    </w:p>
    <w:p>
      <w:pPr>
        <w:numPr>
          <w:ilvl w:val="0"/>
          <w:numId w:val="164"/>
        </w:numPr>
        <w:adjustRightInd w:val="0"/>
        <w:snapToGrid w:val="0"/>
        <w:spacing w:line="360" w:lineRule="auto"/>
        <w:jc w:val="center"/>
        <w:rPr>
          <w:rFonts w:ascii="宋体" w:hAnsi="宋体" w:cs="宋体"/>
          <w:b/>
          <w:kern w:val="44"/>
          <w:sz w:val="30"/>
          <w:szCs w:val="30"/>
          <w:highlight w:val="none"/>
        </w:rPr>
      </w:pPr>
      <w:r>
        <w:rPr>
          <w:rFonts w:hint="eastAsia" w:ascii="宋体" w:hAnsi="宋体" w:cs="宋体"/>
          <w:b/>
          <w:kern w:val="44"/>
          <w:sz w:val="30"/>
          <w:szCs w:val="30"/>
          <w:highlight w:val="none"/>
        </w:rPr>
        <w:t>投标人情况介绍表</w:t>
      </w:r>
    </w:p>
    <w:tbl>
      <w:tblPr>
        <w:tblStyle w:val="29"/>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703"/>
        <w:gridCol w:w="1269"/>
        <w:gridCol w:w="2719"/>
        <w:gridCol w:w="809"/>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单位名称</w:t>
            </w:r>
          </w:p>
        </w:tc>
        <w:tc>
          <w:tcPr>
            <w:tcW w:w="4307" w:type="pct"/>
            <w:gridSpan w:val="5"/>
            <w:vAlign w:val="center"/>
          </w:tcPr>
          <w:p>
            <w:pPr>
              <w:tabs>
                <w:tab w:val="left" w:pos="540"/>
              </w:tabs>
              <w:spacing w:line="440" w:lineRule="exact"/>
              <w:ind w:left="-130" w:leftChars="-63" w:right="-105" w:rightChars="-50" w:hanging="2"/>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地址</w:t>
            </w:r>
          </w:p>
        </w:tc>
        <w:tc>
          <w:tcPr>
            <w:tcW w:w="4307" w:type="pct"/>
            <w:gridSpan w:val="5"/>
            <w:vAlign w:val="center"/>
          </w:tcPr>
          <w:p>
            <w:pPr>
              <w:tabs>
                <w:tab w:val="left" w:pos="540"/>
              </w:tabs>
              <w:spacing w:line="440" w:lineRule="exact"/>
              <w:ind w:left="-130" w:leftChars="-63" w:right="-105" w:rightChars="-50" w:hanging="2"/>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主管部门</w:t>
            </w:r>
          </w:p>
        </w:tc>
        <w:tc>
          <w:tcPr>
            <w:tcW w:w="922" w:type="pct"/>
            <w:vAlign w:val="center"/>
          </w:tcPr>
          <w:p>
            <w:pPr>
              <w:tabs>
                <w:tab w:val="left" w:pos="540"/>
              </w:tabs>
              <w:spacing w:line="440" w:lineRule="exact"/>
              <w:ind w:left="-130" w:leftChars="-63" w:right="-105" w:rightChars="-50" w:hanging="2"/>
              <w:jc w:val="center"/>
              <w:rPr>
                <w:rFonts w:ascii="宋体" w:hAnsi="宋体" w:cs="宋体"/>
                <w:sz w:val="24"/>
                <w:highlight w:val="none"/>
              </w:rPr>
            </w:pPr>
          </w:p>
        </w:tc>
        <w:tc>
          <w:tcPr>
            <w:tcW w:w="687"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法人代表</w:t>
            </w:r>
          </w:p>
        </w:tc>
        <w:tc>
          <w:tcPr>
            <w:tcW w:w="1472" w:type="pct"/>
            <w:vAlign w:val="center"/>
          </w:tcPr>
          <w:p>
            <w:pPr>
              <w:tabs>
                <w:tab w:val="left" w:pos="540"/>
              </w:tabs>
              <w:spacing w:line="440" w:lineRule="exact"/>
              <w:ind w:left="-130" w:leftChars="-63" w:right="-105" w:rightChars="-50" w:hanging="2"/>
              <w:jc w:val="center"/>
              <w:rPr>
                <w:rFonts w:ascii="宋体" w:hAnsi="宋体" w:cs="宋体"/>
                <w:sz w:val="24"/>
                <w:highlight w:val="none"/>
              </w:rPr>
            </w:pPr>
          </w:p>
        </w:tc>
        <w:tc>
          <w:tcPr>
            <w:tcW w:w="438"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职务</w:t>
            </w:r>
          </w:p>
        </w:tc>
        <w:tc>
          <w:tcPr>
            <w:tcW w:w="788" w:type="pct"/>
          </w:tcPr>
          <w:p>
            <w:pPr>
              <w:tabs>
                <w:tab w:val="left" w:pos="540"/>
              </w:tabs>
              <w:spacing w:line="440" w:lineRule="exact"/>
              <w:ind w:left="-130" w:leftChars="-63" w:right="-105" w:rightChars="-50" w:hanging="2"/>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经济类型</w:t>
            </w:r>
          </w:p>
        </w:tc>
        <w:tc>
          <w:tcPr>
            <w:tcW w:w="922" w:type="pct"/>
            <w:vAlign w:val="center"/>
          </w:tcPr>
          <w:p>
            <w:pPr>
              <w:tabs>
                <w:tab w:val="left" w:pos="540"/>
              </w:tabs>
              <w:spacing w:line="440" w:lineRule="exact"/>
              <w:ind w:left="-130" w:leftChars="-63" w:right="-105" w:rightChars="-50" w:hanging="2"/>
              <w:jc w:val="center"/>
              <w:rPr>
                <w:rFonts w:ascii="宋体" w:hAnsi="宋体" w:cs="宋体"/>
                <w:sz w:val="24"/>
                <w:highlight w:val="none"/>
              </w:rPr>
            </w:pPr>
          </w:p>
        </w:tc>
        <w:tc>
          <w:tcPr>
            <w:tcW w:w="687"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授权代表</w:t>
            </w:r>
          </w:p>
        </w:tc>
        <w:tc>
          <w:tcPr>
            <w:tcW w:w="1472" w:type="pct"/>
            <w:vAlign w:val="center"/>
          </w:tcPr>
          <w:p>
            <w:pPr>
              <w:tabs>
                <w:tab w:val="left" w:pos="540"/>
              </w:tabs>
              <w:spacing w:line="440" w:lineRule="exact"/>
              <w:ind w:left="-130" w:leftChars="-63" w:right="-105" w:rightChars="-50" w:hanging="2"/>
              <w:jc w:val="center"/>
              <w:rPr>
                <w:rFonts w:ascii="宋体" w:hAnsi="宋体" w:cs="宋体"/>
                <w:sz w:val="24"/>
                <w:highlight w:val="none"/>
              </w:rPr>
            </w:pPr>
          </w:p>
        </w:tc>
        <w:tc>
          <w:tcPr>
            <w:tcW w:w="438"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职务</w:t>
            </w:r>
          </w:p>
        </w:tc>
        <w:tc>
          <w:tcPr>
            <w:tcW w:w="788" w:type="pct"/>
          </w:tcPr>
          <w:p>
            <w:pPr>
              <w:tabs>
                <w:tab w:val="left" w:pos="540"/>
              </w:tabs>
              <w:spacing w:line="440" w:lineRule="exact"/>
              <w:ind w:left="-130" w:leftChars="-63" w:right="-105" w:rightChars="-50" w:hanging="2"/>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邮编</w:t>
            </w:r>
          </w:p>
        </w:tc>
        <w:tc>
          <w:tcPr>
            <w:tcW w:w="922" w:type="pct"/>
            <w:vAlign w:val="center"/>
          </w:tcPr>
          <w:p>
            <w:pPr>
              <w:tabs>
                <w:tab w:val="left" w:pos="540"/>
              </w:tabs>
              <w:spacing w:line="440" w:lineRule="exact"/>
              <w:ind w:left="-130" w:leftChars="-63" w:right="-105" w:rightChars="-50" w:hanging="2"/>
              <w:jc w:val="center"/>
              <w:rPr>
                <w:rFonts w:ascii="宋体" w:hAnsi="宋体" w:cs="宋体"/>
                <w:sz w:val="24"/>
                <w:highlight w:val="none"/>
              </w:rPr>
            </w:pPr>
          </w:p>
        </w:tc>
        <w:tc>
          <w:tcPr>
            <w:tcW w:w="687"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电话</w:t>
            </w:r>
          </w:p>
        </w:tc>
        <w:tc>
          <w:tcPr>
            <w:tcW w:w="1472" w:type="pct"/>
            <w:vAlign w:val="center"/>
          </w:tcPr>
          <w:p>
            <w:pPr>
              <w:tabs>
                <w:tab w:val="left" w:pos="540"/>
              </w:tabs>
              <w:spacing w:line="440" w:lineRule="exact"/>
              <w:ind w:left="-130" w:leftChars="-63" w:right="-105" w:rightChars="-50" w:hanging="2"/>
              <w:jc w:val="center"/>
              <w:rPr>
                <w:rFonts w:ascii="宋体" w:hAnsi="宋体" w:cs="宋体"/>
                <w:sz w:val="24"/>
                <w:highlight w:val="none"/>
              </w:rPr>
            </w:pPr>
          </w:p>
        </w:tc>
        <w:tc>
          <w:tcPr>
            <w:tcW w:w="438" w:type="pct"/>
            <w:vAlign w:val="center"/>
          </w:tcPr>
          <w:p>
            <w:pPr>
              <w:tabs>
                <w:tab w:val="left" w:pos="540"/>
              </w:tabs>
              <w:spacing w:line="440" w:lineRule="exact"/>
              <w:ind w:left="-130" w:leftChars="-63" w:right="-105" w:rightChars="-50" w:hanging="2"/>
              <w:jc w:val="center"/>
              <w:rPr>
                <w:rFonts w:ascii="宋体" w:hAnsi="宋体" w:cs="宋体"/>
                <w:sz w:val="24"/>
                <w:highlight w:val="none"/>
              </w:rPr>
            </w:pPr>
            <w:r>
              <w:rPr>
                <w:rFonts w:hint="eastAsia" w:ascii="宋体" w:hAnsi="宋体" w:cs="宋体"/>
                <w:sz w:val="24"/>
                <w:highlight w:val="none"/>
              </w:rPr>
              <w:t>传真</w:t>
            </w:r>
          </w:p>
        </w:tc>
        <w:tc>
          <w:tcPr>
            <w:tcW w:w="788" w:type="pct"/>
          </w:tcPr>
          <w:p>
            <w:pPr>
              <w:tabs>
                <w:tab w:val="left" w:pos="540"/>
              </w:tabs>
              <w:spacing w:line="440" w:lineRule="exact"/>
              <w:ind w:left="-130" w:leftChars="-63" w:right="-105" w:rightChars="-50" w:hanging="2"/>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692" w:type="pct"/>
            <w:vAlign w:val="center"/>
          </w:tcPr>
          <w:p>
            <w:pPr>
              <w:tabs>
                <w:tab w:val="left" w:pos="540"/>
              </w:tabs>
              <w:ind w:left="-128" w:leftChars="-62" w:right="-105" w:rightChars="-50" w:hanging="2"/>
              <w:jc w:val="center"/>
              <w:rPr>
                <w:rFonts w:ascii="宋体" w:hAnsi="宋体" w:cs="宋体"/>
                <w:sz w:val="24"/>
                <w:highlight w:val="none"/>
              </w:rPr>
            </w:pPr>
            <w:r>
              <w:rPr>
                <w:rFonts w:hint="eastAsia" w:ascii="宋体" w:hAnsi="宋体" w:cs="宋体"/>
                <w:sz w:val="24"/>
                <w:highlight w:val="none"/>
              </w:rPr>
              <w:t>单位简介及机构设置</w:t>
            </w:r>
          </w:p>
        </w:tc>
        <w:tc>
          <w:tcPr>
            <w:tcW w:w="4307" w:type="pct"/>
            <w:gridSpan w:val="5"/>
          </w:tcPr>
          <w:p>
            <w:pPr>
              <w:tabs>
                <w:tab w:val="left" w:pos="540"/>
              </w:tabs>
              <w:spacing w:line="440" w:lineRule="exact"/>
              <w:ind w:left="-130" w:leftChars="-63" w:right="-105" w:rightChars="-50" w:hanging="2"/>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692" w:type="pct"/>
            <w:vAlign w:val="center"/>
          </w:tcPr>
          <w:p>
            <w:pPr>
              <w:tabs>
                <w:tab w:val="left" w:pos="540"/>
              </w:tabs>
              <w:ind w:left="-128" w:leftChars="-62" w:right="-105" w:rightChars="-50" w:hanging="2"/>
              <w:jc w:val="center"/>
              <w:rPr>
                <w:rFonts w:ascii="宋体" w:hAnsi="宋体" w:cs="宋体"/>
                <w:sz w:val="24"/>
                <w:highlight w:val="none"/>
              </w:rPr>
            </w:pPr>
            <w:r>
              <w:rPr>
                <w:rFonts w:hint="eastAsia" w:ascii="宋体" w:hAnsi="宋体" w:cs="宋体"/>
                <w:sz w:val="24"/>
                <w:highlight w:val="none"/>
              </w:rPr>
              <w:t>单位优势及特长</w:t>
            </w:r>
          </w:p>
        </w:tc>
        <w:tc>
          <w:tcPr>
            <w:tcW w:w="4307" w:type="pct"/>
            <w:gridSpan w:val="5"/>
          </w:tcPr>
          <w:p>
            <w:pPr>
              <w:tabs>
                <w:tab w:val="left" w:pos="540"/>
              </w:tabs>
              <w:spacing w:line="440" w:lineRule="exact"/>
              <w:ind w:left="-130" w:leftChars="-63" w:right="-105" w:rightChars="-50" w:hanging="2"/>
              <w:jc w:val="center"/>
              <w:rPr>
                <w:rFonts w:ascii="宋体" w:hAnsi="宋体" w:cs="宋体"/>
                <w:sz w:val="24"/>
                <w:highlight w:val="none"/>
              </w:rPr>
            </w:pPr>
          </w:p>
        </w:tc>
      </w:tr>
    </w:tbl>
    <w:p>
      <w:pPr>
        <w:pStyle w:val="46"/>
        <w:spacing w:before="0" w:after="0" w:line="360" w:lineRule="auto"/>
        <w:ind w:firstLine="480" w:firstLineChars="200"/>
        <w:jc w:val="both"/>
        <w:rPr>
          <w:rFonts w:ascii="宋体" w:hAnsi="宋体" w:cs="宋体"/>
          <w:bCs w:val="0"/>
          <w:spacing w:val="0"/>
          <w:kern w:val="2"/>
          <w:szCs w:val="24"/>
          <w:highlight w:val="none"/>
          <w:lang w:val="en-GB"/>
        </w:rPr>
      </w:pPr>
      <w:r>
        <w:rPr>
          <w:rFonts w:hint="eastAsia" w:ascii="宋体" w:hAnsi="宋体" w:cs="宋体"/>
          <w:bCs w:val="0"/>
          <w:spacing w:val="0"/>
          <w:kern w:val="2"/>
          <w:szCs w:val="24"/>
          <w:highlight w:val="none"/>
          <w:lang w:val="en-GB"/>
        </w:rPr>
        <w:t>注：上表内容可以采用文字描述（企业性质、发展历程、服务理念、主营产品、技术力量等）或图片描述。</w:t>
      </w:r>
    </w:p>
    <w:p>
      <w:pPr>
        <w:pStyle w:val="46"/>
        <w:ind w:firstLine="420" w:firstLineChars="200"/>
        <w:rPr>
          <w:rFonts w:ascii="仿宋_GB2312" w:hAnsi="仿宋" w:eastAsia="仿宋_GB2312"/>
          <w:bCs w:val="0"/>
          <w:spacing w:val="0"/>
          <w:kern w:val="2"/>
          <w:sz w:val="21"/>
          <w:szCs w:val="21"/>
          <w:highlight w:val="none"/>
          <w:lang w:val="en-GB"/>
        </w:rPr>
      </w:pPr>
    </w:p>
    <w:p>
      <w:pPr>
        <w:adjustRightInd w:val="0"/>
        <w:snapToGrid w:val="0"/>
        <w:spacing w:before="72" w:after="72" w:line="480" w:lineRule="auto"/>
        <w:ind w:firstLine="3158" w:firstLineChars="1316"/>
        <w:rPr>
          <w:rFonts w:ascii="宋体" w:hAnsi="宋体" w:cs="宋体"/>
          <w:sz w:val="24"/>
          <w:highlight w:val="none"/>
        </w:rPr>
      </w:pPr>
    </w:p>
    <w:p>
      <w:pPr>
        <w:adjustRightInd w:val="0"/>
        <w:snapToGrid w:val="0"/>
        <w:spacing w:before="72" w:after="72" w:line="360" w:lineRule="auto"/>
        <w:ind w:firstLine="3158" w:firstLineChars="1316"/>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3158" w:firstLineChars="1316"/>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3158" w:firstLineChars="1316"/>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numPr>
          <w:ilvl w:val="0"/>
          <w:numId w:val="164"/>
        </w:numPr>
        <w:spacing w:before="72" w:after="72" w:line="360" w:lineRule="auto"/>
        <w:jc w:val="center"/>
        <w:rPr>
          <w:rFonts w:ascii="宋体" w:hAnsi="宋体" w:cs="宋体"/>
          <w:b/>
          <w:color w:val="000000"/>
          <w:kern w:val="44"/>
          <w:sz w:val="30"/>
          <w:szCs w:val="30"/>
          <w:highlight w:val="none"/>
        </w:rPr>
      </w:pPr>
      <w:r>
        <w:rPr>
          <w:rFonts w:hint="eastAsia" w:ascii="宋体" w:hAnsi="宋体" w:cs="宋体"/>
          <w:b/>
          <w:color w:val="000000"/>
          <w:kern w:val="44"/>
          <w:sz w:val="30"/>
          <w:szCs w:val="30"/>
          <w:highlight w:val="none"/>
        </w:rPr>
        <w:t>股东或出资人信息表</w:t>
      </w:r>
    </w:p>
    <w:tbl>
      <w:tblPr>
        <w:tblStyle w:val="29"/>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740"/>
        <w:gridCol w:w="2273"/>
        <w:gridCol w:w="1210"/>
        <w:gridCol w:w="1260"/>
        <w:gridCol w:w="143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537" w:type="dxa"/>
            <w:shd w:val="clear" w:color="auto" w:fill="D8D8D8"/>
            <w:vAlign w:val="center"/>
          </w:tcPr>
          <w:p>
            <w:pPr>
              <w:jc w:val="center"/>
              <w:rPr>
                <w:rFonts w:ascii="宋体" w:hAnsi="宋体" w:cs="宋体"/>
                <w:b/>
                <w:bCs/>
                <w:color w:val="000000"/>
                <w:sz w:val="24"/>
                <w:highlight w:val="none"/>
              </w:rPr>
            </w:pPr>
            <w:r>
              <w:rPr>
                <w:rFonts w:hint="eastAsia" w:ascii="宋体" w:hAnsi="宋体" w:cs="宋体"/>
                <w:b/>
                <w:bCs/>
                <w:color w:val="000000"/>
                <w:sz w:val="24"/>
                <w:highlight w:val="none"/>
              </w:rPr>
              <w:t>序号</w:t>
            </w:r>
          </w:p>
        </w:tc>
        <w:tc>
          <w:tcPr>
            <w:tcW w:w="1740" w:type="dxa"/>
            <w:shd w:val="clear" w:color="auto" w:fill="D8D8D8"/>
            <w:vAlign w:val="center"/>
          </w:tcPr>
          <w:p>
            <w:pPr>
              <w:jc w:val="center"/>
              <w:rPr>
                <w:rFonts w:ascii="宋体" w:hAnsi="宋体" w:cs="宋体"/>
                <w:b/>
                <w:bCs/>
                <w:color w:val="000000"/>
                <w:sz w:val="24"/>
                <w:highlight w:val="none"/>
              </w:rPr>
            </w:pPr>
            <w:r>
              <w:rPr>
                <w:rFonts w:hint="eastAsia" w:ascii="宋体" w:hAnsi="宋体" w:cs="宋体"/>
                <w:b/>
                <w:bCs/>
                <w:color w:val="000000"/>
                <w:sz w:val="24"/>
                <w:highlight w:val="none"/>
              </w:rPr>
              <w:t>名称（姓名）</w:t>
            </w:r>
          </w:p>
        </w:tc>
        <w:tc>
          <w:tcPr>
            <w:tcW w:w="2273" w:type="dxa"/>
            <w:shd w:val="clear" w:color="auto" w:fill="D8D8D8"/>
            <w:vAlign w:val="center"/>
          </w:tcPr>
          <w:p>
            <w:pPr>
              <w:jc w:val="center"/>
              <w:rPr>
                <w:rFonts w:hint="eastAsia" w:ascii="宋体" w:hAnsi="宋体" w:eastAsia="宋体" w:cs="宋体"/>
                <w:b/>
                <w:bCs/>
                <w:color w:val="000000"/>
                <w:sz w:val="24"/>
                <w:highlight w:val="none"/>
                <w:lang w:eastAsia="zh-CN"/>
              </w:rPr>
            </w:pPr>
            <w:r>
              <w:rPr>
                <w:rFonts w:hint="eastAsia" w:ascii="宋体" w:hAnsi="宋体" w:cs="宋体"/>
                <w:b/>
                <w:bCs/>
                <w:color w:val="000000"/>
                <w:sz w:val="24"/>
                <w:highlight w:val="none"/>
              </w:rPr>
              <w:t>统一社会信用代码</w:t>
            </w:r>
          </w:p>
          <w:p>
            <w:pPr>
              <w:jc w:val="center"/>
              <w:rPr>
                <w:rFonts w:ascii="宋体" w:hAnsi="宋体" w:cs="宋体"/>
                <w:b/>
                <w:bCs/>
                <w:color w:val="000000"/>
                <w:sz w:val="24"/>
                <w:highlight w:val="none"/>
              </w:rPr>
            </w:pPr>
            <w:r>
              <w:rPr>
                <w:rFonts w:hint="eastAsia" w:ascii="宋体" w:hAnsi="宋体" w:cs="宋体"/>
                <w:b/>
                <w:bCs/>
                <w:color w:val="000000"/>
                <w:sz w:val="24"/>
                <w:highlight w:val="none"/>
              </w:rPr>
              <w:t>（身份证号）</w:t>
            </w:r>
          </w:p>
        </w:tc>
        <w:tc>
          <w:tcPr>
            <w:tcW w:w="1210" w:type="dxa"/>
            <w:shd w:val="clear" w:color="auto" w:fill="D8D8D8"/>
            <w:vAlign w:val="center"/>
          </w:tcPr>
          <w:p>
            <w:pPr>
              <w:jc w:val="center"/>
              <w:rPr>
                <w:rFonts w:ascii="宋体" w:hAnsi="宋体" w:cs="宋体"/>
                <w:b/>
                <w:bCs/>
                <w:color w:val="000000"/>
                <w:sz w:val="24"/>
                <w:highlight w:val="none"/>
              </w:rPr>
            </w:pPr>
            <w:r>
              <w:rPr>
                <w:rFonts w:hint="eastAsia" w:ascii="宋体" w:hAnsi="宋体" w:cs="宋体"/>
                <w:b/>
                <w:bCs/>
                <w:color w:val="000000"/>
                <w:sz w:val="24"/>
                <w:highlight w:val="none"/>
              </w:rPr>
              <w:t>出资方式</w:t>
            </w:r>
          </w:p>
        </w:tc>
        <w:tc>
          <w:tcPr>
            <w:tcW w:w="1260" w:type="dxa"/>
            <w:shd w:val="clear" w:color="auto" w:fill="D8D8D8"/>
            <w:vAlign w:val="center"/>
          </w:tcPr>
          <w:p>
            <w:pPr>
              <w:jc w:val="center"/>
              <w:rPr>
                <w:rFonts w:hint="eastAsia" w:ascii="宋体" w:hAnsi="宋体" w:eastAsia="宋体" w:cs="宋体"/>
                <w:b/>
                <w:bCs/>
                <w:color w:val="000000"/>
                <w:sz w:val="24"/>
                <w:highlight w:val="none"/>
                <w:lang w:eastAsia="zh-CN"/>
              </w:rPr>
            </w:pPr>
            <w:r>
              <w:rPr>
                <w:rFonts w:hint="eastAsia" w:ascii="宋体" w:hAnsi="宋体" w:cs="宋体"/>
                <w:b/>
                <w:bCs/>
                <w:color w:val="000000"/>
                <w:sz w:val="24"/>
                <w:highlight w:val="none"/>
              </w:rPr>
              <w:t>出资金额</w:t>
            </w:r>
          </w:p>
          <w:p>
            <w:pPr>
              <w:jc w:val="center"/>
              <w:rPr>
                <w:rFonts w:ascii="宋体" w:hAnsi="宋体" w:cs="宋体"/>
                <w:b/>
                <w:bCs/>
                <w:color w:val="000000"/>
                <w:sz w:val="24"/>
                <w:highlight w:val="none"/>
              </w:rPr>
            </w:pPr>
            <w:r>
              <w:rPr>
                <w:rFonts w:hint="eastAsia" w:ascii="宋体" w:hAnsi="宋体" w:cs="宋体"/>
                <w:b/>
                <w:bCs/>
                <w:color w:val="000000"/>
                <w:sz w:val="24"/>
                <w:highlight w:val="none"/>
              </w:rPr>
              <w:t>（万元）</w:t>
            </w:r>
          </w:p>
        </w:tc>
        <w:tc>
          <w:tcPr>
            <w:tcW w:w="1432" w:type="dxa"/>
            <w:shd w:val="clear" w:color="auto" w:fill="D8D8D8"/>
            <w:vAlign w:val="center"/>
          </w:tcPr>
          <w:p>
            <w:pPr>
              <w:jc w:val="center"/>
              <w:rPr>
                <w:rFonts w:ascii="宋体" w:hAnsi="宋体" w:cs="宋体"/>
                <w:b/>
                <w:bCs/>
                <w:color w:val="000000"/>
                <w:sz w:val="24"/>
                <w:highlight w:val="none"/>
              </w:rPr>
            </w:pPr>
            <w:r>
              <w:rPr>
                <w:rFonts w:hint="eastAsia" w:ascii="宋体" w:hAnsi="宋体" w:cs="宋体"/>
                <w:b/>
                <w:bCs/>
                <w:color w:val="000000"/>
                <w:sz w:val="24"/>
                <w:highlight w:val="none"/>
              </w:rPr>
              <w:t>占全部股份比例</w:t>
            </w:r>
          </w:p>
        </w:tc>
        <w:tc>
          <w:tcPr>
            <w:tcW w:w="782" w:type="dxa"/>
            <w:shd w:val="clear" w:color="auto" w:fill="D8D8D8"/>
            <w:vAlign w:val="center"/>
          </w:tcPr>
          <w:p>
            <w:pPr>
              <w:jc w:val="center"/>
              <w:rPr>
                <w:rFonts w:ascii="宋体" w:hAnsi="宋体" w:cs="宋体"/>
                <w:b/>
                <w:bCs/>
                <w:color w:val="000000"/>
                <w:sz w:val="24"/>
                <w:highlight w:val="none"/>
              </w:rPr>
            </w:pPr>
            <w:r>
              <w:rPr>
                <w:rFonts w:hint="eastAsia" w:ascii="宋体" w:hAnsi="宋体" w:cs="宋体"/>
                <w:b/>
                <w:bCs/>
                <w:color w:val="000000"/>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1</w:t>
            </w:r>
          </w:p>
        </w:tc>
        <w:tc>
          <w:tcPr>
            <w:tcW w:w="1740" w:type="dxa"/>
            <w:vAlign w:val="center"/>
          </w:tcPr>
          <w:p>
            <w:pPr>
              <w:jc w:val="center"/>
              <w:rPr>
                <w:rFonts w:ascii="宋体" w:hAnsi="宋体" w:cs="宋体"/>
                <w:color w:val="000000"/>
                <w:sz w:val="24"/>
                <w:highlight w:val="none"/>
              </w:rPr>
            </w:pPr>
          </w:p>
        </w:tc>
        <w:tc>
          <w:tcPr>
            <w:tcW w:w="2273" w:type="dxa"/>
            <w:vAlign w:val="center"/>
          </w:tcPr>
          <w:p>
            <w:pPr>
              <w:jc w:val="center"/>
              <w:rPr>
                <w:rFonts w:ascii="宋体" w:hAnsi="宋体" w:cs="宋体"/>
                <w:color w:val="000000"/>
                <w:sz w:val="24"/>
                <w:highlight w:val="none"/>
              </w:rPr>
            </w:pPr>
          </w:p>
        </w:tc>
        <w:tc>
          <w:tcPr>
            <w:tcW w:w="1210" w:type="dxa"/>
            <w:vAlign w:val="center"/>
          </w:tcPr>
          <w:p>
            <w:pPr>
              <w:jc w:val="center"/>
              <w:rPr>
                <w:rFonts w:ascii="宋体" w:hAnsi="宋体" w:cs="宋体"/>
                <w:color w:val="000000"/>
                <w:sz w:val="24"/>
                <w:highlight w:val="none"/>
              </w:rPr>
            </w:pPr>
          </w:p>
        </w:tc>
        <w:tc>
          <w:tcPr>
            <w:tcW w:w="1260" w:type="dxa"/>
            <w:vAlign w:val="center"/>
          </w:tcPr>
          <w:p>
            <w:pPr>
              <w:jc w:val="center"/>
              <w:rPr>
                <w:rFonts w:ascii="宋体" w:hAnsi="宋体" w:cs="宋体"/>
                <w:color w:val="000000"/>
                <w:sz w:val="24"/>
                <w:highlight w:val="none"/>
              </w:rPr>
            </w:pPr>
          </w:p>
        </w:tc>
        <w:tc>
          <w:tcPr>
            <w:tcW w:w="1432" w:type="dxa"/>
            <w:vAlign w:val="center"/>
          </w:tcPr>
          <w:p>
            <w:pPr>
              <w:jc w:val="center"/>
              <w:rPr>
                <w:rFonts w:ascii="宋体" w:hAnsi="宋体" w:cs="宋体"/>
                <w:color w:val="000000"/>
                <w:sz w:val="24"/>
                <w:highlight w:val="none"/>
              </w:rPr>
            </w:pPr>
          </w:p>
        </w:tc>
        <w:tc>
          <w:tcPr>
            <w:tcW w:w="782" w:type="dxa"/>
            <w:vAlign w:val="center"/>
          </w:tcPr>
          <w:p>
            <w:pPr>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2</w:t>
            </w:r>
          </w:p>
        </w:tc>
        <w:tc>
          <w:tcPr>
            <w:tcW w:w="1740" w:type="dxa"/>
            <w:vAlign w:val="center"/>
          </w:tcPr>
          <w:p>
            <w:pPr>
              <w:jc w:val="center"/>
              <w:rPr>
                <w:rFonts w:ascii="宋体" w:hAnsi="宋体" w:cs="宋体"/>
                <w:color w:val="000000"/>
                <w:sz w:val="24"/>
                <w:highlight w:val="none"/>
              </w:rPr>
            </w:pPr>
          </w:p>
        </w:tc>
        <w:tc>
          <w:tcPr>
            <w:tcW w:w="2273" w:type="dxa"/>
            <w:vAlign w:val="center"/>
          </w:tcPr>
          <w:p>
            <w:pPr>
              <w:jc w:val="center"/>
              <w:rPr>
                <w:rFonts w:ascii="宋体" w:hAnsi="宋体" w:cs="宋体"/>
                <w:color w:val="000000"/>
                <w:sz w:val="24"/>
                <w:highlight w:val="none"/>
              </w:rPr>
            </w:pPr>
          </w:p>
        </w:tc>
        <w:tc>
          <w:tcPr>
            <w:tcW w:w="1210" w:type="dxa"/>
            <w:vAlign w:val="center"/>
          </w:tcPr>
          <w:p>
            <w:pPr>
              <w:pStyle w:val="56"/>
              <w:rPr>
                <w:rFonts w:ascii="宋体" w:hAnsi="宋体" w:cs="宋体"/>
                <w:color w:val="000000"/>
                <w:sz w:val="24"/>
                <w:szCs w:val="24"/>
                <w:highlight w:val="none"/>
              </w:rPr>
            </w:pPr>
          </w:p>
        </w:tc>
        <w:tc>
          <w:tcPr>
            <w:tcW w:w="1260" w:type="dxa"/>
            <w:vAlign w:val="center"/>
          </w:tcPr>
          <w:p>
            <w:pPr>
              <w:jc w:val="center"/>
              <w:rPr>
                <w:rFonts w:ascii="宋体" w:hAnsi="宋体" w:cs="宋体"/>
                <w:color w:val="000000"/>
                <w:sz w:val="24"/>
                <w:highlight w:val="none"/>
              </w:rPr>
            </w:pPr>
          </w:p>
        </w:tc>
        <w:tc>
          <w:tcPr>
            <w:tcW w:w="1432" w:type="dxa"/>
            <w:vAlign w:val="center"/>
          </w:tcPr>
          <w:p>
            <w:pPr>
              <w:jc w:val="center"/>
              <w:rPr>
                <w:rFonts w:ascii="宋体" w:hAnsi="宋体" w:cs="宋体"/>
                <w:color w:val="000000"/>
                <w:sz w:val="24"/>
                <w:highlight w:val="none"/>
              </w:rPr>
            </w:pPr>
          </w:p>
        </w:tc>
        <w:tc>
          <w:tcPr>
            <w:tcW w:w="782" w:type="dxa"/>
            <w:vAlign w:val="center"/>
          </w:tcPr>
          <w:p>
            <w:pPr>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3</w:t>
            </w:r>
          </w:p>
        </w:tc>
        <w:tc>
          <w:tcPr>
            <w:tcW w:w="1740" w:type="dxa"/>
            <w:vAlign w:val="center"/>
          </w:tcPr>
          <w:p>
            <w:pPr>
              <w:jc w:val="center"/>
              <w:rPr>
                <w:rFonts w:ascii="宋体" w:hAnsi="宋体" w:cs="宋体"/>
                <w:color w:val="000000"/>
                <w:sz w:val="24"/>
                <w:highlight w:val="none"/>
              </w:rPr>
            </w:pPr>
          </w:p>
        </w:tc>
        <w:tc>
          <w:tcPr>
            <w:tcW w:w="2273" w:type="dxa"/>
            <w:vAlign w:val="center"/>
          </w:tcPr>
          <w:p>
            <w:pPr>
              <w:jc w:val="center"/>
              <w:rPr>
                <w:rFonts w:ascii="宋体" w:hAnsi="宋体" w:cs="宋体"/>
                <w:color w:val="000000"/>
                <w:sz w:val="24"/>
                <w:highlight w:val="none"/>
              </w:rPr>
            </w:pPr>
          </w:p>
        </w:tc>
        <w:tc>
          <w:tcPr>
            <w:tcW w:w="1210" w:type="dxa"/>
            <w:vAlign w:val="center"/>
          </w:tcPr>
          <w:p>
            <w:pPr>
              <w:jc w:val="center"/>
              <w:rPr>
                <w:rFonts w:ascii="宋体" w:hAnsi="宋体" w:cs="宋体"/>
                <w:color w:val="000000"/>
                <w:sz w:val="24"/>
                <w:highlight w:val="none"/>
              </w:rPr>
            </w:pPr>
          </w:p>
        </w:tc>
        <w:tc>
          <w:tcPr>
            <w:tcW w:w="1260" w:type="dxa"/>
            <w:vAlign w:val="center"/>
          </w:tcPr>
          <w:p>
            <w:pPr>
              <w:jc w:val="center"/>
              <w:rPr>
                <w:rFonts w:ascii="宋体" w:hAnsi="宋体" w:cs="宋体"/>
                <w:color w:val="000000"/>
                <w:sz w:val="24"/>
                <w:highlight w:val="none"/>
              </w:rPr>
            </w:pPr>
          </w:p>
        </w:tc>
        <w:tc>
          <w:tcPr>
            <w:tcW w:w="1432" w:type="dxa"/>
            <w:vAlign w:val="center"/>
          </w:tcPr>
          <w:p>
            <w:pPr>
              <w:jc w:val="center"/>
              <w:rPr>
                <w:rFonts w:ascii="宋体" w:hAnsi="宋体" w:cs="宋体"/>
                <w:color w:val="000000"/>
                <w:sz w:val="24"/>
                <w:highlight w:val="none"/>
              </w:rPr>
            </w:pPr>
          </w:p>
        </w:tc>
        <w:tc>
          <w:tcPr>
            <w:tcW w:w="782" w:type="dxa"/>
            <w:vAlign w:val="center"/>
          </w:tcPr>
          <w:p>
            <w:pPr>
              <w:jc w:val="center"/>
              <w:rPr>
                <w:rFonts w:ascii="宋体" w:hAnsi="宋体" w:cs="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537" w:type="dxa"/>
            <w:vAlign w:val="center"/>
          </w:tcPr>
          <w:p>
            <w:pPr>
              <w:jc w:val="center"/>
              <w:rPr>
                <w:rFonts w:ascii="宋体" w:hAnsi="宋体" w:cs="宋体"/>
                <w:color w:val="000000"/>
                <w:sz w:val="24"/>
                <w:highlight w:val="none"/>
              </w:rPr>
            </w:pPr>
            <w:r>
              <w:rPr>
                <w:rFonts w:hint="eastAsia" w:ascii="宋体" w:hAnsi="宋体" w:cs="宋体"/>
                <w:color w:val="000000"/>
                <w:sz w:val="24"/>
                <w:highlight w:val="none"/>
              </w:rPr>
              <w:t>…</w:t>
            </w:r>
          </w:p>
        </w:tc>
        <w:tc>
          <w:tcPr>
            <w:tcW w:w="1740" w:type="dxa"/>
            <w:vAlign w:val="center"/>
          </w:tcPr>
          <w:p>
            <w:pPr>
              <w:jc w:val="center"/>
              <w:rPr>
                <w:rFonts w:ascii="宋体" w:hAnsi="宋体" w:cs="宋体"/>
                <w:color w:val="000000"/>
                <w:sz w:val="24"/>
                <w:highlight w:val="none"/>
              </w:rPr>
            </w:pPr>
          </w:p>
        </w:tc>
        <w:tc>
          <w:tcPr>
            <w:tcW w:w="2273" w:type="dxa"/>
            <w:vAlign w:val="center"/>
          </w:tcPr>
          <w:p>
            <w:pPr>
              <w:jc w:val="center"/>
              <w:rPr>
                <w:rFonts w:ascii="宋体" w:hAnsi="宋体" w:cs="宋体"/>
                <w:color w:val="000000"/>
                <w:sz w:val="24"/>
                <w:highlight w:val="none"/>
              </w:rPr>
            </w:pPr>
          </w:p>
        </w:tc>
        <w:tc>
          <w:tcPr>
            <w:tcW w:w="1210" w:type="dxa"/>
            <w:vAlign w:val="center"/>
          </w:tcPr>
          <w:p>
            <w:pPr>
              <w:jc w:val="center"/>
              <w:rPr>
                <w:rFonts w:ascii="宋体" w:hAnsi="宋体" w:cs="宋体"/>
                <w:color w:val="000000"/>
                <w:sz w:val="24"/>
                <w:highlight w:val="none"/>
              </w:rPr>
            </w:pPr>
          </w:p>
        </w:tc>
        <w:tc>
          <w:tcPr>
            <w:tcW w:w="1260" w:type="dxa"/>
            <w:vAlign w:val="center"/>
          </w:tcPr>
          <w:p>
            <w:pPr>
              <w:jc w:val="center"/>
              <w:rPr>
                <w:rFonts w:ascii="宋体" w:hAnsi="宋体" w:cs="宋体"/>
                <w:color w:val="000000"/>
                <w:sz w:val="24"/>
                <w:highlight w:val="none"/>
              </w:rPr>
            </w:pPr>
          </w:p>
        </w:tc>
        <w:tc>
          <w:tcPr>
            <w:tcW w:w="1432" w:type="dxa"/>
            <w:vAlign w:val="center"/>
          </w:tcPr>
          <w:p>
            <w:pPr>
              <w:jc w:val="center"/>
              <w:rPr>
                <w:rFonts w:ascii="宋体" w:hAnsi="宋体" w:cs="宋体"/>
                <w:color w:val="000000"/>
                <w:sz w:val="24"/>
                <w:highlight w:val="none"/>
              </w:rPr>
            </w:pPr>
          </w:p>
        </w:tc>
        <w:tc>
          <w:tcPr>
            <w:tcW w:w="782" w:type="dxa"/>
            <w:vAlign w:val="center"/>
          </w:tcPr>
          <w:p>
            <w:pPr>
              <w:jc w:val="center"/>
              <w:rPr>
                <w:rFonts w:ascii="宋体" w:hAnsi="宋体" w:cs="宋体"/>
                <w:color w:val="000000"/>
                <w:sz w:val="24"/>
                <w:highlight w:val="none"/>
              </w:rPr>
            </w:pPr>
          </w:p>
        </w:tc>
      </w:tr>
    </w:tbl>
    <w:p>
      <w:pPr>
        <w:tabs>
          <w:tab w:val="left" w:pos="0"/>
        </w:tabs>
        <w:spacing w:before="72" w:after="72" w:line="360" w:lineRule="auto"/>
        <w:ind w:left="420"/>
        <w:rPr>
          <w:rFonts w:ascii="宋体" w:cs="宋体"/>
          <w:b/>
          <w:kern w:val="44"/>
          <w:sz w:val="30"/>
          <w:szCs w:val="30"/>
          <w:highlight w:val="none"/>
        </w:rPr>
      </w:pPr>
    </w:p>
    <w:p>
      <w:pPr>
        <w:rPr>
          <w:rFonts w:ascii="宋体" w:cs="宋体"/>
          <w:b/>
          <w:kern w:val="44"/>
          <w:sz w:val="30"/>
          <w:szCs w:val="30"/>
          <w:highlight w:val="none"/>
        </w:rPr>
      </w:pPr>
      <w:r>
        <w:rPr>
          <w:rFonts w:hint="eastAsia" w:ascii="宋体" w:hAnsi="宋体" w:cs="宋体"/>
          <w:b/>
          <w:kern w:val="44"/>
          <w:sz w:val="30"/>
          <w:szCs w:val="30"/>
          <w:highlight w:val="none"/>
        </w:rPr>
        <w:br w:type="page"/>
      </w:r>
    </w:p>
    <w:p>
      <w:pPr>
        <w:numPr>
          <w:ilvl w:val="0"/>
          <w:numId w:val="164"/>
        </w:numPr>
        <w:spacing w:before="72" w:after="72" w:line="360" w:lineRule="auto"/>
        <w:jc w:val="center"/>
        <w:rPr>
          <w:rFonts w:ascii="宋体" w:cs="宋体"/>
          <w:b/>
          <w:kern w:val="44"/>
          <w:sz w:val="30"/>
          <w:szCs w:val="30"/>
          <w:highlight w:val="none"/>
        </w:rPr>
      </w:pPr>
      <w:r>
        <w:rPr>
          <w:rFonts w:hint="eastAsia" w:ascii="宋体" w:hAnsi="宋体" w:cs="宋体"/>
          <w:b/>
          <w:kern w:val="44"/>
          <w:sz w:val="30"/>
          <w:szCs w:val="30"/>
          <w:highlight w:val="none"/>
        </w:rPr>
        <w:t>供货渠道与合作机构情况</w:t>
      </w:r>
    </w:p>
    <w:tbl>
      <w:tblPr>
        <w:tblStyle w:val="29"/>
        <w:tblW w:w="8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4139"/>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826" w:type="dxa"/>
            <w:shd w:val="clear" w:color="auto" w:fill="D9D9D9"/>
            <w:vAlign w:val="center"/>
          </w:tcPr>
          <w:p>
            <w:pPr>
              <w:adjustRightInd w:val="0"/>
              <w:snapToGrid w:val="0"/>
              <w:spacing w:line="400" w:lineRule="exact"/>
              <w:jc w:val="center"/>
              <w:rPr>
                <w:b/>
                <w:sz w:val="24"/>
                <w:highlight w:val="none"/>
              </w:rPr>
            </w:pPr>
            <w:r>
              <w:rPr>
                <w:rFonts w:hint="eastAsia"/>
                <w:b/>
                <w:sz w:val="24"/>
                <w:highlight w:val="none"/>
              </w:rPr>
              <w:t>分项</w:t>
            </w:r>
          </w:p>
        </w:tc>
        <w:tc>
          <w:tcPr>
            <w:tcW w:w="4139" w:type="dxa"/>
            <w:shd w:val="clear" w:color="auto" w:fill="D9D9D9"/>
            <w:vAlign w:val="center"/>
          </w:tcPr>
          <w:p>
            <w:pPr>
              <w:adjustRightInd w:val="0"/>
              <w:snapToGrid w:val="0"/>
              <w:spacing w:line="400" w:lineRule="exact"/>
              <w:jc w:val="center"/>
              <w:rPr>
                <w:b/>
                <w:sz w:val="24"/>
                <w:highlight w:val="none"/>
              </w:rPr>
            </w:pPr>
            <w:r>
              <w:rPr>
                <w:rFonts w:hint="eastAsia"/>
                <w:b/>
                <w:sz w:val="24"/>
                <w:highlight w:val="none"/>
              </w:rPr>
              <w:t>基</w:t>
            </w:r>
            <w:r>
              <w:rPr>
                <w:b/>
                <w:sz w:val="24"/>
                <w:highlight w:val="none"/>
              </w:rPr>
              <w:t xml:space="preserve"> </w:t>
            </w:r>
            <w:r>
              <w:rPr>
                <w:rFonts w:hint="eastAsia"/>
                <w:b/>
                <w:sz w:val="24"/>
                <w:highlight w:val="none"/>
              </w:rPr>
              <w:t>本</w:t>
            </w:r>
            <w:r>
              <w:rPr>
                <w:b/>
                <w:sz w:val="24"/>
                <w:highlight w:val="none"/>
              </w:rPr>
              <w:t xml:space="preserve"> </w:t>
            </w:r>
            <w:r>
              <w:rPr>
                <w:rFonts w:hint="eastAsia"/>
                <w:b/>
                <w:sz w:val="24"/>
                <w:highlight w:val="none"/>
              </w:rPr>
              <w:t>情</w:t>
            </w:r>
            <w:r>
              <w:rPr>
                <w:b/>
                <w:sz w:val="24"/>
                <w:highlight w:val="none"/>
              </w:rPr>
              <w:t xml:space="preserve"> </w:t>
            </w:r>
            <w:r>
              <w:rPr>
                <w:rFonts w:hint="eastAsia"/>
                <w:b/>
                <w:sz w:val="24"/>
                <w:highlight w:val="none"/>
              </w:rPr>
              <w:t>况</w:t>
            </w:r>
          </w:p>
        </w:tc>
        <w:tc>
          <w:tcPr>
            <w:tcW w:w="2755" w:type="dxa"/>
            <w:shd w:val="clear" w:color="auto" w:fill="D9D9D9"/>
            <w:vAlign w:val="center"/>
          </w:tcPr>
          <w:p>
            <w:pPr>
              <w:adjustRightInd w:val="0"/>
              <w:snapToGrid w:val="0"/>
              <w:spacing w:line="400" w:lineRule="exact"/>
              <w:jc w:val="center"/>
              <w:rPr>
                <w:b/>
                <w:sz w:val="24"/>
                <w:highlight w:val="none"/>
              </w:rPr>
            </w:pPr>
            <w:r>
              <w:rPr>
                <w:rFonts w:hint="eastAsia"/>
                <w:b/>
                <w:sz w:val="24"/>
                <w:highlight w:val="none"/>
              </w:rPr>
              <w:t>联系人</w:t>
            </w:r>
            <w:r>
              <w:rPr>
                <w:b/>
                <w:sz w:val="24"/>
                <w:highlight w:val="none"/>
              </w:rPr>
              <w:t>/</w:t>
            </w:r>
            <w:r>
              <w:rPr>
                <w:rFonts w:hint="eastAsia"/>
                <w:b/>
                <w:sz w:val="24"/>
                <w:highlight w:val="none"/>
              </w:rPr>
              <w:t>联系电话</w:t>
            </w:r>
            <w:r>
              <w:rPr>
                <w:b/>
                <w:sz w:val="24"/>
                <w:highlight w:val="none"/>
              </w:rPr>
              <w:t>/</w:t>
            </w:r>
            <w:r>
              <w:rPr>
                <w:rFonts w:hint="eastAsia"/>
                <w:b/>
                <w:sz w:val="24"/>
                <w:highlight w:val="none"/>
              </w:rPr>
              <w:t>传真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华南地区或</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广东省总代理或中国总代理或生产厂家</w:t>
            </w:r>
          </w:p>
        </w:tc>
        <w:tc>
          <w:tcPr>
            <w:tcW w:w="4139"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单位名称：</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地    址：</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销售负责人：</w:t>
            </w:r>
          </w:p>
        </w:tc>
        <w:tc>
          <w:tcPr>
            <w:tcW w:w="2755"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Name:</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Tel:</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0" w:hRule="atLeast"/>
          <w:jc w:val="center"/>
        </w:trPr>
        <w:tc>
          <w:tcPr>
            <w:tcW w:w="1826"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关键设备</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合法来源渠道</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（1）</w:t>
            </w:r>
          </w:p>
        </w:tc>
        <w:tc>
          <w:tcPr>
            <w:tcW w:w="4139"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 xml:space="preserve">产品名称： </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制造/供应商：</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 xml:space="preserve">生产地：            </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经销总代理：</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销售负责人：</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产品介绍和报价的权威网站：</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产品合法来源验证查询专线：</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售后服务管理验证查询专线：</w:t>
            </w:r>
          </w:p>
        </w:tc>
        <w:tc>
          <w:tcPr>
            <w:tcW w:w="2755"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Tel:</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关键设备</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合法来源渠道</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（2）</w:t>
            </w:r>
          </w:p>
        </w:tc>
        <w:tc>
          <w:tcPr>
            <w:tcW w:w="4139"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 xml:space="preserve">产品名称： </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制造/供应商：</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 xml:space="preserve">生产地：            </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经销总代理：</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销售负责人：</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产品介绍和报价的权威网站：</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产品合法来源验证查询专线：</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售后服务管理验证查询专线：</w:t>
            </w:r>
          </w:p>
        </w:tc>
        <w:tc>
          <w:tcPr>
            <w:tcW w:w="2755"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Tel:</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Fax: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设在</w:t>
            </w:r>
            <w:r>
              <w:rPr>
                <w:rFonts w:hint="eastAsia" w:ascii="宋体" w:hAnsi="宋体" w:eastAsia="宋体" w:cs="宋体"/>
                <w:sz w:val="24"/>
                <w:highlight w:val="none"/>
                <w:lang w:val="en-US" w:eastAsia="zh-CN"/>
              </w:rPr>
              <w:t>海南</w:t>
            </w:r>
            <w:r>
              <w:rPr>
                <w:rFonts w:hint="eastAsia" w:ascii="宋体" w:hAnsi="宋体" w:eastAsia="宋体" w:cs="宋体"/>
                <w:sz w:val="24"/>
                <w:highlight w:val="none"/>
              </w:rPr>
              <w:t>省内的售后服务机构情况</w:t>
            </w:r>
          </w:p>
        </w:tc>
        <w:tc>
          <w:tcPr>
            <w:tcW w:w="4139"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机构名称：</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地    址：</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负 责 人：</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服务机构性质：</w:t>
            </w:r>
          </w:p>
        </w:tc>
        <w:tc>
          <w:tcPr>
            <w:tcW w:w="2755" w:type="dxa"/>
            <w:vAlign w:val="center"/>
          </w:tcPr>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Name:</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Tel:</w:t>
            </w:r>
          </w:p>
          <w:p>
            <w:pPr>
              <w:adjustRightInd w:val="0"/>
              <w:snapToGrid w:val="0"/>
              <w:spacing w:line="400" w:lineRule="exact"/>
              <w:rPr>
                <w:rFonts w:hint="eastAsia" w:ascii="宋体" w:hAnsi="宋体" w:eastAsia="宋体" w:cs="宋体"/>
                <w:sz w:val="24"/>
                <w:highlight w:val="none"/>
              </w:rPr>
            </w:pPr>
            <w:r>
              <w:rPr>
                <w:rFonts w:hint="eastAsia" w:ascii="宋体" w:hAnsi="宋体" w:eastAsia="宋体" w:cs="宋体"/>
                <w:sz w:val="24"/>
                <w:highlight w:val="none"/>
              </w:rPr>
              <w:t>Fax:</w:t>
            </w:r>
          </w:p>
        </w:tc>
      </w:tr>
    </w:tbl>
    <w:p>
      <w:pPr>
        <w:adjustRightInd w:val="0"/>
        <w:snapToGrid w:val="0"/>
        <w:spacing w:before="72" w:after="72" w:line="360" w:lineRule="auto"/>
        <w:ind w:firstLine="2940" w:firstLineChars="1225"/>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numPr>
          <w:ilvl w:val="0"/>
          <w:numId w:val="164"/>
        </w:numPr>
        <w:spacing w:before="72" w:after="72" w:line="360" w:lineRule="auto"/>
        <w:jc w:val="center"/>
        <w:rPr>
          <w:rFonts w:ascii="宋体" w:hAnsi="宋体" w:cs="宋体"/>
          <w:b/>
          <w:kern w:val="44"/>
          <w:sz w:val="30"/>
          <w:szCs w:val="30"/>
          <w:highlight w:val="none"/>
        </w:rPr>
      </w:pPr>
      <w:r>
        <w:rPr>
          <w:rFonts w:hint="eastAsia" w:ascii="宋体" w:hAnsi="宋体" w:cs="宋体"/>
          <w:b/>
          <w:kern w:val="44"/>
          <w:sz w:val="30"/>
          <w:szCs w:val="30"/>
          <w:highlight w:val="none"/>
        </w:rPr>
        <w:t>同类项目业绩介绍</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930"/>
        <w:gridCol w:w="2908"/>
        <w:gridCol w:w="1274"/>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442" w:type="pct"/>
            <w:shd w:val="clear" w:color="auto" w:fill="D8D8D8"/>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1044" w:type="pct"/>
            <w:shd w:val="clear" w:color="auto" w:fill="D8D8D8"/>
            <w:vAlign w:val="center"/>
          </w:tcPr>
          <w:p>
            <w:pPr>
              <w:jc w:val="center"/>
              <w:rPr>
                <w:rFonts w:ascii="宋体" w:hAnsi="宋体" w:cs="宋体"/>
                <w:b/>
                <w:bCs/>
                <w:sz w:val="24"/>
                <w:highlight w:val="none"/>
              </w:rPr>
            </w:pPr>
            <w:r>
              <w:rPr>
                <w:rFonts w:hint="eastAsia" w:ascii="宋体" w:hAnsi="宋体" w:cs="宋体"/>
                <w:b/>
                <w:bCs/>
                <w:sz w:val="24"/>
                <w:highlight w:val="none"/>
              </w:rPr>
              <w:t>客户名称</w:t>
            </w:r>
          </w:p>
        </w:tc>
        <w:tc>
          <w:tcPr>
            <w:tcW w:w="1573" w:type="pct"/>
            <w:shd w:val="clear" w:color="auto" w:fill="D8D8D8"/>
            <w:vAlign w:val="center"/>
          </w:tcPr>
          <w:p>
            <w:pPr>
              <w:jc w:val="center"/>
              <w:rPr>
                <w:rFonts w:ascii="宋体" w:hAnsi="宋体" w:cs="宋体"/>
                <w:b/>
                <w:bCs/>
                <w:sz w:val="24"/>
                <w:highlight w:val="none"/>
              </w:rPr>
            </w:pPr>
            <w:r>
              <w:rPr>
                <w:rFonts w:hint="eastAsia" w:ascii="宋体" w:hAnsi="宋体" w:cs="宋体"/>
                <w:b/>
                <w:bCs/>
                <w:sz w:val="24"/>
                <w:highlight w:val="none"/>
              </w:rPr>
              <w:t>项目名称及合同金额</w:t>
            </w:r>
          </w:p>
        </w:tc>
        <w:tc>
          <w:tcPr>
            <w:tcW w:w="689" w:type="pct"/>
            <w:shd w:val="clear" w:color="auto" w:fill="D8D8D8"/>
            <w:vAlign w:val="center"/>
          </w:tcPr>
          <w:p>
            <w:pPr>
              <w:jc w:val="center"/>
              <w:rPr>
                <w:rFonts w:ascii="宋体" w:hAnsi="宋体" w:cs="宋体"/>
                <w:b/>
                <w:bCs/>
                <w:sz w:val="24"/>
                <w:highlight w:val="none"/>
              </w:rPr>
            </w:pPr>
            <w:r>
              <w:rPr>
                <w:rFonts w:hint="eastAsia" w:ascii="宋体" w:hAnsi="宋体" w:cs="宋体"/>
                <w:b/>
                <w:bCs/>
                <w:sz w:val="24"/>
                <w:highlight w:val="none"/>
              </w:rPr>
              <w:t>签订时间</w:t>
            </w:r>
          </w:p>
        </w:tc>
        <w:tc>
          <w:tcPr>
            <w:tcW w:w="1248" w:type="pct"/>
            <w:shd w:val="clear" w:color="auto" w:fill="D8D8D8"/>
            <w:vAlign w:val="center"/>
          </w:tcPr>
          <w:p>
            <w:pPr>
              <w:jc w:val="center"/>
              <w:rPr>
                <w:rFonts w:ascii="宋体" w:hAnsi="宋体" w:cs="宋体"/>
                <w:b/>
                <w:bCs/>
                <w:sz w:val="24"/>
                <w:highlight w:val="none"/>
              </w:rPr>
            </w:pPr>
            <w:r>
              <w:rPr>
                <w:rFonts w:hint="eastAsia" w:ascii="宋体" w:hAnsi="宋体" w:cs="宋体"/>
                <w:b/>
                <w:bCs/>
                <w:sz w:val="24"/>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2" w:type="pct"/>
            <w:vAlign w:val="center"/>
          </w:tcPr>
          <w:p>
            <w:pPr>
              <w:jc w:val="center"/>
              <w:rPr>
                <w:rFonts w:ascii="宋体" w:hAnsi="宋体" w:cs="宋体"/>
                <w:sz w:val="24"/>
                <w:highlight w:val="none"/>
              </w:rPr>
            </w:pPr>
            <w:r>
              <w:rPr>
                <w:rFonts w:hint="eastAsia" w:ascii="宋体" w:hAnsi="宋体" w:cs="宋体"/>
                <w:sz w:val="24"/>
                <w:highlight w:val="none"/>
              </w:rPr>
              <w:t>1</w:t>
            </w:r>
          </w:p>
        </w:tc>
        <w:tc>
          <w:tcPr>
            <w:tcW w:w="1044" w:type="pct"/>
            <w:vAlign w:val="center"/>
          </w:tcPr>
          <w:p>
            <w:pPr>
              <w:jc w:val="center"/>
              <w:rPr>
                <w:rFonts w:ascii="宋体" w:hAnsi="宋体" w:cs="宋体"/>
                <w:sz w:val="24"/>
                <w:highlight w:val="none"/>
              </w:rPr>
            </w:pPr>
          </w:p>
        </w:tc>
        <w:tc>
          <w:tcPr>
            <w:tcW w:w="1573" w:type="pct"/>
            <w:vAlign w:val="center"/>
          </w:tcPr>
          <w:p>
            <w:pPr>
              <w:jc w:val="center"/>
              <w:rPr>
                <w:rFonts w:ascii="宋体" w:hAnsi="宋体" w:cs="宋体"/>
                <w:sz w:val="24"/>
                <w:highlight w:val="none"/>
              </w:rPr>
            </w:pPr>
          </w:p>
        </w:tc>
        <w:tc>
          <w:tcPr>
            <w:tcW w:w="689" w:type="pct"/>
            <w:vAlign w:val="center"/>
          </w:tcPr>
          <w:p>
            <w:pPr>
              <w:jc w:val="center"/>
              <w:rPr>
                <w:rFonts w:ascii="宋体" w:hAnsi="宋体" w:cs="宋体"/>
                <w:sz w:val="24"/>
                <w:highlight w:val="none"/>
              </w:rPr>
            </w:pPr>
          </w:p>
        </w:tc>
        <w:tc>
          <w:tcPr>
            <w:tcW w:w="1248" w:type="pct"/>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2" w:type="pct"/>
            <w:vAlign w:val="center"/>
          </w:tcPr>
          <w:p>
            <w:pPr>
              <w:jc w:val="center"/>
              <w:rPr>
                <w:rFonts w:ascii="宋体" w:hAnsi="宋体" w:cs="宋体"/>
                <w:sz w:val="24"/>
                <w:highlight w:val="none"/>
              </w:rPr>
            </w:pPr>
            <w:r>
              <w:rPr>
                <w:rFonts w:hint="eastAsia" w:ascii="宋体" w:hAnsi="宋体" w:cs="宋体"/>
                <w:sz w:val="24"/>
                <w:highlight w:val="none"/>
              </w:rPr>
              <w:t>2</w:t>
            </w:r>
          </w:p>
        </w:tc>
        <w:tc>
          <w:tcPr>
            <w:tcW w:w="1044" w:type="pct"/>
            <w:vAlign w:val="center"/>
          </w:tcPr>
          <w:p>
            <w:pPr>
              <w:jc w:val="center"/>
              <w:rPr>
                <w:rFonts w:ascii="宋体" w:hAnsi="宋体" w:cs="宋体"/>
                <w:sz w:val="24"/>
                <w:highlight w:val="none"/>
              </w:rPr>
            </w:pPr>
          </w:p>
        </w:tc>
        <w:tc>
          <w:tcPr>
            <w:tcW w:w="1573" w:type="pct"/>
            <w:vAlign w:val="center"/>
          </w:tcPr>
          <w:p>
            <w:pPr>
              <w:jc w:val="center"/>
              <w:rPr>
                <w:rFonts w:ascii="宋体" w:hAnsi="宋体" w:cs="宋体"/>
                <w:sz w:val="24"/>
                <w:highlight w:val="none"/>
              </w:rPr>
            </w:pPr>
          </w:p>
        </w:tc>
        <w:tc>
          <w:tcPr>
            <w:tcW w:w="689" w:type="pct"/>
            <w:vAlign w:val="center"/>
          </w:tcPr>
          <w:p>
            <w:pPr>
              <w:pStyle w:val="56"/>
              <w:rPr>
                <w:rFonts w:ascii="宋体" w:hAnsi="宋体" w:cs="宋体"/>
                <w:color w:val="auto"/>
                <w:sz w:val="24"/>
                <w:szCs w:val="24"/>
                <w:highlight w:val="none"/>
              </w:rPr>
            </w:pPr>
          </w:p>
        </w:tc>
        <w:tc>
          <w:tcPr>
            <w:tcW w:w="1248" w:type="pct"/>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2" w:type="pct"/>
            <w:vAlign w:val="center"/>
          </w:tcPr>
          <w:p>
            <w:pPr>
              <w:jc w:val="center"/>
              <w:rPr>
                <w:rFonts w:ascii="宋体" w:hAnsi="宋体" w:cs="宋体"/>
                <w:sz w:val="24"/>
                <w:highlight w:val="none"/>
              </w:rPr>
            </w:pPr>
            <w:r>
              <w:rPr>
                <w:rFonts w:hint="eastAsia" w:ascii="宋体" w:hAnsi="宋体" w:cs="宋体"/>
                <w:sz w:val="24"/>
                <w:highlight w:val="none"/>
              </w:rPr>
              <w:t>3</w:t>
            </w:r>
          </w:p>
        </w:tc>
        <w:tc>
          <w:tcPr>
            <w:tcW w:w="1044" w:type="pct"/>
            <w:vAlign w:val="center"/>
          </w:tcPr>
          <w:p>
            <w:pPr>
              <w:jc w:val="center"/>
              <w:rPr>
                <w:rFonts w:ascii="宋体" w:hAnsi="宋体" w:cs="宋体"/>
                <w:sz w:val="24"/>
                <w:highlight w:val="none"/>
              </w:rPr>
            </w:pPr>
          </w:p>
        </w:tc>
        <w:tc>
          <w:tcPr>
            <w:tcW w:w="1573" w:type="pct"/>
            <w:vAlign w:val="center"/>
          </w:tcPr>
          <w:p>
            <w:pPr>
              <w:jc w:val="center"/>
              <w:rPr>
                <w:rFonts w:ascii="宋体" w:hAnsi="宋体" w:cs="宋体"/>
                <w:sz w:val="24"/>
                <w:highlight w:val="none"/>
              </w:rPr>
            </w:pPr>
          </w:p>
        </w:tc>
        <w:tc>
          <w:tcPr>
            <w:tcW w:w="689" w:type="pct"/>
            <w:vAlign w:val="center"/>
          </w:tcPr>
          <w:p>
            <w:pPr>
              <w:jc w:val="center"/>
              <w:rPr>
                <w:rFonts w:ascii="宋体" w:hAnsi="宋体" w:cs="宋体"/>
                <w:sz w:val="24"/>
                <w:highlight w:val="none"/>
              </w:rPr>
            </w:pPr>
          </w:p>
        </w:tc>
        <w:tc>
          <w:tcPr>
            <w:tcW w:w="1248" w:type="pct"/>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42" w:type="pct"/>
            <w:vAlign w:val="center"/>
          </w:tcPr>
          <w:p>
            <w:pPr>
              <w:jc w:val="center"/>
              <w:rPr>
                <w:rFonts w:ascii="宋体" w:hAnsi="宋体" w:cs="宋体"/>
                <w:sz w:val="24"/>
                <w:highlight w:val="none"/>
              </w:rPr>
            </w:pPr>
            <w:r>
              <w:rPr>
                <w:rFonts w:hint="eastAsia" w:ascii="宋体" w:hAnsi="宋体" w:cs="宋体"/>
                <w:sz w:val="24"/>
                <w:highlight w:val="none"/>
              </w:rPr>
              <w:t>…</w:t>
            </w:r>
          </w:p>
        </w:tc>
        <w:tc>
          <w:tcPr>
            <w:tcW w:w="1044" w:type="pct"/>
            <w:vAlign w:val="center"/>
          </w:tcPr>
          <w:p>
            <w:pPr>
              <w:jc w:val="center"/>
              <w:rPr>
                <w:rFonts w:ascii="宋体" w:hAnsi="宋体" w:cs="宋体"/>
                <w:sz w:val="24"/>
                <w:highlight w:val="none"/>
              </w:rPr>
            </w:pPr>
          </w:p>
        </w:tc>
        <w:tc>
          <w:tcPr>
            <w:tcW w:w="1573" w:type="pct"/>
            <w:vAlign w:val="center"/>
          </w:tcPr>
          <w:p>
            <w:pPr>
              <w:jc w:val="center"/>
              <w:rPr>
                <w:rFonts w:ascii="宋体" w:hAnsi="宋体" w:cs="宋体"/>
                <w:sz w:val="24"/>
                <w:highlight w:val="none"/>
              </w:rPr>
            </w:pPr>
          </w:p>
        </w:tc>
        <w:tc>
          <w:tcPr>
            <w:tcW w:w="689" w:type="pct"/>
            <w:vAlign w:val="center"/>
          </w:tcPr>
          <w:p>
            <w:pPr>
              <w:jc w:val="center"/>
              <w:rPr>
                <w:rFonts w:ascii="宋体" w:hAnsi="宋体" w:cs="宋体"/>
                <w:sz w:val="24"/>
                <w:highlight w:val="none"/>
              </w:rPr>
            </w:pPr>
          </w:p>
        </w:tc>
        <w:tc>
          <w:tcPr>
            <w:tcW w:w="1248" w:type="pct"/>
            <w:vAlign w:val="center"/>
          </w:tcPr>
          <w:p>
            <w:pPr>
              <w:jc w:val="center"/>
              <w:rPr>
                <w:rFonts w:ascii="宋体" w:hAnsi="宋体" w:cs="宋体"/>
                <w:sz w:val="24"/>
                <w:highlight w:val="none"/>
              </w:rPr>
            </w:pPr>
          </w:p>
        </w:tc>
      </w:tr>
    </w:tbl>
    <w:p>
      <w:pPr>
        <w:adjustRightInd w:val="0"/>
        <w:snapToGrid w:val="0"/>
        <w:spacing w:line="360" w:lineRule="auto"/>
        <w:ind w:left="-420" w:leftChars="-200" w:firstLine="420" w:firstLineChars="175"/>
        <w:rPr>
          <w:rFonts w:ascii="宋体" w:hAnsi="宋体" w:cs="宋体"/>
          <w:sz w:val="24"/>
          <w:highlight w:val="none"/>
          <w:lang w:val="en-GB"/>
        </w:rPr>
      </w:pPr>
      <w:r>
        <w:rPr>
          <w:rFonts w:hint="eastAsia" w:ascii="宋体" w:hAnsi="宋体" w:cs="宋体"/>
          <w:sz w:val="24"/>
          <w:highlight w:val="none"/>
        </w:rPr>
        <w:t>注：</w:t>
      </w:r>
      <w:r>
        <w:rPr>
          <w:rFonts w:hint="eastAsia" w:ascii="宋体" w:hAnsi="宋体" w:cs="宋体"/>
          <w:sz w:val="24"/>
          <w:highlight w:val="none"/>
          <w:lang w:val="en-GB"/>
        </w:rPr>
        <w:t>投标人必须按评审表要求提供证明材料。</w:t>
      </w:r>
    </w:p>
    <w:p>
      <w:pPr>
        <w:rPr>
          <w:rFonts w:ascii="仿宋_GB2312" w:hAnsi="仿宋" w:eastAsia="仿宋_GB2312"/>
          <w:highlight w:val="none"/>
        </w:rPr>
      </w:pPr>
    </w:p>
    <w:p>
      <w:pPr>
        <w:rPr>
          <w:rFonts w:ascii="仿宋_GB2312" w:hAnsi="仿宋" w:eastAsia="仿宋_GB2312"/>
          <w:highlight w:val="none"/>
        </w:rPr>
      </w:pPr>
    </w:p>
    <w:p>
      <w:pPr>
        <w:rPr>
          <w:rFonts w:ascii="仿宋_GB2312" w:hAnsi="仿宋" w:eastAsia="仿宋_GB2312"/>
          <w:highlight w:val="none"/>
        </w:rPr>
      </w:pPr>
    </w:p>
    <w:p>
      <w:pPr>
        <w:pStyle w:val="46"/>
        <w:rPr>
          <w:rFonts w:ascii="仿宋_GB2312" w:hAnsi="仿宋" w:eastAsia="仿宋_GB2312"/>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numPr>
          <w:ilvl w:val="0"/>
          <w:numId w:val="164"/>
        </w:numPr>
        <w:spacing w:before="72" w:after="72" w:line="360" w:lineRule="auto"/>
        <w:jc w:val="center"/>
        <w:rPr>
          <w:rFonts w:ascii="宋体" w:hAnsi="宋体" w:cs="宋体"/>
          <w:b/>
          <w:kern w:val="44"/>
          <w:sz w:val="30"/>
          <w:szCs w:val="30"/>
          <w:highlight w:val="none"/>
        </w:rPr>
      </w:pPr>
      <w:r>
        <w:rPr>
          <w:rFonts w:hint="eastAsia" w:ascii="宋体" w:hAnsi="宋体" w:cs="宋体"/>
          <w:b/>
          <w:kern w:val="44"/>
          <w:sz w:val="30"/>
          <w:szCs w:val="30"/>
          <w:highlight w:val="none"/>
        </w:rPr>
        <w:t>拟任管理及技术人员情况</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1124"/>
        <w:gridCol w:w="1103"/>
        <w:gridCol w:w="2441"/>
        <w:gridCol w:w="954"/>
        <w:gridCol w:w="754"/>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457" w:type="pct"/>
            <w:tcBorders>
              <w:top w:val="single" w:color="auto" w:sz="4" w:space="0"/>
              <w:left w:val="single" w:color="auto" w:sz="4" w:space="0"/>
              <w:bottom w:val="nil"/>
              <w:right w:val="single" w:color="auto" w:sz="4" w:space="0"/>
            </w:tcBorders>
            <w:shd w:val="clear" w:color="auto" w:fill="D8D8D8"/>
            <w:vAlign w:val="center"/>
          </w:tcPr>
          <w:p>
            <w:pPr>
              <w:jc w:val="center"/>
              <w:rPr>
                <w:rFonts w:ascii="宋体" w:hAnsi="宋体" w:cs="宋体"/>
                <w:b/>
                <w:sz w:val="24"/>
                <w:highlight w:val="none"/>
              </w:rPr>
            </w:pPr>
            <w:r>
              <w:rPr>
                <w:rFonts w:hint="eastAsia" w:ascii="宋体" w:hAnsi="宋体" w:cs="宋体"/>
                <w:b/>
                <w:sz w:val="24"/>
                <w:highlight w:val="none"/>
              </w:rPr>
              <w:t>职责分工</w:t>
            </w:r>
          </w:p>
        </w:tc>
        <w:tc>
          <w:tcPr>
            <w:tcW w:w="608" w:type="pct"/>
            <w:tcBorders>
              <w:top w:val="single" w:color="auto" w:sz="4" w:space="0"/>
              <w:left w:val="single" w:color="auto" w:sz="4" w:space="0"/>
              <w:bottom w:val="nil"/>
              <w:right w:val="single" w:color="auto" w:sz="4" w:space="0"/>
            </w:tcBorders>
            <w:shd w:val="clear" w:color="auto" w:fill="D8D8D8"/>
            <w:vAlign w:val="center"/>
          </w:tcPr>
          <w:p>
            <w:pPr>
              <w:jc w:val="center"/>
              <w:rPr>
                <w:rFonts w:ascii="宋体" w:hAnsi="宋体" w:cs="宋体"/>
                <w:b/>
                <w:sz w:val="24"/>
                <w:highlight w:val="none"/>
              </w:rPr>
            </w:pPr>
            <w:r>
              <w:rPr>
                <w:rFonts w:hint="eastAsia" w:ascii="宋体" w:hAnsi="宋体" w:cs="宋体"/>
                <w:b/>
                <w:sz w:val="24"/>
                <w:highlight w:val="none"/>
              </w:rPr>
              <w:t>姓名</w:t>
            </w:r>
          </w:p>
        </w:tc>
        <w:tc>
          <w:tcPr>
            <w:tcW w:w="597" w:type="pct"/>
            <w:tcBorders>
              <w:top w:val="single" w:color="auto" w:sz="4" w:space="0"/>
              <w:left w:val="single" w:color="auto" w:sz="4" w:space="0"/>
              <w:bottom w:val="nil"/>
            </w:tcBorders>
            <w:shd w:val="clear" w:color="auto" w:fill="D8D8D8"/>
            <w:vAlign w:val="center"/>
          </w:tcPr>
          <w:p>
            <w:pPr>
              <w:jc w:val="center"/>
              <w:rPr>
                <w:rFonts w:ascii="宋体" w:hAnsi="宋体" w:cs="宋体"/>
                <w:b/>
                <w:sz w:val="24"/>
                <w:highlight w:val="none"/>
              </w:rPr>
            </w:pPr>
            <w:r>
              <w:rPr>
                <w:rFonts w:hint="eastAsia" w:ascii="宋体" w:hAnsi="宋体" w:cs="宋体"/>
                <w:b/>
                <w:sz w:val="24"/>
                <w:highlight w:val="none"/>
              </w:rPr>
              <w:t>现职务</w:t>
            </w:r>
          </w:p>
        </w:tc>
        <w:tc>
          <w:tcPr>
            <w:tcW w:w="1321" w:type="pct"/>
            <w:tcBorders>
              <w:top w:val="single" w:color="auto" w:sz="4" w:space="0"/>
              <w:bottom w:val="nil"/>
            </w:tcBorders>
            <w:shd w:val="clear" w:color="auto" w:fill="D8D8D8"/>
            <w:vAlign w:val="center"/>
          </w:tcPr>
          <w:p>
            <w:pPr>
              <w:jc w:val="center"/>
              <w:rPr>
                <w:rFonts w:ascii="宋体" w:hAnsi="宋体" w:cs="宋体"/>
                <w:b/>
                <w:sz w:val="24"/>
                <w:highlight w:val="none"/>
              </w:rPr>
            </w:pPr>
            <w:r>
              <w:rPr>
                <w:rFonts w:hint="eastAsia" w:ascii="宋体" w:hAnsi="宋体" w:cs="宋体"/>
                <w:b/>
                <w:sz w:val="24"/>
                <w:highlight w:val="none"/>
              </w:rPr>
              <w:t>曾主持/参与的同类项目经历</w:t>
            </w:r>
          </w:p>
        </w:tc>
        <w:tc>
          <w:tcPr>
            <w:tcW w:w="516" w:type="pct"/>
            <w:tcBorders>
              <w:top w:val="single" w:color="auto" w:sz="4" w:space="0"/>
              <w:bottom w:val="nil"/>
            </w:tcBorders>
            <w:shd w:val="clear" w:color="auto" w:fill="D8D8D8"/>
            <w:vAlign w:val="center"/>
          </w:tcPr>
          <w:p>
            <w:pPr>
              <w:jc w:val="center"/>
              <w:rPr>
                <w:rFonts w:ascii="宋体" w:hAnsi="宋体" w:cs="宋体"/>
                <w:b/>
                <w:sz w:val="24"/>
                <w:highlight w:val="none"/>
              </w:rPr>
            </w:pPr>
            <w:r>
              <w:rPr>
                <w:rFonts w:hint="eastAsia" w:ascii="宋体" w:hAnsi="宋体" w:cs="宋体"/>
                <w:b/>
                <w:sz w:val="24"/>
                <w:highlight w:val="none"/>
              </w:rPr>
              <w:t>职称</w:t>
            </w:r>
          </w:p>
        </w:tc>
        <w:tc>
          <w:tcPr>
            <w:tcW w:w="408" w:type="pct"/>
            <w:tcBorders>
              <w:top w:val="single" w:color="auto" w:sz="4" w:space="0"/>
              <w:bottom w:val="nil"/>
              <w:right w:val="single" w:color="auto" w:sz="4" w:space="0"/>
            </w:tcBorders>
            <w:shd w:val="clear" w:color="auto" w:fill="D8D8D8"/>
            <w:vAlign w:val="center"/>
          </w:tcPr>
          <w:p>
            <w:pPr>
              <w:ind w:firstLine="12"/>
              <w:jc w:val="center"/>
              <w:rPr>
                <w:rFonts w:ascii="宋体" w:hAnsi="宋体" w:cs="宋体"/>
                <w:b/>
                <w:sz w:val="24"/>
                <w:highlight w:val="none"/>
              </w:rPr>
            </w:pPr>
            <w:r>
              <w:rPr>
                <w:rFonts w:hint="eastAsia" w:ascii="宋体" w:hAnsi="宋体" w:cs="宋体"/>
                <w:b/>
                <w:sz w:val="24"/>
                <w:highlight w:val="none"/>
              </w:rPr>
              <w:t>专业工龄</w:t>
            </w:r>
          </w:p>
        </w:tc>
        <w:tc>
          <w:tcPr>
            <w:tcW w:w="1091" w:type="pct"/>
            <w:tcBorders>
              <w:top w:val="single" w:color="auto" w:sz="4" w:space="0"/>
              <w:bottom w:val="nil"/>
              <w:right w:val="single" w:color="auto" w:sz="4" w:space="0"/>
            </w:tcBorders>
            <w:shd w:val="clear" w:color="auto" w:fill="D8D8D8"/>
            <w:vAlign w:val="center"/>
          </w:tcPr>
          <w:p>
            <w:pPr>
              <w:ind w:firstLine="12"/>
              <w:jc w:val="center"/>
              <w:rPr>
                <w:rFonts w:ascii="宋体" w:hAnsi="宋体" w:cs="宋体"/>
                <w:b/>
                <w:sz w:val="24"/>
                <w:highlight w:val="none"/>
              </w:rPr>
            </w:pPr>
            <w:r>
              <w:rPr>
                <w:rFonts w:hint="eastAsia" w:ascii="宋体" w:hAnsi="宋体" w:cs="宋体"/>
                <w:b/>
                <w:sz w:val="24"/>
                <w:highlight w:val="none"/>
              </w:rPr>
              <w:t>联系电话/手机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exact"/>
          <w:jc w:val="center"/>
        </w:trPr>
        <w:tc>
          <w:tcPr>
            <w:tcW w:w="457" w:type="pct"/>
            <w:tcBorders>
              <w:top w:val="single" w:color="auto" w:sz="4" w:space="0"/>
              <w:left w:val="single" w:color="auto" w:sz="4" w:space="0"/>
              <w:bottom w:val="nil"/>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总负责人</w:t>
            </w:r>
          </w:p>
        </w:tc>
        <w:tc>
          <w:tcPr>
            <w:tcW w:w="608" w:type="pct"/>
            <w:tcBorders>
              <w:top w:val="single" w:color="auto" w:sz="4" w:space="0"/>
              <w:left w:val="single" w:color="auto" w:sz="4" w:space="0"/>
              <w:bottom w:val="nil"/>
              <w:right w:val="single" w:color="auto" w:sz="4" w:space="0"/>
            </w:tcBorders>
            <w:vAlign w:val="center"/>
          </w:tcPr>
          <w:p>
            <w:pPr>
              <w:jc w:val="center"/>
              <w:rPr>
                <w:rFonts w:ascii="宋体" w:hAnsi="宋体" w:cs="宋体"/>
                <w:sz w:val="24"/>
                <w:highlight w:val="none"/>
              </w:rPr>
            </w:pPr>
          </w:p>
        </w:tc>
        <w:tc>
          <w:tcPr>
            <w:tcW w:w="597" w:type="pct"/>
            <w:tcBorders>
              <w:top w:val="single" w:color="auto" w:sz="4" w:space="0"/>
              <w:left w:val="single" w:color="auto" w:sz="4" w:space="0"/>
              <w:bottom w:val="nil"/>
            </w:tcBorders>
            <w:vAlign w:val="center"/>
          </w:tcPr>
          <w:p>
            <w:pPr>
              <w:jc w:val="center"/>
              <w:rPr>
                <w:rFonts w:ascii="宋体" w:hAnsi="宋体" w:cs="宋体"/>
                <w:sz w:val="24"/>
                <w:highlight w:val="none"/>
              </w:rPr>
            </w:pPr>
          </w:p>
        </w:tc>
        <w:tc>
          <w:tcPr>
            <w:tcW w:w="1321" w:type="pct"/>
            <w:tcBorders>
              <w:top w:val="single" w:color="auto" w:sz="4" w:space="0"/>
              <w:bottom w:val="nil"/>
            </w:tcBorders>
            <w:vAlign w:val="center"/>
          </w:tcPr>
          <w:p>
            <w:pPr>
              <w:pStyle w:val="60"/>
              <w:keepNext w:val="0"/>
              <w:adjustRightInd/>
              <w:spacing w:line="240" w:lineRule="auto"/>
              <w:textAlignment w:val="auto"/>
              <w:rPr>
                <w:rFonts w:ascii="宋体" w:hAnsi="宋体" w:cs="宋体"/>
                <w:spacing w:val="0"/>
                <w:kern w:val="2"/>
                <w:szCs w:val="24"/>
                <w:highlight w:val="none"/>
              </w:rPr>
            </w:pPr>
          </w:p>
        </w:tc>
        <w:tc>
          <w:tcPr>
            <w:tcW w:w="516" w:type="pct"/>
            <w:tcBorders>
              <w:top w:val="single" w:color="auto" w:sz="4" w:space="0"/>
              <w:bottom w:val="nil"/>
            </w:tcBorders>
            <w:vAlign w:val="center"/>
          </w:tcPr>
          <w:p>
            <w:pPr>
              <w:jc w:val="center"/>
              <w:rPr>
                <w:rFonts w:ascii="宋体" w:hAnsi="宋体" w:cs="宋体"/>
                <w:sz w:val="24"/>
                <w:highlight w:val="none"/>
              </w:rPr>
            </w:pPr>
          </w:p>
        </w:tc>
        <w:tc>
          <w:tcPr>
            <w:tcW w:w="408" w:type="pct"/>
            <w:tcBorders>
              <w:top w:val="single" w:color="auto" w:sz="4" w:space="0"/>
              <w:bottom w:val="nil"/>
              <w:right w:val="single" w:color="auto" w:sz="4" w:space="0"/>
            </w:tcBorders>
            <w:vAlign w:val="center"/>
          </w:tcPr>
          <w:p>
            <w:pPr>
              <w:ind w:firstLine="12"/>
              <w:jc w:val="center"/>
              <w:rPr>
                <w:rFonts w:ascii="宋体" w:hAnsi="宋体" w:cs="宋体"/>
                <w:sz w:val="24"/>
                <w:highlight w:val="none"/>
              </w:rPr>
            </w:pPr>
          </w:p>
        </w:tc>
        <w:tc>
          <w:tcPr>
            <w:tcW w:w="1091" w:type="pct"/>
            <w:tcBorders>
              <w:top w:val="single" w:color="auto" w:sz="4" w:space="0"/>
              <w:bottom w:val="nil"/>
              <w:right w:val="single" w:color="auto" w:sz="4" w:space="0"/>
            </w:tcBorders>
            <w:vAlign w:val="center"/>
          </w:tcPr>
          <w:p>
            <w:pPr>
              <w:ind w:firstLine="12"/>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7" w:type="pct"/>
            <w:vMerge w:val="restart"/>
            <w:tcBorders>
              <w:left w:val="single" w:color="auto" w:sz="4" w:space="0"/>
              <w:right w:val="single" w:color="auto" w:sz="4" w:space="0"/>
            </w:tcBorders>
            <w:vAlign w:val="center"/>
          </w:tcPr>
          <w:p>
            <w:pPr>
              <w:jc w:val="center"/>
              <w:rPr>
                <w:rFonts w:ascii="宋体" w:hAnsi="宋体" w:cs="宋体"/>
                <w:bCs/>
                <w:sz w:val="24"/>
                <w:highlight w:val="none"/>
              </w:rPr>
            </w:pPr>
            <w:r>
              <w:rPr>
                <w:rFonts w:hint="eastAsia" w:ascii="宋体" w:hAnsi="宋体" w:cs="宋体"/>
                <w:bCs/>
                <w:sz w:val="24"/>
                <w:highlight w:val="none"/>
              </w:rPr>
              <w:t>其他主要技术人员</w:t>
            </w:r>
          </w:p>
        </w:tc>
        <w:tc>
          <w:tcPr>
            <w:tcW w:w="608" w:type="pct"/>
            <w:tcBorders>
              <w:left w:val="single" w:color="auto" w:sz="4" w:space="0"/>
              <w:right w:val="single" w:color="auto" w:sz="4" w:space="0"/>
            </w:tcBorders>
            <w:vAlign w:val="center"/>
          </w:tcPr>
          <w:p>
            <w:pPr>
              <w:jc w:val="center"/>
              <w:rPr>
                <w:rFonts w:ascii="宋体" w:hAnsi="宋体" w:cs="宋体"/>
                <w:sz w:val="24"/>
                <w:highlight w:val="none"/>
              </w:rPr>
            </w:pPr>
          </w:p>
        </w:tc>
        <w:tc>
          <w:tcPr>
            <w:tcW w:w="597" w:type="pct"/>
            <w:tcBorders>
              <w:left w:val="single" w:color="auto" w:sz="4" w:space="0"/>
            </w:tcBorders>
            <w:vAlign w:val="center"/>
          </w:tcPr>
          <w:p>
            <w:pPr>
              <w:jc w:val="center"/>
              <w:rPr>
                <w:rFonts w:ascii="宋体" w:hAnsi="宋体" w:cs="宋体"/>
                <w:sz w:val="24"/>
                <w:highlight w:val="none"/>
              </w:rPr>
            </w:pPr>
          </w:p>
        </w:tc>
        <w:tc>
          <w:tcPr>
            <w:tcW w:w="1321" w:type="pct"/>
            <w:vAlign w:val="center"/>
          </w:tcPr>
          <w:p>
            <w:pPr>
              <w:jc w:val="center"/>
              <w:rPr>
                <w:rFonts w:ascii="宋体" w:hAnsi="宋体" w:cs="宋体"/>
                <w:sz w:val="24"/>
                <w:highlight w:val="none"/>
              </w:rPr>
            </w:pPr>
          </w:p>
        </w:tc>
        <w:tc>
          <w:tcPr>
            <w:tcW w:w="516" w:type="pct"/>
            <w:vAlign w:val="center"/>
          </w:tcPr>
          <w:p>
            <w:pPr>
              <w:jc w:val="center"/>
              <w:rPr>
                <w:rFonts w:ascii="宋体" w:hAnsi="宋体" w:cs="宋体"/>
                <w:sz w:val="24"/>
                <w:highlight w:val="none"/>
              </w:rPr>
            </w:pPr>
          </w:p>
        </w:tc>
        <w:tc>
          <w:tcPr>
            <w:tcW w:w="408" w:type="pct"/>
            <w:tcBorders>
              <w:right w:val="single" w:color="auto" w:sz="4" w:space="0"/>
            </w:tcBorders>
            <w:vAlign w:val="center"/>
          </w:tcPr>
          <w:p>
            <w:pPr>
              <w:jc w:val="center"/>
              <w:rPr>
                <w:rFonts w:ascii="宋体" w:hAnsi="宋体" w:cs="宋体"/>
                <w:sz w:val="24"/>
                <w:highlight w:val="none"/>
              </w:rPr>
            </w:pPr>
          </w:p>
        </w:tc>
        <w:tc>
          <w:tcPr>
            <w:tcW w:w="1091" w:type="pct"/>
            <w:tcBorders>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7" w:type="pct"/>
            <w:vMerge w:val="continue"/>
            <w:tcBorders>
              <w:left w:val="single" w:color="auto" w:sz="4" w:space="0"/>
              <w:right w:val="single" w:color="auto" w:sz="4" w:space="0"/>
            </w:tcBorders>
            <w:vAlign w:val="center"/>
          </w:tcPr>
          <w:p>
            <w:pPr>
              <w:rPr>
                <w:rFonts w:ascii="宋体" w:hAnsi="宋体" w:cs="宋体"/>
                <w:sz w:val="24"/>
                <w:highlight w:val="none"/>
              </w:rPr>
            </w:pPr>
          </w:p>
        </w:tc>
        <w:tc>
          <w:tcPr>
            <w:tcW w:w="608" w:type="pct"/>
            <w:tcBorders>
              <w:left w:val="single" w:color="auto" w:sz="4" w:space="0"/>
              <w:right w:val="single" w:color="auto" w:sz="4" w:space="0"/>
            </w:tcBorders>
            <w:vAlign w:val="center"/>
          </w:tcPr>
          <w:p>
            <w:pPr>
              <w:jc w:val="center"/>
              <w:rPr>
                <w:rFonts w:ascii="宋体" w:hAnsi="宋体" w:cs="宋体"/>
                <w:sz w:val="24"/>
                <w:highlight w:val="none"/>
              </w:rPr>
            </w:pPr>
          </w:p>
        </w:tc>
        <w:tc>
          <w:tcPr>
            <w:tcW w:w="597" w:type="pct"/>
            <w:tcBorders>
              <w:left w:val="single" w:color="auto" w:sz="4" w:space="0"/>
            </w:tcBorders>
            <w:vAlign w:val="center"/>
          </w:tcPr>
          <w:p>
            <w:pPr>
              <w:jc w:val="center"/>
              <w:rPr>
                <w:rFonts w:ascii="宋体" w:hAnsi="宋体" w:cs="宋体"/>
                <w:sz w:val="24"/>
                <w:highlight w:val="none"/>
              </w:rPr>
            </w:pPr>
          </w:p>
        </w:tc>
        <w:tc>
          <w:tcPr>
            <w:tcW w:w="1321" w:type="pct"/>
            <w:vAlign w:val="center"/>
          </w:tcPr>
          <w:p>
            <w:pPr>
              <w:jc w:val="center"/>
              <w:rPr>
                <w:rFonts w:ascii="宋体" w:hAnsi="宋体" w:cs="宋体"/>
                <w:sz w:val="24"/>
                <w:highlight w:val="none"/>
              </w:rPr>
            </w:pPr>
          </w:p>
        </w:tc>
        <w:tc>
          <w:tcPr>
            <w:tcW w:w="516" w:type="pct"/>
            <w:vAlign w:val="center"/>
          </w:tcPr>
          <w:p>
            <w:pPr>
              <w:jc w:val="center"/>
              <w:rPr>
                <w:rFonts w:ascii="宋体" w:hAnsi="宋体" w:cs="宋体"/>
                <w:sz w:val="24"/>
                <w:highlight w:val="none"/>
              </w:rPr>
            </w:pPr>
          </w:p>
        </w:tc>
        <w:tc>
          <w:tcPr>
            <w:tcW w:w="408" w:type="pct"/>
            <w:tcBorders>
              <w:right w:val="single" w:color="auto" w:sz="4" w:space="0"/>
            </w:tcBorders>
            <w:vAlign w:val="center"/>
          </w:tcPr>
          <w:p>
            <w:pPr>
              <w:jc w:val="center"/>
              <w:rPr>
                <w:rFonts w:ascii="宋体" w:hAnsi="宋体" w:cs="宋体"/>
                <w:sz w:val="24"/>
                <w:highlight w:val="none"/>
              </w:rPr>
            </w:pPr>
          </w:p>
        </w:tc>
        <w:tc>
          <w:tcPr>
            <w:tcW w:w="1091" w:type="pct"/>
            <w:tcBorders>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7" w:type="pct"/>
            <w:vMerge w:val="continue"/>
            <w:tcBorders>
              <w:left w:val="single" w:color="auto" w:sz="4" w:space="0"/>
              <w:right w:val="single" w:color="auto" w:sz="4" w:space="0"/>
            </w:tcBorders>
            <w:vAlign w:val="center"/>
          </w:tcPr>
          <w:p>
            <w:pPr>
              <w:rPr>
                <w:rFonts w:ascii="宋体" w:hAnsi="宋体" w:cs="宋体"/>
                <w:sz w:val="24"/>
                <w:highlight w:val="none"/>
              </w:rPr>
            </w:pPr>
          </w:p>
        </w:tc>
        <w:tc>
          <w:tcPr>
            <w:tcW w:w="608" w:type="pct"/>
            <w:tcBorders>
              <w:left w:val="single" w:color="auto" w:sz="4" w:space="0"/>
              <w:right w:val="single" w:color="auto" w:sz="4" w:space="0"/>
            </w:tcBorders>
            <w:vAlign w:val="center"/>
          </w:tcPr>
          <w:p>
            <w:pPr>
              <w:jc w:val="center"/>
              <w:rPr>
                <w:rFonts w:ascii="宋体" w:hAnsi="宋体" w:cs="宋体"/>
                <w:sz w:val="24"/>
                <w:highlight w:val="none"/>
              </w:rPr>
            </w:pPr>
          </w:p>
        </w:tc>
        <w:tc>
          <w:tcPr>
            <w:tcW w:w="597" w:type="pct"/>
            <w:tcBorders>
              <w:left w:val="single" w:color="auto" w:sz="4" w:space="0"/>
            </w:tcBorders>
            <w:vAlign w:val="center"/>
          </w:tcPr>
          <w:p>
            <w:pPr>
              <w:jc w:val="center"/>
              <w:rPr>
                <w:rFonts w:ascii="宋体" w:hAnsi="宋体" w:cs="宋体"/>
                <w:sz w:val="24"/>
                <w:highlight w:val="none"/>
              </w:rPr>
            </w:pPr>
          </w:p>
        </w:tc>
        <w:tc>
          <w:tcPr>
            <w:tcW w:w="1321" w:type="pct"/>
            <w:vAlign w:val="center"/>
          </w:tcPr>
          <w:p>
            <w:pPr>
              <w:jc w:val="center"/>
              <w:rPr>
                <w:rFonts w:ascii="宋体" w:hAnsi="宋体" w:cs="宋体"/>
                <w:sz w:val="24"/>
                <w:highlight w:val="none"/>
              </w:rPr>
            </w:pPr>
          </w:p>
        </w:tc>
        <w:tc>
          <w:tcPr>
            <w:tcW w:w="516" w:type="pct"/>
            <w:vAlign w:val="center"/>
          </w:tcPr>
          <w:p>
            <w:pPr>
              <w:jc w:val="center"/>
              <w:rPr>
                <w:rFonts w:ascii="宋体" w:hAnsi="宋体" w:cs="宋体"/>
                <w:sz w:val="24"/>
                <w:highlight w:val="none"/>
              </w:rPr>
            </w:pPr>
          </w:p>
        </w:tc>
        <w:tc>
          <w:tcPr>
            <w:tcW w:w="408" w:type="pct"/>
            <w:tcBorders>
              <w:right w:val="single" w:color="auto" w:sz="4" w:space="0"/>
            </w:tcBorders>
            <w:vAlign w:val="center"/>
          </w:tcPr>
          <w:p>
            <w:pPr>
              <w:jc w:val="center"/>
              <w:rPr>
                <w:rFonts w:ascii="宋体" w:hAnsi="宋体" w:cs="宋体"/>
                <w:sz w:val="24"/>
                <w:highlight w:val="none"/>
              </w:rPr>
            </w:pPr>
          </w:p>
        </w:tc>
        <w:tc>
          <w:tcPr>
            <w:tcW w:w="1091" w:type="pct"/>
            <w:tcBorders>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7" w:type="pct"/>
            <w:vMerge w:val="continue"/>
            <w:tcBorders>
              <w:left w:val="single" w:color="auto" w:sz="4" w:space="0"/>
              <w:right w:val="single" w:color="auto" w:sz="4" w:space="0"/>
            </w:tcBorders>
            <w:vAlign w:val="center"/>
          </w:tcPr>
          <w:p>
            <w:pPr>
              <w:jc w:val="center"/>
              <w:rPr>
                <w:rFonts w:ascii="宋体" w:hAnsi="宋体" w:cs="宋体"/>
                <w:sz w:val="24"/>
                <w:highlight w:val="none"/>
              </w:rPr>
            </w:pPr>
          </w:p>
        </w:tc>
        <w:tc>
          <w:tcPr>
            <w:tcW w:w="608" w:type="pct"/>
            <w:tcBorders>
              <w:left w:val="single" w:color="auto" w:sz="4" w:space="0"/>
              <w:right w:val="single" w:color="auto" w:sz="4" w:space="0"/>
            </w:tcBorders>
            <w:vAlign w:val="center"/>
          </w:tcPr>
          <w:p>
            <w:pPr>
              <w:jc w:val="center"/>
              <w:rPr>
                <w:rFonts w:ascii="宋体" w:hAnsi="宋体" w:cs="宋体"/>
                <w:sz w:val="24"/>
                <w:highlight w:val="none"/>
              </w:rPr>
            </w:pPr>
          </w:p>
        </w:tc>
        <w:tc>
          <w:tcPr>
            <w:tcW w:w="597" w:type="pct"/>
            <w:tcBorders>
              <w:left w:val="single" w:color="auto" w:sz="4" w:space="0"/>
            </w:tcBorders>
            <w:vAlign w:val="center"/>
          </w:tcPr>
          <w:p>
            <w:pPr>
              <w:jc w:val="center"/>
              <w:rPr>
                <w:rFonts w:ascii="宋体" w:hAnsi="宋体" w:cs="宋体"/>
                <w:sz w:val="24"/>
                <w:highlight w:val="none"/>
              </w:rPr>
            </w:pPr>
          </w:p>
        </w:tc>
        <w:tc>
          <w:tcPr>
            <w:tcW w:w="1321" w:type="pct"/>
            <w:vAlign w:val="center"/>
          </w:tcPr>
          <w:p>
            <w:pPr>
              <w:jc w:val="center"/>
              <w:rPr>
                <w:rFonts w:ascii="宋体" w:hAnsi="宋体" w:cs="宋体"/>
                <w:sz w:val="24"/>
                <w:highlight w:val="none"/>
              </w:rPr>
            </w:pPr>
          </w:p>
        </w:tc>
        <w:tc>
          <w:tcPr>
            <w:tcW w:w="516" w:type="pct"/>
            <w:vAlign w:val="center"/>
          </w:tcPr>
          <w:p>
            <w:pPr>
              <w:jc w:val="center"/>
              <w:rPr>
                <w:rFonts w:ascii="宋体" w:hAnsi="宋体" w:cs="宋体"/>
                <w:sz w:val="24"/>
                <w:highlight w:val="none"/>
              </w:rPr>
            </w:pPr>
          </w:p>
        </w:tc>
        <w:tc>
          <w:tcPr>
            <w:tcW w:w="408" w:type="pct"/>
            <w:tcBorders>
              <w:right w:val="single" w:color="auto" w:sz="4" w:space="0"/>
            </w:tcBorders>
            <w:vAlign w:val="center"/>
          </w:tcPr>
          <w:p>
            <w:pPr>
              <w:jc w:val="center"/>
              <w:rPr>
                <w:rFonts w:ascii="宋体" w:hAnsi="宋体" w:cs="宋体"/>
                <w:sz w:val="24"/>
                <w:highlight w:val="none"/>
              </w:rPr>
            </w:pPr>
          </w:p>
        </w:tc>
        <w:tc>
          <w:tcPr>
            <w:tcW w:w="1091" w:type="pct"/>
            <w:tcBorders>
              <w:right w:val="single" w:color="auto" w:sz="4" w:space="0"/>
            </w:tcBorders>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457" w:type="pct"/>
            <w:vMerge w:val="continue"/>
            <w:tcBorders>
              <w:left w:val="single" w:color="auto" w:sz="4" w:space="0"/>
              <w:right w:val="single" w:color="auto" w:sz="4" w:space="0"/>
            </w:tcBorders>
            <w:vAlign w:val="center"/>
          </w:tcPr>
          <w:p>
            <w:pPr>
              <w:jc w:val="center"/>
              <w:rPr>
                <w:rFonts w:ascii="宋体" w:hAnsi="宋体" w:cs="宋体"/>
                <w:sz w:val="24"/>
                <w:highlight w:val="none"/>
              </w:rPr>
            </w:pPr>
          </w:p>
        </w:tc>
        <w:tc>
          <w:tcPr>
            <w:tcW w:w="608" w:type="pct"/>
            <w:tcBorders>
              <w:left w:val="single" w:color="auto" w:sz="4" w:space="0"/>
              <w:right w:val="single" w:color="auto" w:sz="4" w:space="0"/>
            </w:tcBorders>
            <w:vAlign w:val="center"/>
          </w:tcPr>
          <w:p>
            <w:pPr>
              <w:jc w:val="center"/>
              <w:rPr>
                <w:rFonts w:ascii="宋体" w:hAnsi="宋体" w:cs="宋体"/>
                <w:sz w:val="24"/>
                <w:highlight w:val="none"/>
              </w:rPr>
            </w:pPr>
          </w:p>
        </w:tc>
        <w:tc>
          <w:tcPr>
            <w:tcW w:w="597" w:type="pct"/>
            <w:tcBorders>
              <w:left w:val="single" w:color="auto" w:sz="4" w:space="0"/>
            </w:tcBorders>
            <w:vAlign w:val="center"/>
          </w:tcPr>
          <w:p>
            <w:pPr>
              <w:jc w:val="center"/>
              <w:rPr>
                <w:rFonts w:ascii="宋体" w:hAnsi="宋体" w:cs="宋体"/>
                <w:sz w:val="24"/>
                <w:highlight w:val="none"/>
              </w:rPr>
            </w:pPr>
          </w:p>
        </w:tc>
        <w:tc>
          <w:tcPr>
            <w:tcW w:w="1321" w:type="pct"/>
            <w:vAlign w:val="center"/>
          </w:tcPr>
          <w:p>
            <w:pPr>
              <w:jc w:val="center"/>
              <w:rPr>
                <w:rFonts w:ascii="宋体" w:hAnsi="宋体" w:cs="宋体"/>
                <w:sz w:val="24"/>
                <w:highlight w:val="none"/>
              </w:rPr>
            </w:pPr>
          </w:p>
        </w:tc>
        <w:tc>
          <w:tcPr>
            <w:tcW w:w="516" w:type="pct"/>
            <w:vAlign w:val="center"/>
          </w:tcPr>
          <w:p>
            <w:pPr>
              <w:jc w:val="center"/>
              <w:rPr>
                <w:rFonts w:ascii="宋体" w:hAnsi="宋体" w:cs="宋体"/>
                <w:sz w:val="24"/>
                <w:highlight w:val="none"/>
              </w:rPr>
            </w:pPr>
          </w:p>
        </w:tc>
        <w:tc>
          <w:tcPr>
            <w:tcW w:w="408" w:type="pct"/>
            <w:tcBorders>
              <w:right w:val="single" w:color="auto" w:sz="4" w:space="0"/>
            </w:tcBorders>
            <w:vAlign w:val="center"/>
          </w:tcPr>
          <w:p>
            <w:pPr>
              <w:jc w:val="center"/>
              <w:rPr>
                <w:rFonts w:ascii="宋体" w:hAnsi="宋体" w:cs="宋体"/>
                <w:sz w:val="24"/>
                <w:highlight w:val="none"/>
              </w:rPr>
            </w:pPr>
          </w:p>
        </w:tc>
        <w:tc>
          <w:tcPr>
            <w:tcW w:w="1091" w:type="pct"/>
            <w:tcBorders>
              <w:right w:val="single" w:color="auto" w:sz="4" w:space="0"/>
            </w:tcBorders>
            <w:vAlign w:val="center"/>
          </w:tcPr>
          <w:p>
            <w:pPr>
              <w:jc w:val="center"/>
              <w:rPr>
                <w:rFonts w:ascii="宋体" w:hAnsi="宋体" w:cs="宋体"/>
                <w:sz w:val="24"/>
                <w:highlight w:val="none"/>
              </w:rPr>
            </w:pPr>
          </w:p>
        </w:tc>
      </w:tr>
    </w:tbl>
    <w:p>
      <w:pPr>
        <w:spacing w:line="360" w:lineRule="auto"/>
        <w:rPr>
          <w:rFonts w:ascii="宋体" w:hAnsi="宋体" w:cs="宋体"/>
          <w:sz w:val="24"/>
          <w:highlight w:val="none"/>
          <w:lang w:val="en-GB"/>
        </w:rPr>
      </w:pPr>
      <w:r>
        <w:rPr>
          <w:rFonts w:hint="eastAsia" w:ascii="宋体" w:hAnsi="宋体" w:cs="宋体"/>
          <w:sz w:val="24"/>
          <w:highlight w:val="none"/>
          <w:lang w:val="en-GB"/>
        </w:rPr>
        <w:t>注：投标人必须按评审要求提供证明材料。</w:t>
      </w:r>
    </w:p>
    <w:p>
      <w:pPr>
        <w:rPr>
          <w:rFonts w:ascii="宋体" w:hAnsi="宋体" w:cs="宋体"/>
          <w:sz w:val="24"/>
          <w:highlight w:val="none"/>
          <w:lang w:val="en-GB"/>
        </w:rPr>
      </w:pPr>
    </w:p>
    <w:p>
      <w:pPr>
        <w:rPr>
          <w:rFonts w:ascii="宋体" w:hAnsi="宋体" w:cs="宋体"/>
          <w:sz w:val="24"/>
          <w:highlight w:val="none"/>
          <w:lang w:val="en-GB"/>
        </w:rPr>
      </w:pPr>
    </w:p>
    <w:p>
      <w:pPr>
        <w:rPr>
          <w:rFonts w:ascii="宋体" w:hAnsi="宋体" w:cs="宋体"/>
          <w:sz w:val="24"/>
          <w:highlight w:val="none"/>
          <w:lang w:val="en-GB"/>
        </w:rPr>
      </w:pPr>
    </w:p>
    <w:p>
      <w:pPr>
        <w:rPr>
          <w:rFonts w:ascii="宋体" w:hAnsi="宋体" w:cs="宋体"/>
          <w:sz w:val="24"/>
          <w:highlight w:val="none"/>
          <w:lang w:val="en-GB"/>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numPr>
          <w:ilvl w:val="0"/>
          <w:numId w:val="164"/>
        </w:numPr>
        <w:spacing w:before="72" w:after="72" w:line="360" w:lineRule="auto"/>
        <w:jc w:val="center"/>
        <w:rPr>
          <w:rFonts w:ascii="宋体" w:hAnsi="宋体" w:cs="宋体"/>
          <w:b/>
          <w:kern w:val="44"/>
          <w:sz w:val="30"/>
          <w:szCs w:val="30"/>
          <w:highlight w:val="none"/>
        </w:rPr>
      </w:pPr>
      <w:r>
        <w:rPr>
          <w:rFonts w:hint="eastAsia" w:ascii="宋体" w:hAnsi="宋体" w:cs="宋体"/>
          <w:b/>
          <w:kern w:val="44"/>
          <w:sz w:val="30"/>
          <w:szCs w:val="30"/>
          <w:highlight w:val="none"/>
        </w:rPr>
        <w:t>履约进度计划表</w:t>
      </w:r>
    </w:p>
    <w:tbl>
      <w:tblPr>
        <w:tblStyle w:val="2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2"/>
        <w:gridCol w:w="3023"/>
        <w:gridCol w:w="2960"/>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472" w:type="pct"/>
            <w:shd w:val="clear" w:color="auto" w:fill="D8D8D8"/>
            <w:vAlign w:val="center"/>
          </w:tcPr>
          <w:p>
            <w:pPr>
              <w:tabs>
                <w:tab w:val="left" w:pos="540"/>
              </w:tabs>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序号</w:t>
            </w:r>
          </w:p>
        </w:tc>
        <w:tc>
          <w:tcPr>
            <w:tcW w:w="1636" w:type="pct"/>
            <w:shd w:val="clear" w:color="auto" w:fill="D8D8D8"/>
            <w:vAlign w:val="center"/>
          </w:tcPr>
          <w:p>
            <w:pPr>
              <w:tabs>
                <w:tab w:val="left" w:pos="540"/>
              </w:tabs>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拟定时间安排</w:t>
            </w:r>
          </w:p>
        </w:tc>
        <w:tc>
          <w:tcPr>
            <w:tcW w:w="1602" w:type="pct"/>
            <w:shd w:val="clear" w:color="auto" w:fill="D8D8D8"/>
            <w:vAlign w:val="center"/>
          </w:tcPr>
          <w:p>
            <w:pPr>
              <w:tabs>
                <w:tab w:val="left" w:pos="540"/>
              </w:tabs>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计划完成的工作内容</w:t>
            </w:r>
          </w:p>
        </w:tc>
        <w:tc>
          <w:tcPr>
            <w:tcW w:w="1289" w:type="pct"/>
            <w:shd w:val="clear" w:color="auto" w:fill="D8D8D8"/>
            <w:vAlign w:val="center"/>
          </w:tcPr>
          <w:p>
            <w:pPr>
              <w:tabs>
                <w:tab w:val="left" w:pos="540"/>
              </w:tabs>
              <w:adjustRightInd w:val="0"/>
              <w:snapToGrid w:val="0"/>
              <w:spacing w:line="440" w:lineRule="exact"/>
              <w:jc w:val="center"/>
              <w:rPr>
                <w:rFonts w:ascii="宋体" w:hAnsi="宋体" w:cs="宋体"/>
                <w:b/>
                <w:sz w:val="24"/>
                <w:highlight w:val="none"/>
              </w:rPr>
            </w:pPr>
            <w:r>
              <w:rPr>
                <w:rFonts w:hint="eastAsia" w:ascii="宋体" w:hAnsi="宋体" w:cs="宋体"/>
                <w:b/>
                <w:sz w:val="24"/>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pPr>
              <w:numPr>
                <w:ilvl w:val="0"/>
                <w:numId w:val="165"/>
              </w:numPr>
              <w:adjustRightInd w:val="0"/>
              <w:snapToGrid w:val="0"/>
              <w:spacing w:line="440" w:lineRule="exact"/>
              <w:jc w:val="center"/>
              <w:rPr>
                <w:rFonts w:ascii="宋体" w:hAnsi="宋体" w:cs="宋体"/>
                <w:sz w:val="24"/>
                <w:highlight w:val="none"/>
              </w:rPr>
            </w:pPr>
          </w:p>
        </w:tc>
        <w:tc>
          <w:tcPr>
            <w:tcW w:w="1636" w:type="pct"/>
            <w:vAlign w:val="center"/>
          </w:tcPr>
          <w:p>
            <w:pPr>
              <w:tabs>
                <w:tab w:val="left" w:pos="540"/>
              </w:tabs>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拟定  年  月   日</w:t>
            </w:r>
          </w:p>
        </w:tc>
        <w:tc>
          <w:tcPr>
            <w:tcW w:w="1602" w:type="pct"/>
            <w:vAlign w:val="center"/>
          </w:tcPr>
          <w:p>
            <w:pPr>
              <w:tabs>
                <w:tab w:val="left" w:pos="540"/>
              </w:tabs>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签定合同并生效</w:t>
            </w:r>
          </w:p>
        </w:tc>
        <w:tc>
          <w:tcPr>
            <w:tcW w:w="1289" w:type="pct"/>
            <w:vAlign w:val="center"/>
          </w:tcPr>
          <w:p>
            <w:pPr>
              <w:tabs>
                <w:tab w:val="left" w:pos="540"/>
              </w:tabs>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pPr>
              <w:numPr>
                <w:ilvl w:val="0"/>
                <w:numId w:val="165"/>
              </w:numPr>
              <w:adjustRightInd w:val="0"/>
              <w:snapToGrid w:val="0"/>
              <w:spacing w:line="440" w:lineRule="exact"/>
              <w:jc w:val="center"/>
              <w:rPr>
                <w:rFonts w:ascii="宋体" w:hAnsi="宋体" w:cs="宋体"/>
                <w:sz w:val="24"/>
                <w:highlight w:val="none"/>
              </w:rPr>
            </w:pPr>
          </w:p>
        </w:tc>
        <w:tc>
          <w:tcPr>
            <w:tcW w:w="1636" w:type="pct"/>
            <w:vAlign w:val="center"/>
          </w:tcPr>
          <w:p>
            <w:pPr>
              <w:tabs>
                <w:tab w:val="left" w:pos="540"/>
              </w:tabs>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月   日—   月   日</w:t>
            </w:r>
          </w:p>
        </w:tc>
        <w:tc>
          <w:tcPr>
            <w:tcW w:w="1602" w:type="pct"/>
            <w:vAlign w:val="center"/>
          </w:tcPr>
          <w:p>
            <w:pPr>
              <w:tabs>
                <w:tab w:val="left" w:pos="540"/>
              </w:tabs>
              <w:adjustRightInd w:val="0"/>
              <w:snapToGrid w:val="0"/>
              <w:spacing w:line="440" w:lineRule="exact"/>
              <w:jc w:val="center"/>
              <w:rPr>
                <w:rFonts w:ascii="宋体" w:hAnsi="宋体" w:cs="宋体"/>
                <w:sz w:val="24"/>
                <w:highlight w:val="none"/>
              </w:rPr>
            </w:pPr>
          </w:p>
        </w:tc>
        <w:tc>
          <w:tcPr>
            <w:tcW w:w="1289" w:type="pct"/>
            <w:vAlign w:val="center"/>
          </w:tcPr>
          <w:p>
            <w:pPr>
              <w:tabs>
                <w:tab w:val="left" w:pos="540"/>
              </w:tabs>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pPr>
              <w:numPr>
                <w:ilvl w:val="0"/>
                <w:numId w:val="165"/>
              </w:numPr>
              <w:adjustRightInd w:val="0"/>
              <w:snapToGrid w:val="0"/>
              <w:spacing w:line="440" w:lineRule="exact"/>
              <w:jc w:val="center"/>
              <w:rPr>
                <w:rFonts w:ascii="宋体" w:hAnsi="宋体" w:cs="宋体"/>
                <w:sz w:val="24"/>
                <w:highlight w:val="none"/>
              </w:rPr>
            </w:pPr>
          </w:p>
        </w:tc>
        <w:tc>
          <w:tcPr>
            <w:tcW w:w="1636" w:type="pct"/>
            <w:vAlign w:val="center"/>
          </w:tcPr>
          <w:p>
            <w:pPr>
              <w:tabs>
                <w:tab w:val="left" w:pos="540"/>
              </w:tabs>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月   日—   月   日</w:t>
            </w:r>
          </w:p>
        </w:tc>
        <w:tc>
          <w:tcPr>
            <w:tcW w:w="1602" w:type="pct"/>
            <w:vAlign w:val="center"/>
          </w:tcPr>
          <w:p>
            <w:pPr>
              <w:tabs>
                <w:tab w:val="left" w:pos="540"/>
              </w:tabs>
              <w:adjustRightInd w:val="0"/>
              <w:snapToGrid w:val="0"/>
              <w:spacing w:line="440" w:lineRule="exact"/>
              <w:jc w:val="center"/>
              <w:rPr>
                <w:rFonts w:ascii="宋体" w:hAnsi="宋体" w:cs="宋体"/>
                <w:sz w:val="24"/>
                <w:highlight w:val="none"/>
              </w:rPr>
            </w:pPr>
          </w:p>
        </w:tc>
        <w:tc>
          <w:tcPr>
            <w:tcW w:w="1289" w:type="pct"/>
            <w:vAlign w:val="center"/>
          </w:tcPr>
          <w:p>
            <w:pPr>
              <w:tabs>
                <w:tab w:val="left" w:pos="540"/>
              </w:tabs>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2" w:type="pct"/>
            <w:vAlign w:val="center"/>
          </w:tcPr>
          <w:p>
            <w:pPr>
              <w:numPr>
                <w:ilvl w:val="0"/>
                <w:numId w:val="165"/>
              </w:numPr>
              <w:adjustRightInd w:val="0"/>
              <w:snapToGrid w:val="0"/>
              <w:spacing w:line="440" w:lineRule="exact"/>
              <w:jc w:val="center"/>
              <w:rPr>
                <w:rFonts w:ascii="宋体" w:hAnsi="宋体" w:cs="宋体"/>
                <w:sz w:val="24"/>
                <w:highlight w:val="none"/>
              </w:rPr>
            </w:pPr>
          </w:p>
        </w:tc>
        <w:tc>
          <w:tcPr>
            <w:tcW w:w="1636" w:type="pct"/>
            <w:vAlign w:val="center"/>
          </w:tcPr>
          <w:p>
            <w:pPr>
              <w:tabs>
                <w:tab w:val="left" w:pos="540"/>
              </w:tabs>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月   日—   月   日</w:t>
            </w:r>
          </w:p>
        </w:tc>
        <w:tc>
          <w:tcPr>
            <w:tcW w:w="1602" w:type="pct"/>
            <w:vAlign w:val="center"/>
          </w:tcPr>
          <w:p>
            <w:pPr>
              <w:tabs>
                <w:tab w:val="left" w:pos="540"/>
              </w:tabs>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质保期</w:t>
            </w:r>
          </w:p>
        </w:tc>
        <w:tc>
          <w:tcPr>
            <w:tcW w:w="1289" w:type="pct"/>
            <w:vAlign w:val="center"/>
          </w:tcPr>
          <w:p>
            <w:pPr>
              <w:tabs>
                <w:tab w:val="left" w:pos="540"/>
              </w:tabs>
              <w:adjustRightInd w:val="0"/>
              <w:snapToGrid w:val="0"/>
              <w:spacing w:line="440" w:lineRule="exact"/>
              <w:jc w:val="center"/>
              <w:rPr>
                <w:rFonts w:ascii="宋体" w:hAnsi="宋体" w:cs="宋体"/>
                <w:sz w:val="24"/>
                <w:highlight w:val="none"/>
              </w:rPr>
            </w:pPr>
          </w:p>
        </w:tc>
      </w:tr>
    </w:tbl>
    <w:p>
      <w:pPr>
        <w:spacing w:line="360" w:lineRule="auto"/>
        <w:rPr>
          <w:rFonts w:ascii="宋体" w:hAnsi="宋体" w:cs="宋体"/>
          <w:sz w:val="24"/>
          <w:highlight w:val="none"/>
          <w:lang w:val="en-GB"/>
        </w:rPr>
      </w:pPr>
      <w:r>
        <w:rPr>
          <w:rFonts w:hint="eastAsia" w:ascii="宋体" w:hAnsi="宋体" w:cs="宋体"/>
          <w:sz w:val="24"/>
          <w:highlight w:val="none"/>
          <w:lang w:val="en-GB"/>
        </w:rPr>
        <w:t>注：可根据项目实际情况</w:t>
      </w:r>
      <w:r>
        <w:rPr>
          <w:rFonts w:hint="eastAsia" w:ascii="宋体" w:hAnsi="宋体" w:cs="宋体"/>
          <w:bCs/>
          <w:sz w:val="24"/>
          <w:highlight w:val="none"/>
        </w:rPr>
        <w:t>增加表格栏。</w:t>
      </w:r>
    </w:p>
    <w:p>
      <w:pPr>
        <w:adjustRightInd w:val="0"/>
        <w:snapToGrid w:val="0"/>
        <w:spacing w:before="72" w:after="72" w:line="480" w:lineRule="auto"/>
        <w:rPr>
          <w:rFonts w:ascii="宋体" w:hAnsi="宋体" w:cs="宋体"/>
          <w:sz w:val="24"/>
          <w:highlight w:val="none"/>
        </w:rPr>
      </w:pPr>
    </w:p>
    <w:p>
      <w:pPr>
        <w:adjustRightInd w:val="0"/>
        <w:snapToGrid w:val="0"/>
        <w:spacing w:before="72" w:after="72" w:line="480" w:lineRule="auto"/>
        <w:ind w:firstLine="3578" w:firstLineChars="1491"/>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pPr>
      <w:r>
        <w:rPr>
          <w:rFonts w:hint="eastAsia" w:ascii="宋体" w:hAnsi="宋体" w:cs="宋体"/>
          <w:sz w:val="24"/>
          <w:highlight w:val="none"/>
        </w:rPr>
        <w:t>日期：   年   月   日</w:t>
      </w:r>
    </w:p>
    <w:p>
      <w:pPr>
        <w:spacing w:before="72" w:after="72" w:line="400" w:lineRule="exact"/>
        <w:ind w:firstLine="3578" w:firstLineChars="1491"/>
        <w:rPr>
          <w:rFonts w:ascii="宋体" w:hAnsi="宋体" w:cs="宋体"/>
          <w:sz w:val="24"/>
          <w:highlight w:val="none"/>
        </w:rPr>
      </w:pPr>
    </w:p>
    <w:p>
      <w:pPr>
        <w:tabs>
          <w:tab w:val="left" w:pos="0"/>
        </w:tabs>
        <w:spacing w:before="72" w:after="72" w:line="360" w:lineRule="auto"/>
        <w:rPr>
          <w:rFonts w:ascii="宋体" w:hAnsi="宋体" w:cs="宋体"/>
          <w:b/>
          <w:kern w:val="44"/>
          <w:sz w:val="30"/>
          <w:szCs w:val="30"/>
          <w:highlight w:val="none"/>
          <w:lang w:val="en-GB"/>
        </w:rPr>
      </w:pPr>
    </w:p>
    <w:p>
      <w:pPr>
        <w:numPr>
          <w:ilvl w:val="0"/>
          <w:numId w:val="164"/>
        </w:numPr>
        <w:spacing w:before="72" w:after="72" w:line="360" w:lineRule="auto"/>
        <w:jc w:val="center"/>
        <w:rPr>
          <w:rFonts w:ascii="宋体" w:hAnsi="宋体" w:cs="宋体"/>
          <w:b/>
          <w:kern w:val="44"/>
          <w:sz w:val="30"/>
          <w:szCs w:val="30"/>
          <w:highlight w:val="none"/>
          <w:lang w:val="en-GB"/>
        </w:rPr>
      </w:pPr>
      <w:r>
        <w:rPr>
          <w:rFonts w:ascii="宋体" w:hAnsi="宋体" w:cs="宋体"/>
          <w:b/>
          <w:kern w:val="44"/>
          <w:sz w:val="30"/>
          <w:szCs w:val="30"/>
          <w:highlight w:val="none"/>
          <w:lang w:val="en-GB"/>
        </w:rPr>
        <w:br w:type="page"/>
      </w:r>
      <w:r>
        <w:rPr>
          <w:rFonts w:hint="eastAsia" w:ascii="宋体" w:hAnsi="宋体" w:cs="宋体"/>
          <w:b/>
          <w:kern w:val="44"/>
          <w:sz w:val="30"/>
          <w:szCs w:val="30"/>
          <w:highlight w:val="none"/>
          <w:lang w:val="en-GB"/>
        </w:rPr>
        <w:t>其它重要事项说明及承诺</w:t>
      </w:r>
    </w:p>
    <w:p>
      <w:pPr>
        <w:pStyle w:val="46"/>
        <w:adjustRightInd w:val="0"/>
        <w:snapToGrid w:val="0"/>
        <w:spacing w:before="0" w:after="0" w:line="360" w:lineRule="auto"/>
        <w:ind w:firstLine="520" w:firstLineChars="200"/>
        <w:rPr>
          <w:rFonts w:ascii="宋体" w:hAnsi="宋体" w:cs="宋体"/>
          <w:szCs w:val="24"/>
          <w:highlight w:val="none"/>
        </w:rPr>
      </w:pPr>
      <w:r>
        <w:rPr>
          <w:rFonts w:hint="eastAsia" w:ascii="宋体" w:hAnsi="宋体" w:cs="宋体"/>
          <w:szCs w:val="24"/>
          <w:highlight w:val="none"/>
        </w:rPr>
        <w:t>说明：《商务评审表》中要求提供的其他材料。</w:t>
      </w:r>
    </w:p>
    <w:p>
      <w:pPr>
        <w:pStyle w:val="46"/>
        <w:adjustRightInd w:val="0"/>
        <w:snapToGrid w:val="0"/>
        <w:spacing w:before="0" w:after="0" w:line="360" w:lineRule="auto"/>
        <w:ind w:firstLine="520" w:firstLineChars="200"/>
        <w:rPr>
          <w:rFonts w:ascii="宋体" w:hAnsi="宋体" w:cs="宋体"/>
          <w:szCs w:val="24"/>
          <w:highlight w:val="none"/>
        </w:rPr>
      </w:pPr>
    </w:p>
    <w:p>
      <w:pPr>
        <w:adjustRightInd w:val="0"/>
        <w:snapToGrid w:val="0"/>
        <w:spacing w:before="72" w:after="72" w:line="480" w:lineRule="auto"/>
        <w:ind w:firstLine="3578" w:firstLineChars="1491"/>
        <w:rPr>
          <w:rFonts w:ascii="宋体" w:hAnsi="宋体" w:cs="宋体"/>
          <w:sz w:val="24"/>
          <w:highlight w:val="none"/>
        </w:rPr>
      </w:pPr>
    </w:p>
    <w:p>
      <w:pPr>
        <w:adjustRightInd w:val="0"/>
        <w:snapToGrid w:val="0"/>
        <w:spacing w:before="72" w:after="72" w:line="360" w:lineRule="auto"/>
        <w:ind w:firstLine="2738" w:firstLineChars="1141"/>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738" w:firstLineChars="1141"/>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738" w:firstLineChars="1141"/>
        <w:rPr>
          <w:rFonts w:ascii="宋体" w:hAnsi="宋体" w:cs="宋体"/>
          <w:sz w:val="24"/>
          <w:highlight w:val="none"/>
        </w:rPr>
      </w:pPr>
      <w:r>
        <w:rPr>
          <w:rFonts w:hint="eastAsia" w:ascii="宋体" w:hAnsi="宋体" w:cs="宋体"/>
          <w:sz w:val="24"/>
          <w:highlight w:val="none"/>
        </w:rPr>
        <w:t>日期：   年   月   日</w:t>
      </w:r>
    </w:p>
    <w:p>
      <w:pPr>
        <w:pStyle w:val="46"/>
        <w:adjustRightInd w:val="0"/>
        <w:snapToGrid w:val="0"/>
        <w:spacing w:before="0" w:after="0" w:line="360" w:lineRule="auto"/>
        <w:ind w:firstLine="520" w:firstLineChars="200"/>
        <w:rPr>
          <w:rFonts w:ascii="宋体" w:hAnsi="宋体" w:cs="宋体"/>
          <w:szCs w:val="24"/>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pStyle w:val="46"/>
        <w:rPr>
          <w:rFonts w:ascii="仿宋_GB2312" w:hAnsi="仿宋" w:eastAsia="仿宋_GB2312"/>
          <w:sz w:val="28"/>
          <w:szCs w:val="28"/>
          <w:highlight w:val="none"/>
        </w:rPr>
      </w:pPr>
    </w:p>
    <w:p>
      <w:pPr>
        <w:rPr>
          <w:highlight w:val="none"/>
        </w:rPr>
      </w:pPr>
      <w:bookmarkStart w:id="638" w:name="_Toc15846"/>
      <w:bookmarkStart w:id="639" w:name="_Toc423021966"/>
      <w:bookmarkStart w:id="640" w:name="_Toc381489439"/>
      <w:bookmarkStart w:id="641" w:name="_Toc27468"/>
      <w:bookmarkStart w:id="642" w:name="_Toc32464"/>
      <w:bookmarkStart w:id="643" w:name="_Toc381489442"/>
      <w:bookmarkStart w:id="644" w:name="_Toc7293"/>
      <w:bookmarkStart w:id="645" w:name="_Toc423021972"/>
      <w:r>
        <w:rPr>
          <w:rFonts w:hint="eastAsia"/>
          <w:highlight w:val="none"/>
        </w:rPr>
        <w:br w:type="page"/>
      </w:r>
    </w:p>
    <w:p>
      <w:pPr>
        <w:pStyle w:val="4"/>
        <w:numPr>
          <w:ilvl w:val="0"/>
          <w:numId w:val="163"/>
        </w:numPr>
        <w:spacing w:before="0" w:after="0" w:line="360" w:lineRule="auto"/>
        <w:jc w:val="center"/>
        <w:rPr>
          <w:highlight w:val="none"/>
        </w:rPr>
      </w:pPr>
      <w:bookmarkStart w:id="646" w:name="_Toc21565"/>
      <w:r>
        <w:rPr>
          <w:rFonts w:hint="eastAsia"/>
          <w:highlight w:val="none"/>
        </w:rPr>
        <w:t>商务条款响应一览表</w:t>
      </w:r>
      <w:bookmarkEnd w:id="638"/>
      <w:bookmarkEnd w:id="639"/>
      <w:bookmarkEnd w:id="640"/>
      <w:bookmarkEnd w:id="641"/>
      <w:bookmarkEnd w:id="646"/>
    </w:p>
    <w:p>
      <w:pPr>
        <w:numPr>
          <w:ilvl w:val="0"/>
          <w:numId w:val="166"/>
        </w:numPr>
        <w:tabs>
          <w:tab w:val="clear" w:pos="0"/>
        </w:tabs>
        <w:spacing w:before="72" w:after="72" w:line="360" w:lineRule="auto"/>
        <w:jc w:val="center"/>
        <w:rPr>
          <w:rFonts w:ascii="宋体" w:hAnsi="宋体" w:cs="宋体"/>
          <w:b/>
          <w:kern w:val="44"/>
          <w:sz w:val="30"/>
          <w:szCs w:val="30"/>
          <w:highlight w:val="none"/>
        </w:rPr>
      </w:pPr>
      <w:r>
        <w:rPr>
          <w:rFonts w:hint="eastAsia" w:ascii="宋体" w:hAnsi="宋体" w:cs="宋体"/>
          <w:b/>
          <w:kern w:val="44"/>
          <w:sz w:val="30"/>
          <w:szCs w:val="30"/>
          <w:highlight w:val="none"/>
        </w:rPr>
        <w:t>实质性商务条款（“★”项）响应表（若有）</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5245"/>
        <w:gridCol w:w="1222"/>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shd w:val="clear" w:color="auto" w:fill="D7D7D7"/>
            <w:vAlign w:val="center"/>
          </w:tcPr>
          <w:p>
            <w:pPr>
              <w:jc w:val="center"/>
              <w:rPr>
                <w:rFonts w:ascii="宋体" w:hAnsi="宋体" w:cs="宋体"/>
                <w:b/>
                <w:bCs/>
                <w:sz w:val="24"/>
                <w:highlight w:val="none"/>
              </w:rPr>
            </w:pPr>
            <w:r>
              <w:rPr>
                <w:rFonts w:hint="eastAsia" w:ascii="宋体" w:hAnsi="宋体" w:cs="宋体"/>
                <w:b/>
                <w:bCs/>
                <w:sz w:val="24"/>
                <w:highlight w:val="none"/>
              </w:rPr>
              <w:t>序号</w:t>
            </w:r>
          </w:p>
        </w:tc>
        <w:tc>
          <w:tcPr>
            <w:tcW w:w="5245" w:type="dxa"/>
            <w:shd w:val="clear" w:color="auto" w:fill="D7D7D7"/>
            <w:vAlign w:val="center"/>
          </w:tcPr>
          <w:p>
            <w:pPr>
              <w:jc w:val="center"/>
              <w:rPr>
                <w:rFonts w:ascii="宋体" w:hAnsi="宋体" w:cs="宋体"/>
                <w:b/>
                <w:bCs/>
                <w:sz w:val="24"/>
                <w:highlight w:val="none"/>
              </w:rPr>
            </w:pPr>
            <w:r>
              <w:rPr>
                <w:rFonts w:hint="eastAsia" w:ascii="宋体" w:hAnsi="宋体" w:cs="宋体"/>
                <w:b/>
                <w:bCs/>
                <w:sz w:val="24"/>
                <w:highlight w:val="none"/>
              </w:rPr>
              <w:t>实质性商务条款要求</w:t>
            </w:r>
          </w:p>
        </w:tc>
        <w:tc>
          <w:tcPr>
            <w:tcW w:w="1222" w:type="dxa"/>
            <w:shd w:val="clear" w:color="auto" w:fill="D7D7D7"/>
            <w:vAlign w:val="center"/>
          </w:tcPr>
          <w:p>
            <w:pPr>
              <w:jc w:val="center"/>
              <w:rPr>
                <w:rFonts w:ascii="宋体" w:hAnsi="宋体" w:cs="宋体"/>
                <w:b/>
                <w:bCs/>
                <w:sz w:val="24"/>
                <w:highlight w:val="none"/>
              </w:rPr>
            </w:pPr>
            <w:r>
              <w:rPr>
                <w:rFonts w:hint="eastAsia" w:ascii="宋体" w:hAnsi="宋体" w:cs="宋体"/>
                <w:b/>
                <w:bCs/>
                <w:sz w:val="24"/>
                <w:highlight w:val="none"/>
              </w:rPr>
              <w:t>是否响应</w:t>
            </w:r>
          </w:p>
        </w:tc>
        <w:tc>
          <w:tcPr>
            <w:tcW w:w="1471" w:type="dxa"/>
            <w:shd w:val="clear" w:color="auto" w:fill="D7D7D7"/>
            <w:vAlign w:val="center"/>
          </w:tcPr>
          <w:p>
            <w:pPr>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vAlign w:val="center"/>
          </w:tcPr>
          <w:p>
            <w:pPr>
              <w:jc w:val="center"/>
              <w:rPr>
                <w:rFonts w:ascii="宋体" w:hAnsi="宋体" w:cs="宋体"/>
                <w:sz w:val="24"/>
                <w:highlight w:val="none"/>
              </w:rPr>
            </w:pPr>
            <w:r>
              <w:rPr>
                <w:rFonts w:hint="eastAsia" w:ascii="宋体" w:hAnsi="宋体" w:cs="宋体"/>
                <w:sz w:val="24"/>
                <w:highlight w:val="none"/>
              </w:rPr>
              <w:t>1</w:t>
            </w:r>
          </w:p>
        </w:tc>
        <w:tc>
          <w:tcPr>
            <w:tcW w:w="5245" w:type="dxa"/>
            <w:vAlign w:val="center"/>
          </w:tcPr>
          <w:p>
            <w:pPr>
              <w:spacing w:line="440" w:lineRule="exact"/>
              <w:rPr>
                <w:rFonts w:ascii="宋体" w:hAnsi="宋体" w:cs="宋体"/>
                <w:sz w:val="24"/>
                <w:highlight w:val="none"/>
              </w:rPr>
            </w:pPr>
          </w:p>
        </w:tc>
        <w:tc>
          <w:tcPr>
            <w:tcW w:w="1222" w:type="dxa"/>
            <w:vAlign w:val="center"/>
          </w:tcPr>
          <w:p>
            <w:pPr>
              <w:pStyle w:val="60"/>
              <w:adjustRightInd/>
              <w:spacing w:line="240" w:lineRule="auto"/>
              <w:textAlignment w:val="auto"/>
              <w:rPr>
                <w:rFonts w:ascii="宋体" w:hAnsi="宋体" w:cs="宋体"/>
                <w:spacing w:val="0"/>
                <w:kern w:val="2"/>
                <w:szCs w:val="24"/>
                <w:highlight w:val="none"/>
              </w:rPr>
            </w:pPr>
          </w:p>
        </w:tc>
        <w:tc>
          <w:tcPr>
            <w:tcW w:w="1471"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vAlign w:val="center"/>
          </w:tcPr>
          <w:p>
            <w:pPr>
              <w:jc w:val="center"/>
              <w:rPr>
                <w:rFonts w:ascii="宋体" w:hAnsi="宋体" w:cs="宋体"/>
                <w:sz w:val="24"/>
                <w:highlight w:val="none"/>
              </w:rPr>
            </w:pPr>
            <w:r>
              <w:rPr>
                <w:rFonts w:hint="eastAsia" w:ascii="宋体" w:hAnsi="宋体" w:cs="宋体"/>
                <w:sz w:val="24"/>
                <w:highlight w:val="none"/>
              </w:rPr>
              <w:t>2</w:t>
            </w:r>
          </w:p>
        </w:tc>
        <w:tc>
          <w:tcPr>
            <w:tcW w:w="5245" w:type="dxa"/>
            <w:vAlign w:val="center"/>
          </w:tcPr>
          <w:p>
            <w:pPr>
              <w:spacing w:line="440" w:lineRule="exact"/>
              <w:rPr>
                <w:rFonts w:ascii="宋体" w:hAnsi="宋体" w:cs="宋体"/>
                <w:sz w:val="24"/>
                <w:highlight w:val="none"/>
              </w:rPr>
            </w:pPr>
          </w:p>
        </w:tc>
        <w:tc>
          <w:tcPr>
            <w:tcW w:w="1222" w:type="dxa"/>
            <w:vAlign w:val="center"/>
          </w:tcPr>
          <w:p>
            <w:pPr>
              <w:pStyle w:val="60"/>
              <w:adjustRightInd/>
              <w:spacing w:line="240" w:lineRule="auto"/>
              <w:textAlignment w:val="auto"/>
              <w:rPr>
                <w:rFonts w:ascii="宋体" w:hAnsi="宋体" w:cs="宋体"/>
                <w:spacing w:val="0"/>
                <w:kern w:val="2"/>
                <w:szCs w:val="24"/>
                <w:highlight w:val="none"/>
              </w:rPr>
            </w:pPr>
          </w:p>
        </w:tc>
        <w:tc>
          <w:tcPr>
            <w:tcW w:w="1471"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vAlign w:val="center"/>
          </w:tcPr>
          <w:p>
            <w:pPr>
              <w:jc w:val="center"/>
              <w:rPr>
                <w:rFonts w:ascii="宋体" w:hAnsi="宋体" w:cs="宋体"/>
                <w:sz w:val="24"/>
                <w:highlight w:val="none"/>
              </w:rPr>
            </w:pPr>
            <w:r>
              <w:rPr>
                <w:rFonts w:hint="eastAsia" w:ascii="宋体" w:hAnsi="宋体" w:cs="宋体"/>
                <w:sz w:val="24"/>
                <w:highlight w:val="none"/>
              </w:rPr>
              <w:t>3</w:t>
            </w:r>
          </w:p>
        </w:tc>
        <w:tc>
          <w:tcPr>
            <w:tcW w:w="5245" w:type="dxa"/>
            <w:vAlign w:val="center"/>
          </w:tcPr>
          <w:p>
            <w:pPr>
              <w:spacing w:line="440" w:lineRule="exact"/>
              <w:rPr>
                <w:rFonts w:ascii="宋体" w:hAnsi="宋体" w:cs="宋体"/>
                <w:sz w:val="24"/>
                <w:highlight w:val="none"/>
              </w:rPr>
            </w:pPr>
          </w:p>
        </w:tc>
        <w:tc>
          <w:tcPr>
            <w:tcW w:w="1222" w:type="dxa"/>
            <w:vAlign w:val="center"/>
          </w:tcPr>
          <w:p>
            <w:pPr>
              <w:pStyle w:val="60"/>
              <w:adjustRightInd/>
              <w:spacing w:line="240" w:lineRule="auto"/>
              <w:textAlignment w:val="auto"/>
              <w:rPr>
                <w:rFonts w:ascii="宋体" w:hAnsi="宋体" w:cs="宋体"/>
                <w:spacing w:val="0"/>
                <w:kern w:val="2"/>
                <w:szCs w:val="24"/>
                <w:highlight w:val="none"/>
              </w:rPr>
            </w:pPr>
          </w:p>
        </w:tc>
        <w:tc>
          <w:tcPr>
            <w:tcW w:w="1471" w:type="dxa"/>
            <w:vAlign w:val="center"/>
          </w:tcPr>
          <w:p>
            <w:pPr>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9" w:type="dxa"/>
            <w:vAlign w:val="center"/>
          </w:tcPr>
          <w:p>
            <w:pPr>
              <w:jc w:val="center"/>
              <w:rPr>
                <w:rFonts w:ascii="宋体" w:hAnsi="宋体" w:cs="宋体"/>
                <w:sz w:val="24"/>
                <w:highlight w:val="none"/>
              </w:rPr>
            </w:pPr>
          </w:p>
        </w:tc>
        <w:tc>
          <w:tcPr>
            <w:tcW w:w="5245" w:type="dxa"/>
            <w:vAlign w:val="center"/>
          </w:tcPr>
          <w:p>
            <w:pPr>
              <w:spacing w:line="440" w:lineRule="exact"/>
              <w:rPr>
                <w:rFonts w:ascii="宋体" w:hAnsi="宋体" w:cs="宋体"/>
                <w:sz w:val="24"/>
                <w:highlight w:val="none"/>
              </w:rPr>
            </w:pPr>
          </w:p>
        </w:tc>
        <w:tc>
          <w:tcPr>
            <w:tcW w:w="1222" w:type="dxa"/>
            <w:vAlign w:val="center"/>
          </w:tcPr>
          <w:p>
            <w:pPr>
              <w:pStyle w:val="60"/>
              <w:adjustRightInd/>
              <w:spacing w:line="240" w:lineRule="auto"/>
              <w:textAlignment w:val="auto"/>
              <w:rPr>
                <w:rFonts w:ascii="宋体" w:hAnsi="宋体" w:cs="宋体"/>
                <w:spacing w:val="0"/>
                <w:kern w:val="2"/>
                <w:szCs w:val="24"/>
                <w:highlight w:val="none"/>
              </w:rPr>
            </w:pPr>
          </w:p>
        </w:tc>
        <w:tc>
          <w:tcPr>
            <w:tcW w:w="1471" w:type="dxa"/>
            <w:vAlign w:val="center"/>
          </w:tcPr>
          <w:p>
            <w:pPr>
              <w:jc w:val="center"/>
              <w:rPr>
                <w:rFonts w:ascii="宋体" w:hAnsi="宋体" w:cs="宋体"/>
                <w:sz w:val="24"/>
                <w:highlight w:val="none"/>
              </w:rPr>
            </w:pPr>
          </w:p>
        </w:tc>
      </w:tr>
    </w:tbl>
    <w:p>
      <w:pPr>
        <w:spacing w:line="400" w:lineRule="exact"/>
        <w:ind w:firstLine="480" w:firstLineChars="200"/>
        <w:rPr>
          <w:rFonts w:ascii="宋体" w:hAnsi="宋体" w:cs="宋体"/>
          <w:sz w:val="24"/>
          <w:highlight w:val="none"/>
        </w:rPr>
      </w:pPr>
      <w:r>
        <w:rPr>
          <w:rFonts w:hint="eastAsia" w:ascii="宋体" w:hAnsi="宋体" w:cs="宋体"/>
          <w:sz w:val="24"/>
          <w:highlight w:val="none"/>
        </w:rPr>
        <w:t>注：</w:t>
      </w:r>
    </w:p>
    <w:p>
      <w:pPr>
        <w:numPr>
          <w:ilvl w:val="0"/>
          <w:numId w:val="167"/>
        </w:numPr>
        <w:adjustRightInd w:val="0"/>
        <w:snapToGrid w:val="0"/>
        <w:spacing w:line="360" w:lineRule="auto"/>
        <w:rPr>
          <w:rFonts w:ascii="宋体" w:hAnsi="宋体" w:cs="宋体"/>
          <w:sz w:val="24"/>
          <w:highlight w:val="none"/>
        </w:rPr>
      </w:pPr>
      <w:r>
        <w:rPr>
          <w:rFonts w:hint="eastAsia" w:ascii="宋体" w:hAnsi="宋体" w:cs="宋体"/>
          <w:sz w:val="24"/>
          <w:highlight w:val="none"/>
        </w:rPr>
        <w:t>投标人必须对应招标文件“用户需求书”中商务条款带“★” 项内容逐条响应。如有缺漏，缺漏项视同不符合招标要求。带“★”项为不可负偏离的重要项。</w:t>
      </w:r>
    </w:p>
    <w:p>
      <w:pPr>
        <w:numPr>
          <w:ilvl w:val="0"/>
          <w:numId w:val="167"/>
        </w:numPr>
        <w:adjustRightInd w:val="0"/>
        <w:snapToGrid w:val="0"/>
        <w:spacing w:line="360" w:lineRule="auto"/>
        <w:rPr>
          <w:rFonts w:ascii="宋体" w:hAnsi="宋体" w:cs="宋体"/>
          <w:sz w:val="24"/>
          <w:highlight w:val="none"/>
        </w:rPr>
      </w:pPr>
      <w:r>
        <w:rPr>
          <w:rFonts w:hint="eastAsia" w:ascii="宋体" w:hAnsi="宋体" w:cs="宋体"/>
          <w:sz w:val="24"/>
          <w:highlight w:val="none"/>
        </w:rPr>
        <w:t>投标人响应采购需求应具体、明确，含糊不清、不确切或伪造、变造证明材料的，按照不完全响应或者完全不响应处理。构成提供虚假材料的，移送监管部门查处。</w:t>
      </w:r>
    </w:p>
    <w:p>
      <w:pPr>
        <w:numPr>
          <w:ilvl w:val="0"/>
          <w:numId w:val="167"/>
        </w:numPr>
        <w:adjustRightInd w:val="0"/>
        <w:snapToGrid w:val="0"/>
        <w:spacing w:line="360" w:lineRule="auto"/>
        <w:rPr>
          <w:rFonts w:ascii="宋体" w:hAnsi="宋体" w:cs="宋体"/>
          <w:sz w:val="24"/>
          <w:highlight w:val="none"/>
        </w:rPr>
      </w:pPr>
      <w:r>
        <w:rPr>
          <w:rFonts w:hint="eastAsia" w:ascii="宋体" w:hAnsi="宋体" w:cs="宋体"/>
          <w:sz w:val="24"/>
          <w:highlight w:val="none"/>
        </w:rPr>
        <w:t>本表内容不得擅自修改。</w:t>
      </w:r>
    </w:p>
    <w:p>
      <w:pPr>
        <w:adjustRightInd w:val="0"/>
        <w:snapToGrid w:val="0"/>
        <w:spacing w:before="72" w:after="72" w:line="360" w:lineRule="auto"/>
        <w:ind w:firstLine="2940" w:firstLineChars="1225"/>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numPr>
          <w:ilvl w:val="0"/>
          <w:numId w:val="166"/>
        </w:numPr>
        <w:tabs>
          <w:tab w:val="clear" w:pos="0"/>
        </w:tabs>
        <w:spacing w:before="72" w:after="72" w:line="360" w:lineRule="auto"/>
        <w:jc w:val="center"/>
        <w:rPr>
          <w:rFonts w:ascii="宋体" w:hAnsi="宋体" w:cs="宋体"/>
          <w:b/>
          <w:kern w:val="44"/>
          <w:sz w:val="30"/>
          <w:szCs w:val="30"/>
          <w:highlight w:val="none"/>
        </w:rPr>
      </w:pPr>
      <w:r>
        <w:rPr>
          <w:rFonts w:hint="eastAsia" w:ascii="宋体" w:hAnsi="宋体" w:cs="宋体"/>
          <w:b/>
          <w:kern w:val="44"/>
          <w:sz w:val="30"/>
          <w:szCs w:val="30"/>
          <w:highlight w:val="none"/>
          <w:lang w:eastAsia="zh-Hans"/>
        </w:rPr>
        <w:t>一般</w:t>
      </w:r>
      <w:r>
        <w:rPr>
          <w:rFonts w:hint="eastAsia" w:ascii="宋体" w:hAnsi="宋体" w:cs="宋体"/>
          <w:b/>
          <w:kern w:val="44"/>
          <w:sz w:val="30"/>
          <w:szCs w:val="30"/>
          <w:highlight w:val="none"/>
        </w:rPr>
        <w:t>商务条款响应表</w:t>
      </w:r>
    </w:p>
    <w:tbl>
      <w:tblPr>
        <w:tblStyle w:val="29"/>
        <w:tblpPr w:leftFromText="180" w:rightFromText="180" w:vertAnchor="text" w:horzAnchor="page" w:tblpX="1534" w:tblpY="298"/>
        <w:tblOverlap w:val="never"/>
        <w:tblW w:w="89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6790"/>
        <w:gridCol w:w="717"/>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710" w:type="dxa"/>
            <w:shd w:val="clear" w:color="auto" w:fill="D8D8D8"/>
            <w:vAlign w:val="center"/>
          </w:tcPr>
          <w:p>
            <w:pPr>
              <w:adjustRightInd w:val="0"/>
              <w:snapToGrid w:val="0"/>
              <w:spacing w:before="72" w:after="72"/>
              <w:jc w:val="center"/>
              <w:rPr>
                <w:rFonts w:ascii="宋体" w:hAnsi="宋体" w:cs="宋体"/>
                <w:b/>
                <w:bCs/>
                <w:sz w:val="24"/>
                <w:highlight w:val="none"/>
              </w:rPr>
            </w:pPr>
            <w:r>
              <w:rPr>
                <w:rFonts w:hint="eastAsia" w:ascii="宋体" w:hAnsi="宋体" w:cs="宋体"/>
                <w:b/>
                <w:bCs/>
                <w:sz w:val="24"/>
                <w:highlight w:val="none"/>
              </w:rPr>
              <w:t>序号</w:t>
            </w:r>
          </w:p>
        </w:tc>
        <w:tc>
          <w:tcPr>
            <w:tcW w:w="6790" w:type="dxa"/>
            <w:shd w:val="clear" w:color="auto" w:fill="D8D8D8"/>
            <w:vAlign w:val="center"/>
          </w:tcPr>
          <w:p>
            <w:pPr>
              <w:adjustRightInd w:val="0"/>
              <w:snapToGrid w:val="0"/>
              <w:spacing w:before="72" w:after="72"/>
              <w:jc w:val="center"/>
              <w:rPr>
                <w:rFonts w:ascii="宋体" w:hAnsi="宋体" w:cs="宋体"/>
                <w:b/>
                <w:bCs/>
                <w:sz w:val="24"/>
                <w:highlight w:val="none"/>
              </w:rPr>
            </w:pPr>
            <w:r>
              <w:rPr>
                <w:rFonts w:hint="eastAsia" w:ascii="宋体" w:hAnsi="宋体" w:cs="宋体"/>
                <w:b/>
                <w:bCs/>
                <w:sz w:val="24"/>
                <w:highlight w:val="none"/>
              </w:rPr>
              <w:t>一般商务条款要求</w:t>
            </w:r>
          </w:p>
        </w:tc>
        <w:tc>
          <w:tcPr>
            <w:tcW w:w="717" w:type="dxa"/>
            <w:shd w:val="clear" w:color="auto" w:fill="D8D8D8"/>
            <w:vAlign w:val="center"/>
          </w:tcPr>
          <w:p>
            <w:pPr>
              <w:adjustRightInd w:val="0"/>
              <w:snapToGrid w:val="0"/>
              <w:spacing w:before="72" w:after="72"/>
              <w:jc w:val="center"/>
              <w:rPr>
                <w:rFonts w:ascii="宋体" w:hAnsi="宋体" w:cs="宋体"/>
                <w:b/>
                <w:bCs/>
                <w:sz w:val="24"/>
                <w:highlight w:val="none"/>
              </w:rPr>
            </w:pPr>
            <w:r>
              <w:rPr>
                <w:rFonts w:hint="eastAsia" w:ascii="宋体" w:hAnsi="宋体" w:cs="宋体"/>
                <w:b/>
                <w:bCs/>
                <w:sz w:val="24"/>
                <w:highlight w:val="none"/>
              </w:rPr>
              <w:t>是否响应</w:t>
            </w:r>
          </w:p>
        </w:tc>
        <w:tc>
          <w:tcPr>
            <w:tcW w:w="705" w:type="dxa"/>
            <w:shd w:val="clear" w:color="auto" w:fill="D8D8D8"/>
            <w:vAlign w:val="center"/>
          </w:tcPr>
          <w:p>
            <w:pPr>
              <w:adjustRightInd w:val="0"/>
              <w:snapToGrid w:val="0"/>
              <w:spacing w:before="72" w:after="72"/>
              <w:jc w:val="center"/>
              <w:rPr>
                <w:rFonts w:ascii="宋体" w:hAnsi="宋体" w:cs="宋体"/>
                <w:b/>
                <w:bCs/>
                <w:sz w:val="24"/>
                <w:highlight w:val="none"/>
              </w:rPr>
            </w:pPr>
            <w:r>
              <w:rPr>
                <w:rFonts w:hint="eastAsia" w:ascii="宋体" w:hAnsi="宋体" w:cs="宋体"/>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完全理解并接受合同条款要求。</w:t>
            </w:r>
          </w:p>
        </w:tc>
        <w:tc>
          <w:tcPr>
            <w:tcW w:w="717" w:type="dxa"/>
            <w:vAlign w:val="center"/>
          </w:tcPr>
          <w:p>
            <w:pPr>
              <w:pStyle w:val="60"/>
              <w:keepNext w:val="0"/>
              <w:snapToGrid w:val="0"/>
              <w:spacing w:line="440" w:lineRule="exact"/>
              <w:textAlignment w:val="auto"/>
              <w:rPr>
                <w:rFonts w:ascii="宋体" w:hAnsi="宋体" w:cs="宋体"/>
                <w:spacing w:val="0"/>
                <w:kern w:val="2"/>
                <w:szCs w:val="24"/>
                <w:highlight w:val="none"/>
              </w:rPr>
            </w:pPr>
          </w:p>
        </w:tc>
        <w:tc>
          <w:tcPr>
            <w:tcW w:w="705" w:type="dxa"/>
            <w:vAlign w:val="center"/>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2</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完全理解并接受对合格投标人、合格的货物要求。</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adjustRightInd w:val="0"/>
              <w:snapToGrid w:val="0"/>
              <w:spacing w:line="440" w:lineRule="exact"/>
              <w:ind w:right="-35"/>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3</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完全理解并接受对投标人的各项须知、规约要求和责任义务。</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adjustRightInd w:val="0"/>
              <w:snapToGrid w:val="0"/>
              <w:spacing w:line="440" w:lineRule="exact"/>
              <w:ind w:right="-35"/>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4</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投标有效期：投标有效期为自递交投标文件起至确定正式中标人止不少于</w:t>
            </w:r>
            <w:r>
              <w:rPr>
                <w:rFonts w:hint="eastAsia" w:ascii="宋体" w:hAnsi="宋体" w:cs="宋体"/>
                <w:sz w:val="24"/>
                <w:highlight w:val="none"/>
                <w:u w:val="single"/>
              </w:rPr>
              <w:t xml:space="preserve"> 90 </w:t>
            </w:r>
            <w:r>
              <w:rPr>
                <w:rFonts w:hint="eastAsia" w:ascii="宋体" w:hAnsi="宋体" w:cs="宋体"/>
                <w:sz w:val="24"/>
                <w:highlight w:val="none"/>
              </w:rPr>
              <w:t>天，中标单位有效期至项目验收之日。</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adjustRightInd w:val="0"/>
              <w:snapToGrid w:val="0"/>
              <w:spacing w:line="440" w:lineRule="exact"/>
              <w:ind w:right="-35"/>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5</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报价内容均涵盖报价要求之一切费用和伴随服务。</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6</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所提供的报价不高于产</w:t>
            </w:r>
            <w:r>
              <w:rPr>
                <w:rFonts w:hint="eastAsia" w:ascii="宋体" w:hAnsi="宋体" w:cs="宋体"/>
                <w:sz w:val="24"/>
                <w:highlight w:val="none"/>
                <w:shd w:val="clear"/>
              </w:rPr>
              <w:t>品制造商权威网站目前的报价水平和</w:t>
            </w:r>
            <w:r>
              <w:rPr>
                <w:rFonts w:hint="eastAsia" w:ascii="宋体" w:hAnsi="宋体" w:cs="宋体"/>
                <w:sz w:val="24"/>
                <w:highlight w:val="none"/>
                <w:shd w:val="clear"/>
                <w:lang w:val="en-US" w:eastAsia="zh-CN"/>
              </w:rPr>
              <w:t>海南</w:t>
            </w:r>
            <w:r>
              <w:rPr>
                <w:rFonts w:hint="eastAsia" w:ascii="宋体" w:hAnsi="宋体" w:cs="宋体"/>
                <w:sz w:val="24"/>
                <w:highlight w:val="none"/>
                <w:shd w:val="clear"/>
              </w:rPr>
              <w:t>省现市场零售价。</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7</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交货期：</w:t>
            </w:r>
            <w:r>
              <w:rPr>
                <w:rFonts w:hint="eastAsia" w:ascii="宋体" w:hAnsi="宋体" w:cs="宋体"/>
                <w:sz w:val="24"/>
                <w:highlight w:val="none"/>
                <w:u w:val="single"/>
              </w:rPr>
              <w:t xml:space="preserve">           </w:t>
            </w:r>
            <w:r>
              <w:rPr>
                <w:rFonts w:hint="eastAsia" w:ascii="宋体" w:hAnsi="宋体" w:cs="宋体"/>
                <w:sz w:val="24"/>
                <w:highlight w:val="none"/>
              </w:rPr>
              <w:t>。</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8</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主要关键设备均为近</w:t>
            </w:r>
            <w:r>
              <w:rPr>
                <w:rFonts w:hint="eastAsia" w:ascii="宋体" w:hAnsi="宋体" w:cs="宋体"/>
                <w:sz w:val="24"/>
                <w:highlight w:val="none"/>
                <w:u w:val="single"/>
              </w:rPr>
              <w:t xml:space="preserve">     </w:t>
            </w:r>
            <w:r>
              <w:rPr>
                <w:rFonts w:hint="eastAsia" w:ascii="宋体" w:hAnsi="宋体" w:cs="宋体"/>
                <w:sz w:val="24"/>
                <w:highlight w:val="none"/>
              </w:rPr>
              <w:t>个月内原厂生产的非淘汰类全新产品。</w:t>
            </w:r>
          </w:p>
        </w:tc>
        <w:tc>
          <w:tcPr>
            <w:tcW w:w="717" w:type="dxa"/>
            <w:vAlign w:val="center"/>
          </w:tcPr>
          <w:p>
            <w:pPr>
              <w:adjustRightInd w:val="0"/>
              <w:snapToGrid w:val="0"/>
              <w:spacing w:line="440" w:lineRule="exact"/>
              <w:jc w:val="center"/>
              <w:rPr>
                <w:rFonts w:ascii="宋体" w:hAnsi="宋体" w:cs="宋体"/>
                <w:sz w:val="24"/>
                <w:highlight w:val="none"/>
                <w:lang w:val="en-GB"/>
              </w:rPr>
            </w:pPr>
          </w:p>
        </w:tc>
        <w:tc>
          <w:tcPr>
            <w:tcW w:w="705" w:type="dxa"/>
            <w:vAlign w:val="center"/>
          </w:tcPr>
          <w:p>
            <w:pPr>
              <w:adjustRightInd w:val="0"/>
              <w:snapToGrid w:val="0"/>
              <w:spacing w:line="440" w:lineRule="exact"/>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9</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质保期：验收交付之日起</w:t>
            </w:r>
            <w:r>
              <w:rPr>
                <w:rFonts w:hint="eastAsia" w:ascii="宋体" w:hAnsi="宋体" w:cs="宋体"/>
                <w:sz w:val="24"/>
                <w:highlight w:val="none"/>
                <w:u w:val="single"/>
              </w:rPr>
              <w:t xml:space="preserve">    </w:t>
            </w:r>
            <w:r>
              <w:rPr>
                <w:rFonts w:hint="eastAsia" w:ascii="宋体" w:hAnsi="宋体" w:cs="宋体"/>
                <w:sz w:val="24"/>
                <w:highlight w:val="none"/>
                <w:lang w:val="en-US" w:eastAsia="zh-CN"/>
              </w:rPr>
              <w:t>个月</w:t>
            </w:r>
            <w:r>
              <w:rPr>
                <w:rFonts w:hint="eastAsia" w:ascii="宋体" w:hAnsi="宋体" w:cs="宋体"/>
                <w:sz w:val="24"/>
                <w:highlight w:val="none"/>
              </w:rPr>
              <w:t>。质保期满后，对所供应的货物设备可提供终身维护保养。</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pStyle w:val="60"/>
              <w:keepNext w:val="0"/>
              <w:snapToGrid w:val="0"/>
              <w:spacing w:line="440" w:lineRule="exact"/>
              <w:textAlignment w:val="auto"/>
              <w:rPr>
                <w:rFonts w:ascii="宋体" w:hAnsi="宋体" w:cs="宋体"/>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10</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满足对售后服务的各项要求，在</w:t>
            </w:r>
            <w:r>
              <w:rPr>
                <w:rFonts w:hint="eastAsia" w:ascii="宋体" w:hAnsi="宋体" w:cs="宋体"/>
                <w:sz w:val="24"/>
                <w:highlight w:val="none"/>
                <w:u w:val="single"/>
              </w:rPr>
              <w:t xml:space="preserve">    </w:t>
            </w:r>
            <w:r>
              <w:rPr>
                <w:rFonts w:hint="eastAsia" w:ascii="宋体" w:hAnsi="宋体" w:cs="宋体"/>
                <w:sz w:val="24"/>
                <w:highlight w:val="none"/>
              </w:rPr>
              <w:t>设有已注册（或合作代理）的售后服务营业性机构。</w:t>
            </w:r>
          </w:p>
        </w:tc>
        <w:tc>
          <w:tcPr>
            <w:tcW w:w="717" w:type="dxa"/>
            <w:vAlign w:val="center"/>
          </w:tcPr>
          <w:p>
            <w:pPr>
              <w:adjustRightInd w:val="0"/>
              <w:snapToGrid w:val="0"/>
              <w:spacing w:line="440" w:lineRule="exact"/>
              <w:jc w:val="center"/>
              <w:rPr>
                <w:rFonts w:ascii="宋体" w:hAnsi="宋体" w:cs="宋体"/>
                <w:sz w:val="24"/>
                <w:highlight w:val="none"/>
              </w:rPr>
            </w:pPr>
          </w:p>
        </w:tc>
        <w:tc>
          <w:tcPr>
            <w:tcW w:w="705" w:type="dxa"/>
            <w:vAlign w:val="center"/>
          </w:tcPr>
          <w:p>
            <w:pPr>
              <w:pStyle w:val="60"/>
              <w:keepNext w:val="0"/>
              <w:snapToGrid w:val="0"/>
              <w:spacing w:line="440" w:lineRule="exact"/>
              <w:textAlignment w:val="auto"/>
              <w:rPr>
                <w:rFonts w:ascii="宋体" w:hAnsi="宋体" w:cs="宋体"/>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11</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lang w:val="en-GB"/>
              </w:rPr>
              <w:t>同意接受合同范本所列述的各项条款。</w:t>
            </w:r>
          </w:p>
        </w:tc>
        <w:tc>
          <w:tcPr>
            <w:tcW w:w="717" w:type="dxa"/>
            <w:vAlign w:val="center"/>
          </w:tcPr>
          <w:p>
            <w:pPr>
              <w:pStyle w:val="67"/>
              <w:adjustRightInd w:val="0"/>
              <w:snapToGrid w:val="0"/>
              <w:spacing w:line="440" w:lineRule="exact"/>
              <w:rPr>
                <w:rFonts w:ascii="宋体" w:hAnsi="宋体" w:cs="宋体"/>
                <w:color w:val="auto"/>
                <w:szCs w:val="24"/>
                <w:highlight w:val="none"/>
              </w:rPr>
            </w:pPr>
          </w:p>
        </w:tc>
        <w:tc>
          <w:tcPr>
            <w:tcW w:w="705" w:type="dxa"/>
            <w:vAlign w:val="center"/>
          </w:tcPr>
          <w:p>
            <w:pPr>
              <w:pStyle w:val="60"/>
              <w:keepNext w:val="0"/>
              <w:snapToGrid w:val="0"/>
              <w:spacing w:line="440" w:lineRule="exact"/>
              <w:jc w:val="both"/>
              <w:textAlignment w:val="auto"/>
              <w:rPr>
                <w:rFonts w:ascii="宋体" w:hAnsi="宋体" w:cs="宋体"/>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12</w:t>
            </w:r>
          </w:p>
        </w:tc>
        <w:tc>
          <w:tcPr>
            <w:tcW w:w="6790" w:type="dxa"/>
            <w:vAlign w:val="center"/>
          </w:tcPr>
          <w:p>
            <w:pPr>
              <w:spacing w:line="440" w:lineRule="exact"/>
              <w:rPr>
                <w:rFonts w:ascii="宋体" w:hAnsi="宋体" w:cs="宋体"/>
                <w:sz w:val="24"/>
                <w:highlight w:val="none"/>
              </w:rPr>
            </w:pPr>
            <w:r>
              <w:rPr>
                <w:rFonts w:hint="eastAsia" w:ascii="宋体" w:hAnsi="宋体" w:cs="宋体"/>
                <w:sz w:val="24"/>
                <w:highlight w:val="none"/>
              </w:rPr>
              <w:t>同意按本项目要求缴付相关款项。</w:t>
            </w:r>
          </w:p>
        </w:tc>
        <w:tc>
          <w:tcPr>
            <w:tcW w:w="717" w:type="dxa"/>
            <w:vAlign w:val="center"/>
          </w:tcPr>
          <w:p>
            <w:pPr>
              <w:pStyle w:val="67"/>
              <w:adjustRightInd w:val="0"/>
              <w:snapToGrid w:val="0"/>
              <w:spacing w:line="440" w:lineRule="exact"/>
              <w:rPr>
                <w:rFonts w:ascii="宋体" w:hAnsi="宋体" w:cs="宋体"/>
                <w:color w:val="auto"/>
                <w:szCs w:val="24"/>
                <w:highlight w:val="none"/>
              </w:rPr>
            </w:pPr>
          </w:p>
        </w:tc>
        <w:tc>
          <w:tcPr>
            <w:tcW w:w="705" w:type="dxa"/>
            <w:vAlign w:val="center"/>
          </w:tcPr>
          <w:p>
            <w:pPr>
              <w:pStyle w:val="60"/>
              <w:keepNext w:val="0"/>
              <w:snapToGrid w:val="0"/>
              <w:spacing w:line="440" w:lineRule="exact"/>
              <w:jc w:val="both"/>
              <w:textAlignment w:val="auto"/>
              <w:rPr>
                <w:rFonts w:ascii="宋体" w:hAnsi="宋体" w:cs="宋体"/>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13</w:t>
            </w:r>
          </w:p>
        </w:tc>
        <w:tc>
          <w:tcPr>
            <w:tcW w:w="6790" w:type="dxa"/>
            <w:vAlign w:val="center"/>
          </w:tcPr>
          <w:p>
            <w:pPr>
              <w:pStyle w:val="20"/>
              <w:spacing w:line="440" w:lineRule="exact"/>
              <w:rPr>
                <w:rFonts w:ascii="宋体" w:hAnsi="宋体" w:cs="宋体"/>
                <w:sz w:val="24"/>
                <w:szCs w:val="24"/>
                <w:highlight w:val="none"/>
              </w:rPr>
            </w:pPr>
            <w:r>
              <w:rPr>
                <w:rFonts w:hint="eastAsia" w:ascii="宋体" w:hAnsi="宋体" w:cs="宋体"/>
                <w:sz w:val="24"/>
                <w:szCs w:val="24"/>
                <w:highlight w:val="none"/>
              </w:rPr>
              <w:t>同意采购人以任何形式对我方投标文件内容的真实性和有效性进行审查、验证。</w:t>
            </w:r>
          </w:p>
        </w:tc>
        <w:tc>
          <w:tcPr>
            <w:tcW w:w="717" w:type="dxa"/>
            <w:vAlign w:val="center"/>
          </w:tcPr>
          <w:p>
            <w:pPr>
              <w:pStyle w:val="67"/>
              <w:adjustRightInd w:val="0"/>
              <w:snapToGrid w:val="0"/>
              <w:spacing w:line="440" w:lineRule="exact"/>
              <w:rPr>
                <w:rFonts w:ascii="宋体" w:hAnsi="宋体" w:cs="宋体"/>
                <w:color w:val="auto"/>
                <w:szCs w:val="24"/>
                <w:highlight w:val="none"/>
              </w:rPr>
            </w:pPr>
          </w:p>
        </w:tc>
        <w:tc>
          <w:tcPr>
            <w:tcW w:w="705" w:type="dxa"/>
            <w:vAlign w:val="center"/>
          </w:tcPr>
          <w:p>
            <w:pPr>
              <w:pStyle w:val="60"/>
              <w:keepNext w:val="0"/>
              <w:snapToGrid w:val="0"/>
              <w:spacing w:line="440" w:lineRule="exact"/>
              <w:jc w:val="both"/>
              <w:textAlignment w:val="auto"/>
              <w:rPr>
                <w:rFonts w:ascii="宋体" w:hAnsi="宋体" w:cs="宋体"/>
                <w:spacing w:val="0"/>
                <w:kern w:val="2"/>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710" w:type="dxa"/>
            <w:vAlign w:val="center"/>
          </w:tcPr>
          <w:p>
            <w:pPr>
              <w:adjustRightInd w:val="0"/>
              <w:snapToGrid w:val="0"/>
              <w:spacing w:line="440" w:lineRule="exact"/>
              <w:jc w:val="center"/>
              <w:rPr>
                <w:rFonts w:ascii="宋体" w:hAnsi="宋体" w:cs="宋体"/>
                <w:sz w:val="24"/>
                <w:highlight w:val="none"/>
              </w:rPr>
            </w:pPr>
            <w:r>
              <w:rPr>
                <w:rFonts w:hint="eastAsia" w:ascii="宋体" w:hAnsi="宋体" w:cs="宋体"/>
                <w:sz w:val="24"/>
                <w:highlight w:val="none"/>
              </w:rPr>
              <w:t>14</w:t>
            </w:r>
          </w:p>
        </w:tc>
        <w:tc>
          <w:tcPr>
            <w:tcW w:w="6790" w:type="dxa"/>
            <w:vAlign w:val="center"/>
          </w:tcPr>
          <w:p>
            <w:pPr>
              <w:pStyle w:val="20"/>
              <w:spacing w:line="440" w:lineRule="exact"/>
              <w:rPr>
                <w:rFonts w:ascii="宋体" w:hAnsi="宋体" w:cs="宋体"/>
                <w:sz w:val="24"/>
                <w:szCs w:val="24"/>
                <w:highlight w:val="none"/>
              </w:rPr>
            </w:pPr>
            <w:r>
              <w:rPr>
                <w:rFonts w:hint="eastAsia" w:ascii="宋体" w:hAnsi="宋体" w:cs="宋体"/>
                <w:sz w:val="24"/>
                <w:szCs w:val="24"/>
                <w:highlight w:val="none"/>
              </w:rPr>
              <w:t>其它商务条款偏离说明：</w:t>
            </w:r>
          </w:p>
        </w:tc>
        <w:tc>
          <w:tcPr>
            <w:tcW w:w="717" w:type="dxa"/>
            <w:vAlign w:val="center"/>
          </w:tcPr>
          <w:p>
            <w:pPr>
              <w:pStyle w:val="67"/>
              <w:adjustRightInd w:val="0"/>
              <w:snapToGrid w:val="0"/>
              <w:spacing w:line="440" w:lineRule="exact"/>
              <w:rPr>
                <w:rFonts w:ascii="宋体" w:hAnsi="宋体" w:cs="宋体"/>
                <w:color w:val="auto"/>
                <w:szCs w:val="24"/>
                <w:highlight w:val="none"/>
              </w:rPr>
            </w:pPr>
          </w:p>
        </w:tc>
        <w:tc>
          <w:tcPr>
            <w:tcW w:w="705" w:type="dxa"/>
            <w:vAlign w:val="center"/>
          </w:tcPr>
          <w:p>
            <w:pPr>
              <w:pStyle w:val="60"/>
              <w:keepNext w:val="0"/>
              <w:snapToGrid w:val="0"/>
              <w:spacing w:line="440" w:lineRule="exact"/>
              <w:jc w:val="both"/>
              <w:textAlignment w:val="auto"/>
              <w:rPr>
                <w:rFonts w:ascii="宋体" w:hAnsi="宋体" w:cs="宋体"/>
                <w:spacing w:val="0"/>
                <w:kern w:val="2"/>
                <w:szCs w:val="24"/>
                <w:highlight w:val="none"/>
              </w:rPr>
            </w:pPr>
          </w:p>
        </w:tc>
      </w:tr>
    </w:tbl>
    <w:p>
      <w:pPr>
        <w:spacing w:line="360" w:lineRule="auto"/>
        <w:ind w:left="840" w:hanging="840" w:hangingChars="350"/>
        <w:rPr>
          <w:rFonts w:ascii="宋体" w:hAnsi="宋体" w:cs="宋体"/>
          <w:sz w:val="24"/>
          <w:highlight w:val="none"/>
          <w:lang w:val="en-GB"/>
        </w:rPr>
      </w:pPr>
      <w:r>
        <w:rPr>
          <w:rFonts w:hint="eastAsia" w:ascii="宋体" w:hAnsi="宋体" w:cs="宋体"/>
          <w:sz w:val="24"/>
          <w:highlight w:val="none"/>
          <w:lang w:val="en-GB"/>
        </w:rPr>
        <w:t xml:space="preserve">注： </w:t>
      </w:r>
    </w:p>
    <w:p>
      <w:pPr>
        <w:numPr>
          <w:ilvl w:val="0"/>
          <w:numId w:val="168"/>
        </w:numPr>
        <w:spacing w:line="360" w:lineRule="auto"/>
        <w:rPr>
          <w:rFonts w:ascii="宋体" w:hAnsi="宋体" w:cs="宋体"/>
          <w:sz w:val="24"/>
          <w:highlight w:val="none"/>
          <w:lang w:val="en-GB"/>
        </w:rPr>
      </w:pPr>
      <w:r>
        <w:rPr>
          <w:rFonts w:hint="eastAsia" w:ascii="宋体" w:hAnsi="宋体" w:cs="宋体"/>
          <w:sz w:val="24"/>
          <w:highlight w:val="none"/>
        </w:rPr>
        <w:t>对</w:t>
      </w:r>
      <w:r>
        <w:rPr>
          <w:rFonts w:hint="eastAsia" w:ascii="宋体" w:hAnsi="宋体" w:cs="宋体"/>
          <w:sz w:val="24"/>
          <w:highlight w:val="none"/>
          <w:lang w:val="en-GB"/>
        </w:rPr>
        <w:t>于上述要求，如投标人完全响应，则在“是否响应”栏内打“√”；对空白或打“×”视为偏离，请在“偏离说明”栏内扼要说明偏离情况。</w:t>
      </w:r>
    </w:p>
    <w:p>
      <w:pPr>
        <w:numPr>
          <w:ilvl w:val="0"/>
          <w:numId w:val="168"/>
        </w:numPr>
        <w:spacing w:line="360" w:lineRule="auto"/>
        <w:rPr>
          <w:rFonts w:ascii="宋体" w:hAnsi="宋体" w:cs="宋体"/>
          <w:sz w:val="24"/>
          <w:highlight w:val="none"/>
          <w:lang w:val="en-GB"/>
        </w:rPr>
      </w:pPr>
      <w:r>
        <w:rPr>
          <w:rFonts w:hint="eastAsia" w:ascii="宋体" w:hAnsi="宋体" w:cs="宋体"/>
          <w:sz w:val="24"/>
          <w:highlight w:val="none"/>
          <w:lang w:val="en-GB"/>
        </w:rPr>
        <w:t>本表内容不得擅自修改。</w:t>
      </w:r>
    </w:p>
    <w:p>
      <w:pPr>
        <w:rPr>
          <w:rFonts w:ascii="宋体" w:hAnsi="宋体" w:cs="宋体"/>
          <w:sz w:val="24"/>
          <w:highlight w:val="none"/>
        </w:rPr>
      </w:pPr>
      <w:r>
        <w:rPr>
          <w:rFonts w:hint="eastAsia" w:ascii="宋体" w:hAnsi="宋体" w:cs="宋体"/>
          <w:sz w:val="24"/>
          <w:highlight w:val="none"/>
        </w:rPr>
        <w:br w:type="page"/>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pStyle w:val="4"/>
        <w:numPr>
          <w:ilvl w:val="0"/>
          <w:numId w:val="163"/>
        </w:numPr>
        <w:spacing w:before="0" w:after="0" w:line="360" w:lineRule="auto"/>
        <w:jc w:val="center"/>
        <w:rPr>
          <w:rFonts w:ascii="宋体" w:hAnsi="宋体"/>
          <w:sz w:val="28"/>
          <w:szCs w:val="28"/>
          <w:highlight w:val="none"/>
        </w:rPr>
      </w:pPr>
      <w:bookmarkStart w:id="647" w:name="_Toc26897"/>
      <w:bookmarkStart w:id="648" w:name="_Toc3709"/>
      <w:bookmarkStart w:id="649" w:name="_Toc9709"/>
      <w:r>
        <w:rPr>
          <w:rFonts w:hint="eastAsia" w:ascii="宋体" w:hAnsi="宋体"/>
          <w:sz w:val="28"/>
          <w:szCs w:val="28"/>
          <w:highlight w:val="none"/>
        </w:rPr>
        <w:t>合同条款响应一览表</w:t>
      </w:r>
      <w:bookmarkEnd w:id="647"/>
      <w:bookmarkEnd w:id="648"/>
      <w:bookmarkEnd w:id="649"/>
    </w:p>
    <w:tbl>
      <w:tblPr>
        <w:tblStyle w:val="2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83"/>
        <w:gridCol w:w="3422"/>
        <w:gridCol w:w="3191"/>
        <w:gridCol w:w="189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9" w:hRule="atLeast"/>
          <w:jc w:val="center"/>
        </w:trPr>
        <w:tc>
          <w:tcPr>
            <w:tcW w:w="583" w:type="dxa"/>
            <w:shd w:val="clear" w:color="auto" w:fill="D7D7D7"/>
            <w:vAlign w:val="center"/>
          </w:tcPr>
          <w:p>
            <w:pPr>
              <w:spacing w:before="72" w:after="72"/>
              <w:jc w:val="center"/>
              <w:rPr>
                <w:rFonts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序号</w:t>
            </w:r>
          </w:p>
        </w:tc>
        <w:tc>
          <w:tcPr>
            <w:tcW w:w="3422" w:type="dxa"/>
            <w:shd w:val="clear" w:color="auto" w:fill="D7D7D7"/>
            <w:vAlign w:val="center"/>
          </w:tcPr>
          <w:p>
            <w:pPr>
              <w:spacing w:before="72" w:after="72"/>
              <w:jc w:val="center"/>
              <w:rPr>
                <w:rFonts w:ascii="宋体" w:hAnsi="宋体" w:cs="宋体"/>
                <w:b/>
                <w:sz w:val="24"/>
                <w:highlight w:val="none"/>
              </w:rPr>
            </w:pPr>
            <w:r>
              <w:rPr>
                <w:rFonts w:hint="eastAsia" w:ascii="宋体" w:hAnsi="宋体" w:cs="宋体"/>
                <w:b/>
                <w:sz w:val="24"/>
                <w:highlight w:val="none"/>
              </w:rPr>
              <w:t>招标文件中合同条款描述</w:t>
            </w:r>
          </w:p>
        </w:tc>
        <w:tc>
          <w:tcPr>
            <w:tcW w:w="3191" w:type="dxa"/>
            <w:shd w:val="clear" w:color="auto" w:fill="D7D7D7"/>
            <w:vAlign w:val="center"/>
          </w:tcPr>
          <w:p>
            <w:pPr>
              <w:spacing w:before="72" w:after="72"/>
              <w:jc w:val="center"/>
              <w:rPr>
                <w:rFonts w:ascii="宋体" w:hAnsi="宋体" w:cs="宋体"/>
                <w:b/>
                <w:sz w:val="24"/>
                <w:highlight w:val="none"/>
              </w:rPr>
            </w:pPr>
            <w:r>
              <w:rPr>
                <w:rFonts w:hint="eastAsia" w:ascii="宋体" w:hAnsi="宋体" w:cs="宋体"/>
                <w:b/>
                <w:sz w:val="24"/>
                <w:highlight w:val="none"/>
              </w:rPr>
              <w:t>投标人响应描述</w:t>
            </w:r>
          </w:p>
        </w:tc>
        <w:tc>
          <w:tcPr>
            <w:tcW w:w="1891" w:type="dxa"/>
            <w:shd w:val="clear" w:color="auto" w:fill="D7D7D7"/>
            <w:vAlign w:val="center"/>
          </w:tcPr>
          <w:p>
            <w:pPr>
              <w:spacing w:before="72" w:after="72"/>
              <w:jc w:val="center"/>
              <w:rPr>
                <w:rFonts w:ascii="宋体" w:hAnsi="宋体" w:cs="宋体"/>
                <w:b/>
                <w:sz w:val="24"/>
                <w:highlight w:val="none"/>
              </w:rPr>
            </w:pPr>
            <w:r>
              <w:rPr>
                <w:rFonts w:hint="eastAsia" w:ascii="宋体" w:hAnsi="宋体" w:cs="宋体"/>
                <w:b/>
                <w:sz w:val="24"/>
                <w:highlight w:val="none"/>
              </w:rPr>
              <w:t>偏离情况说明</w:t>
            </w:r>
          </w:p>
          <w:p>
            <w:pPr>
              <w:spacing w:before="72" w:after="72"/>
              <w:jc w:val="center"/>
              <w:rPr>
                <w:rFonts w:ascii="宋体" w:hAnsi="宋体" w:cs="宋体"/>
                <w:b/>
                <w:sz w:val="24"/>
                <w:highlight w:val="none"/>
              </w:rPr>
            </w:pPr>
            <w:r>
              <w:rPr>
                <w:rFonts w:hint="eastAsia" w:ascii="宋体" w:hAnsi="宋体" w:cs="宋体"/>
                <w:b/>
                <w:sz w:val="24"/>
                <w:highlight w:val="none"/>
              </w:rPr>
              <w:t>（正偏离/无偏离/负偏离）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69"/>
              </w:numPr>
              <w:spacing w:line="400" w:lineRule="exact"/>
              <w:rPr>
                <w:rFonts w:ascii="宋体" w:hAnsi="宋体"/>
                <w:szCs w:val="21"/>
                <w:highlight w:val="none"/>
              </w:rPr>
            </w:pPr>
          </w:p>
        </w:tc>
        <w:tc>
          <w:tcPr>
            <w:tcW w:w="3422" w:type="dxa"/>
            <w:vAlign w:val="center"/>
          </w:tcPr>
          <w:p>
            <w:pPr>
              <w:rPr>
                <w:rFonts w:ascii="宋体" w:hAnsi="宋体"/>
                <w:highlight w:val="none"/>
              </w:rPr>
            </w:pPr>
          </w:p>
        </w:tc>
        <w:tc>
          <w:tcPr>
            <w:tcW w:w="3191" w:type="dxa"/>
            <w:vAlign w:val="center"/>
          </w:tcPr>
          <w:p>
            <w:pPr>
              <w:spacing w:line="400" w:lineRule="exact"/>
              <w:rPr>
                <w:rFonts w:ascii="宋体" w:hAnsi="宋体"/>
                <w:highlight w:val="none"/>
              </w:rPr>
            </w:pPr>
          </w:p>
        </w:tc>
        <w:tc>
          <w:tcPr>
            <w:tcW w:w="1891" w:type="dxa"/>
            <w:vAlign w:val="center"/>
          </w:tcPr>
          <w:p>
            <w:pPr>
              <w:spacing w:line="400" w:lineRule="exact"/>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69"/>
              </w:numPr>
              <w:spacing w:line="400" w:lineRule="exact"/>
              <w:rPr>
                <w:rFonts w:ascii="宋体" w:hAnsi="宋体"/>
                <w:szCs w:val="21"/>
                <w:highlight w:val="none"/>
              </w:rPr>
            </w:pPr>
          </w:p>
        </w:tc>
        <w:tc>
          <w:tcPr>
            <w:tcW w:w="3422" w:type="dxa"/>
            <w:vAlign w:val="center"/>
          </w:tcPr>
          <w:p>
            <w:pPr>
              <w:rPr>
                <w:rFonts w:ascii="宋体" w:hAnsi="宋体"/>
                <w:highlight w:val="none"/>
              </w:rPr>
            </w:pPr>
          </w:p>
        </w:tc>
        <w:tc>
          <w:tcPr>
            <w:tcW w:w="3191" w:type="dxa"/>
            <w:vAlign w:val="center"/>
          </w:tcPr>
          <w:p>
            <w:pPr>
              <w:spacing w:line="400" w:lineRule="exact"/>
              <w:rPr>
                <w:rFonts w:ascii="宋体" w:hAnsi="宋体"/>
                <w:highlight w:val="none"/>
              </w:rPr>
            </w:pPr>
          </w:p>
        </w:tc>
        <w:tc>
          <w:tcPr>
            <w:tcW w:w="1891" w:type="dxa"/>
            <w:vAlign w:val="center"/>
          </w:tcPr>
          <w:p>
            <w:pPr>
              <w:spacing w:line="400" w:lineRule="exact"/>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69"/>
              </w:numPr>
              <w:spacing w:line="400" w:lineRule="exact"/>
              <w:rPr>
                <w:rFonts w:ascii="宋体" w:hAnsi="宋体"/>
                <w:szCs w:val="21"/>
                <w:highlight w:val="none"/>
              </w:rPr>
            </w:pPr>
          </w:p>
        </w:tc>
        <w:tc>
          <w:tcPr>
            <w:tcW w:w="3422" w:type="dxa"/>
            <w:vAlign w:val="center"/>
          </w:tcPr>
          <w:p>
            <w:pPr>
              <w:rPr>
                <w:rFonts w:ascii="宋体" w:hAnsi="宋体"/>
                <w:highlight w:val="none"/>
              </w:rPr>
            </w:pPr>
          </w:p>
        </w:tc>
        <w:tc>
          <w:tcPr>
            <w:tcW w:w="3191" w:type="dxa"/>
            <w:vAlign w:val="center"/>
          </w:tcPr>
          <w:p>
            <w:pPr>
              <w:spacing w:line="400" w:lineRule="exact"/>
              <w:rPr>
                <w:rFonts w:ascii="宋体" w:hAnsi="宋体"/>
                <w:highlight w:val="none"/>
              </w:rPr>
            </w:pPr>
          </w:p>
        </w:tc>
        <w:tc>
          <w:tcPr>
            <w:tcW w:w="1891" w:type="dxa"/>
            <w:vAlign w:val="center"/>
          </w:tcPr>
          <w:p>
            <w:pPr>
              <w:spacing w:line="400" w:lineRule="exact"/>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69"/>
              </w:numPr>
              <w:spacing w:line="400" w:lineRule="exact"/>
              <w:rPr>
                <w:rFonts w:ascii="宋体" w:hAnsi="宋体"/>
                <w:szCs w:val="21"/>
                <w:highlight w:val="none"/>
              </w:rPr>
            </w:pPr>
          </w:p>
        </w:tc>
        <w:tc>
          <w:tcPr>
            <w:tcW w:w="3422" w:type="dxa"/>
            <w:vAlign w:val="center"/>
          </w:tcPr>
          <w:p>
            <w:pPr>
              <w:rPr>
                <w:rFonts w:ascii="宋体" w:hAnsi="宋体"/>
                <w:highlight w:val="none"/>
              </w:rPr>
            </w:pPr>
          </w:p>
        </w:tc>
        <w:tc>
          <w:tcPr>
            <w:tcW w:w="3191" w:type="dxa"/>
            <w:vAlign w:val="center"/>
          </w:tcPr>
          <w:p>
            <w:pPr>
              <w:spacing w:line="400" w:lineRule="exact"/>
              <w:rPr>
                <w:rFonts w:ascii="宋体" w:hAnsi="宋体"/>
                <w:highlight w:val="none"/>
              </w:rPr>
            </w:pPr>
          </w:p>
        </w:tc>
        <w:tc>
          <w:tcPr>
            <w:tcW w:w="1891" w:type="dxa"/>
            <w:vAlign w:val="center"/>
          </w:tcPr>
          <w:p>
            <w:pPr>
              <w:spacing w:line="400" w:lineRule="exact"/>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69"/>
              </w:numPr>
              <w:spacing w:line="400" w:lineRule="exact"/>
              <w:rPr>
                <w:rFonts w:ascii="宋体" w:hAnsi="宋体"/>
                <w:szCs w:val="21"/>
                <w:highlight w:val="none"/>
              </w:rPr>
            </w:pPr>
          </w:p>
        </w:tc>
        <w:tc>
          <w:tcPr>
            <w:tcW w:w="3422" w:type="dxa"/>
            <w:vAlign w:val="center"/>
          </w:tcPr>
          <w:p>
            <w:pPr>
              <w:rPr>
                <w:rFonts w:ascii="宋体" w:hAnsi="宋体"/>
                <w:highlight w:val="none"/>
              </w:rPr>
            </w:pPr>
          </w:p>
        </w:tc>
        <w:tc>
          <w:tcPr>
            <w:tcW w:w="3191" w:type="dxa"/>
            <w:vAlign w:val="center"/>
          </w:tcPr>
          <w:p>
            <w:pPr>
              <w:spacing w:line="400" w:lineRule="exact"/>
              <w:rPr>
                <w:rFonts w:ascii="宋体" w:hAnsi="宋体"/>
                <w:highlight w:val="none"/>
              </w:rPr>
            </w:pPr>
          </w:p>
        </w:tc>
        <w:tc>
          <w:tcPr>
            <w:tcW w:w="1891" w:type="dxa"/>
            <w:vAlign w:val="center"/>
          </w:tcPr>
          <w:p>
            <w:pPr>
              <w:spacing w:line="400" w:lineRule="exact"/>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69"/>
              </w:numPr>
              <w:spacing w:line="400" w:lineRule="exact"/>
              <w:rPr>
                <w:rFonts w:ascii="宋体" w:hAnsi="宋体"/>
                <w:szCs w:val="21"/>
                <w:highlight w:val="none"/>
              </w:rPr>
            </w:pPr>
          </w:p>
        </w:tc>
        <w:tc>
          <w:tcPr>
            <w:tcW w:w="3422" w:type="dxa"/>
            <w:vAlign w:val="center"/>
          </w:tcPr>
          <w:p>
            <w:pPr>
              <w:rPr>
                <w:rFonts w:ascii="宋体" w:hAnsi="宋体"/>
                <w:highlight w:val="none"/>
              </w:rPr>
            </w:pPr>
          </w:p>
        </w:tc>
        <w:tc>
          <w:tcPr>
            <w:tcW w:w="3191" w:type="dxa"/>
            <w:vAlign w:val="center"/>
          </w:tcPr>
          <w:p>
            <w:pPr>
              <w:spacing w:line="400" w:lineRule="exact"/>
              <w:rPr>
                <w:rFonts w:ascii="宋体" w:hAnsi="宋体"/>
                <w:highlight w:val="none"/>
              </w:rPr>
            </w:pPr>
          </w:p>
        </w:tc>
        <w:tc>
          <w:tcPr>
            <w:tcW w:w="1891" w:type="dxa"/>
            <w:vAlign w:val="center"/>
          </w:tcPr>
          <w:p>
            <w:pPr>
              <w:spacing w:line="400" w:lineRule="exact"/>
              <w:rPr>
                <w:rFonts w:ascii="宋体" w:hAnsi="宋体"/>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6" w:hRule="atLeast"/>
          <w:jc w:val="center"/>
        </w:trPr>
        <w:tc>
          <w:tcPr>
            <w:tcW w:w="583" w:type="dxa"/>
            <w:vAlign w:val="center"/>
          </w:tcPr>
          <w:p>
            <w:pPr>
              <w:numPr>
                <w:ilvl w:val="0"/>
                <w:numId w:val="169"/>
              </w:numPr>
              <w:spacing w:line="400" w:lineRule="exact"/>
              <w:rPr>
                <w:rFonts w:ascii="宋体" w:hAnsi="宋体"/>
                <w:szCs w:val="21"/>
                <w:highlight w:val="none"/>
              </w:rPr>
            </w:pPr>
          </w:p>
        </w:tc>
        <w:tc>
          <w:tcPr>
            <w:tcW w:w="3422" w:type="dxa"/>
            <w:vAlign w:val="center"/>
          </w:tcPr>
          <w:p>
            <w:pPr>
              <w:rPr>
                <w:rFonts w:ascii="宋体" w:hAnsi="宋体"/>
                <w:szCs w:val="21"/>
                <w:highlight w:val="none"/>
              </w:rPr>
            </w:pPr>
          </w:p>
        </w:tc>
        <w:tc>
          <w:tcPr>
            <w:tcW w:w="3191" w:type="dxa"/>
            <w:vAlign w:val="center"/>
          </w:tcPr>
          <w:p>
            <w:pPr>
              <w:spacing w:line="400" w:lineRule="exact"/>
              <w:rPr>
                <w:rFonts w:ascii="宋体" w:hAnsi="宋体"/>
                <w:highlight w:val="none"/>
              </w:rPr>
            </w:pPr>
          </w:p>
        </w:tc>
        <w:tc>
          <w:tcPr>
            <w:tcW w:w="1891" w:type="dxa"/>
            <w:vAlign w:val="center"/>
          </w:tcPr>
          <w:p>
            <w:pPr>
              <w:spacing w:line="400" w:lineRule="exact"/>
              <w:rPr>
                <w:rFonts w:ascii="宋体" w:hAnsi="宋体"/>
                <w:highlight w:val="none"/>
              </w:rPr>
            </w:pPr>
          </w:p>
        </w:tc>
      </w:tr>
    </w:tbl>
    <w:p>
      <w:pPr>
        <w:spacing w:before="120" w:beforeLines="50" w:line="360" w:lineRule="auto"/>
        <w:rPr>
          <w:rFonts w:ascii="宋体" w:hAnsi="宋体"/>
          <w:highlight w:val="none"/>
        </w:rPr>
      </w:pPr>
      <w:r>
        <w:rPr>
          <w:rFonts w:hint="eastAsia" w:ascii="宋体" w:hAnsi="宋体"/>
          <w:highlight w:val="none"/>
        </w:rPr>
        <w:t>说明：如投标人的投标文件与招标文件《第五章 合同格式》内容有偏离的，应在“</w:t>
      </w:r>
      <w:r>
        <w:rPr>
          <w:rFonts w:hint="eastAsia" w:ascii="宋体" w:hAnsi="宋体"/>
          <w:highlight w:val="none"/>
          <w:lang w:eastAsia="zh-Hans"/>
        </w:rPr>
        <w:t>合同条款响应一览表</w:t>
      </w:r>
      <w:r>
        <w:rPr>
          <w:rFonts w:hint="eastAsia" w:ascii="宋体" w:hAnsi="宋体"/>
          <w:highlight w:val="none"/>
        </w:rPr>
        <w:t>”上逐条填写，如全部条款无偏离，则只须在“</w:t>
      </w:r>
      <w:r>
        <w:rPr>
          <w:rFonts w:hint="eastAsia" w:ascii="宋体" w:hAnsi="宋体"/>
          <w:highlight w:val="none"/>
          <w:lang w:eastAsia="zh-Hans"/>
        </w:rPr>
        <w:t>合同条款响应一览表</w:t>
      </w:r>
      <w:r>
        <w:rPr>
          <w:rFonts w:hint="eastAsia" w:ascii="宋体" w:hAnsi="宋体"/>
          <w:highlight w:val="none"/>
        </w:rPr>
        <w:t>”偏离情况说明栏填写“全部条款无偏离”，并加盖投标人单位公章。</w:t>
      </w:r>
    </w:p>
    <w:p>
      <w:pPr>
        <w:adjustRightInd w:val="0"/>
        <w:snapToGrid w:val="0"/>
        <w:spacing w:before="72" w:after="72" w:line="480" w:lineRule="auto"/>
        <w:ind w:firstLine="3578" w:firstLineChars="1491"/>
        <w:rPr>
          <w:rFonts w:ascii="宋体" w:hAnsi="宋体" w:cs="宋体"/>
          <w:sz w:val="24"/>
          <w:highlight w:val="none"/>
        </w:rPr>
      </w:pPr>
    </w:p>
    <w:p>
      <w:pPr>
        <w:adjustRightInd w:val="0"/>
        <w:snapToGrid w:val="0"/>
        <w:spacing w:before="72" w:after="72" w:line="480" w:lineRule="auto"/>
        <w:ind w:firstLine="3578" w:firstLineChars="1491"/>
        <w:rPr>
          <w:rFonts w:ascii="宋体" w:hAnsi="宋体" w:cs="宋体"/>
          <w:sz w:val="24"/>
          <w:highlight w:val="none"/>
        </w:rPr>
      </w:pPr>
    </w:p>
    <w:p>
      <w:pPr>
        <w:adjustRightInd w:val="0"/>
        <w:snapToGrid w:val="0"/>
        <w:spacing w:before="72" w:after="72" w:line="360" w:lineRule="auto"/>
        <w:ind w:firstLine="3578" w:firstLineChars="1491"/>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3578" w:firstLineChars="1491"/>
        <w:rPr>
          <w:rFonts w:ascii="宋体" w:hAnsi="宋体" w:cs="宋体"/>
          <w:sz w:val="24"/>
          <w:highlight w:val="none"/>
        </w:rPr>
      </w:pPr>
      <w:r>
        <w:rPr>
          <w:rFonts w:hint="eastAsia" w:ascii="宋体" w:hAnsi="宋体" w:cs="宋体"/>
          <w:sz w:val="24"/>
          <w:highlight w:val="none"/>
        </w:rPr>
        <w:t>投标人法定代表人或其授权代表（签字或盖章）：</w:t>
      </w:r>
    </w:p>
    <w:p>
      <w:pPr>
        <w:adjustRightInd w:val="0"/>
        <w:snapToGrid w:val="0"/>
        <w:spacing w:before="72" w:after="72" w:line="360" w:lineRule="auto"/>
        <w:ind w:firstLine="3578" w:firstLineChars="1491"/>
        <w:rPr>
          <w:highlight w:val="none"/>
        </w:rPr>
      </w:pPr>
      <w:r>
        <w:rPr>
          <w:rFonts w:hint="eastAsia" w:ascii="宋体" w:hAnsi="宋体" w:cs="宋体"/>
          <w:sz w:val="24"/>
          <w:highlight w:val="none"/>
        </w:rPr>
        <w:t>日期：   年   月   日</w:t>
      </w:r>
    </w:p>
    <w:p>
      <w:pPr>
        <w:rPr>
          <w:highlight w:val="none"/>
        </w:rPr>
      </w:pPr>
      <w:r>
        <w:rPr>
          <w:rFonts w:hint="eastAsia"/>
          <w:highlight w:val="none"/>
        </w:rPr>
        <w:br w:type="page"/>
      </w:r>
    </w:p>
    <w:bookmarkEnd w:id="642"/>
    <w:bookmarkEnd w:id="643"/>
    <w:bookmarkEnd w:id="644"/>
    <w:bookmarkEnd w:id="645"/>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p>
    <w:p>
      <w:pPr>
        <w:ind w:left="420"/>
        <w:rPr>
          <w:highlight w:val="none"/>
        </w:rPr>
      </w:pPr>
      <w:bookmarkStart w:id="650" w:name="_Toc30925"/>
      <w:bookmarkStart w:id="651" w:name="_Toc423021973"/>
      <w:bookmarkStart w:id="652" w:name="_Toc381489443"/>
      <w:bookmarkStart w:id="653" w:name="_Toc25775"/>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pStyle w:val="3"/>
        <w:jc w:val="center"/>
        <w:rPr>
          <w:sz w:val="44"/>
          <w:szCs w:val="44"/>
          <w:highlight w:val="none"/>
        </w:rPr>
      </w:pPr>
      <w:bookmarkStart w:id="654" w:name="_Toc32017"/>
      <w:r>
        <w:rPr>
          <w:sz w:val="44"/>
          <w:szCs w:val="44"/>
          <w:highlight w:val="none"/>
        </w:rPr>
        <w:t>第</w:t>
      </w:r>
      <w:r>
        <w:rPr>
          <w:rFonts w:hint="eastAsia"/>
          <w:sz w:val="44"/>
          <w:szCs w:val="44"/>
          <w:highlight w:val="none"/>
        </w:rPr>
        <w:t>四</w:t>
      </w:r>
      <w:r>
        <w:rPr>
          <w:sz w:val="44"/>
          <w:szCs w:val="44"/>
          <w:highlight w:val="none"/>
        </w:rPr>
        <w:t xml:space="preserve">部分 </w:t>
      </w:r>
      <w:r>
        <w:rPr>
          <w:rFonts w:hint="eastAsia"/>
          <w:sz w:val="44"/>
          <w:szCs w:val="44"/>
          <w:highlight w:val="none"/>
        </w:rPr>
        <w:t>技术</w:t>
      </w:r>
      <w:r>
        <w:rPr>
          <w:sz w:val="44"/>
          <w:szCs w:val="44"/>
          <w:highlight w:val="none"/>
        </w:rPr>
        <w:t>文件</w:t>
      </w:r>
      <w:bookmarkEnd w:id="650"/>
      <w:bookmarkEnd w:id="651"/>
      <w:bookmarkEnd w:id="652"/>
      <w:bookmarkEnd w:id="653"/>
      <w:bookmarkEnd w:id="654"/>
    </w:p>
    <w:p>
      <w:pPr>
        <w:rPr>
          <w:highlight w:val="none"/>
        </w:rPr>
      </w:pPr>
    </w:p>
    <w:p>
      <w:pPr>
        <w:pStyle w:val="4"/>
        <w:jc w:val="center"/>
        <w:rPr>
          <w:highlight w:val="none"/>
        </w:rPr>
        <w:sectPr>
          <w:pgSz w:w="11905" w:h="16838"/>
          <w:pgMar w:top="1803" w:right="1440" w:bottom="1803" w:left="1440" w:header="850" w:footer="822" w:gutter="0"/>
          <w:cols w:space="0" w:num="1"/>
          <w:docGrid w:linePitch="312" w:charSpace="0"/>
        </w:sectPr>
      </w:pPr>
      <w:bookmarkStart w:id="655" w:name="_Toc381489444"/>
      <w:bookmarkEnd w:id="655"/>
      <w:bookmarkStart w:id="656" w:name="_Toc423021974"/>
      <w:bookmarkEnd w:id="656"/>
    </w:p>
    <w:p>
      <w:pPr>
        <w:pStyle w:val="4"/>
        <w:numPr>
          <w:ilvl w:val="0"/>
          <w:numId w:val="170"/>
        </w:numPr>
        <w:spacing w:before="0" w:after="0" w:line="360" w:lineRule="auto"/>
        <w:jc w:val="center"/>
        <w:rPr>
          <w:highlight w:val="none"/>
        </w:rPr>
      </w:pPr>
      <w:bookmarkStart w:id="657" w:name="_Toc5899"/>
      <w:bookmarkStart w:id="658" w:name="_Toc15881"/>
      <w:bookmarkStart w:id="659" w:name="_Toc7035"/>
      <w:bookmarkStart w:id="660" w:name="_Toc24874"/>
      <w:bookmarkStart w:id="661" w:name="_Toc5032"/>
      <w:bookmarkStart w:id="662" w:name="_Toc196294636"/>
      <w:r>
        <w:rPr>
          <w:rFonts w:hint="eastAsia"/>
          <w:highlight w:val="none"/>
        </w:rPr>
        <w:t>货物说明一览表</w:t>
      </w:r>
      <w:bookmarkEnd w:id="657"/>
      <w:bookmarkEnd w:id="658"/>
      <w:bookmarkEnd w:id="659"/>
      <w:bookmarkEnd w:id="660"/>
    </w:p>
    <w:tbl>
      <w:tblPr>
        <w:tblStyle w:val="29"/>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4"/>
        <w:gridCol w:w="2414"/>
        <w:gridCol w:w="1357"/>
        <w:gridCol w:w="192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095" w:type="pct"/>
            <w:shd w:val="clear" w:color="auto" w:fill="D8D8D8"/>
            <w:vAlign w:val="center"/>
          </w:tcPr>
          <w:p>
            <w:pPr>
              <w:spacing w:line="480" w:lineRule="exact"/>
              <w:jc w:val="center"/>
              <w:rPr>
                <w:rFonts w:ascii="宋体" w:cs="宋体"/>
                <w:b/>
                <w:bCs/>
                <w:sz w:val="24"/>
                <w:highlight w:val="none"/>
              </w:rPr>
            </w:pPr>
            <w:r>
              <w:rPr>
                <w:rFonts w:hint="eastAsia" w:ascii="宋体" w:hAnsi="宋体" w:cs="宋体"/>
                <w:b/>
                <w:bCs/>
                <w:sz w:val="24"/>
                <w:highlight w:val="none"/>
              </w:rPr>
              <w:t>货物名称</w:t>
            </w:r>
          </w:p>
        </w:tc>
        <w:tc>
          <w:tcPr>
            <w:tcW w:w="1306" w:type="pct"/>
            <w:shd w:val="clear" w:color="auto" w:fill="D8D8D8"/>
            <w:vAlign w:val="center"/>
          </w:tcPr>
          <w:p>
            <w:pPr>
              <w:spacing w:line="480" w:lineRule="exact"/>
              <w:jc w:val="center"/>
              <w:rPr>
                <w:rFonts w:ascii="宋体" w:cs="宋体"/>
                <w:b/>
                <w:bCs/>
                <w:sz w:val="24"/>
                <w:highlight w:val="none"/>
              </w:rPr>
            </w:pPr>
            <w:r>
              <w:rPr>
                <w:rFonts w:hint="eastAsia" w:ascii="宋体" w:hAnsi="宋体" w:cs="宋体"/>
                <w:b/>
                <w:bCs/>
                <w:sz w:val="24"/>
                <w:highlight w:val="none"/>
              </w:rPr>
              <w:t>规格及型号</w:t>
            </w:r>
          </w:p>
        </w:tc>
        <w:tc>
          <w:tcPr>
            <w:tcW w:w="734" w:type="pct"/>
            <w:shd w:val="clear" w:color="auto" w:fill="D8D8D8"/>
            <w:vAlign w:val="center"/>
          </w:tcPr>
          <w:p>
            <w:pPr>
              <w:spacing w:line="480" w:lineRule="exact"/>
              <w:jc w:val="center"/>
              <w:rPr>
                <w:rFonts w:ascii="宋体" w:cs="宋体"/>
                <w:b/>
                <w:bCs/>
                <w:sz w:val="24"/>
                <w:highlight w:val="none"/>
              </w:rPr>
            </w:pPr>
            <w:r>
              <w:rPr>
                <w:rFonts w:hint="eastAsia" w:ascii="宋体" w:hAnsi="宋体" w:cs="宋体"/>
                <w:b/>
                <w:bCs/>
                <w:sz w:val="24"/>
                <w:highlight w:val="none"/>
              </w:rPr>
              <w:t>数量</w:t>
            </w:r>
          </w:p>
        </w:tc>
        <w:tc>
          <w:tcPr>
            <w:tcW w:w="1041" w:type="pct"/>
            <w:shd w:val="clear" w:color="auto" w:fill="D8D8D8"/>
            <w:vAlign w:val="center"/>
          </w:tcPr>
          <w:p>
            <w:pPr>
              <w:spacing w:line="480" w:lineRule="exact"/>
              <w:jc w:val="center"/>
              <w:rPr>
                <w:rFonts w:ascii="宋体" w:cs="宋体"/>
                <w:b/>
                <w:bCs/>
                <w:sz w:val="24"/>
                <w:highlight w:val="none"/>
              </w:rPr>
            </w:pPr>
            <w:r>
              <w:rPr>
                <w:rFonts w:hint="eastAsia" w:ascii="宋体" w:hAnsi="宋体" w:cs="宋体"/>
                <w:b/>
                <w:bCs/>
                <w:sz w:val="24"/>
                <w:highlight w:val="none"/>
              </w:rPr>
              <w:t>交货期</w:t>
            </w:r>
          </w:p>
        </w:tc>
        <w:tc>
          <w:tcPr>
            <w:tcW w:w="822" w:type="pct"/>
            <w:shd w:val="clear" w:color="auto" w:fill="D8D8D8"/>
            <w:vAlign w:val="center"/>
          </w:tcPr>
          <w:p>
            <w:pPr>
              <w:spacing w:before="72" w:after="72"/>
              <w:jc w:val="center"/>
              <w:rPr>
                <w:rFonts w:ascii="宋体" w:cs="宋体"/>
                <w:b/>
                <w:bCs/>
                <w:sz w:val="24"/>
                <w:highlight w:val="none"/>
              </w:rPr>
            </w:pPr>
            <w:r>
              <w:rPr>
                <w:rFonts w:hint="eastAsia" w:ascii="宋体" w:hAnsi="宋体" w:cs="宋体"/>
                <w:b/>
                <w:bCs/>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5" w:type="pct"/>
            <w:vAlign w:val="center"/>
          </w:tcPr>
          <w:p>
            <w:pPr>
              <w:widowControl/>
              <w:spacing w:before="72" w:after="72"/>
              <w:jc w:val="center"/>
              <w:rPr>
                <w:rFonts w:ascii="宋体" w:cs="宋体"/>
                <w:b/>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5" w:type="pct"/>
            <w:vAlign w:val="center"/>
          </w:tcPr>
          <w:p>
            <w:pPr>
              <w:widowControl/>
              <w:spacing w:before="72" w:after="72"/>
              <w:jc w:val="center"/>
              <w:rPr>
                <w:rFonts w:ascii="宋体" w:cs="宋体"/>
                <w:b/>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5" w:type="pct"/>
            <w:vAlign w:val="center"/>
          </w:tcPr>
          <w:p>
            <w:pPr>
              <w:spacing w:before="72" w:after="72" w:line="360" w:lineRule="auto"/>
              <w:jc w:val="center"/>
              <w:rPr>
                <w:rFonts w:ascii="宋体" w:cs="宋体"/>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095" w:type="pct"/>
            <w:vAlign w:val="center"/>
          </w:tcPr>
          <w:p>
            <w:pPr>
              <w:spacing w:before="72" w:after="72" w:line="360" w:lineRule="auto"/>
              <w:jc w:val="center"/>
              <w:rPr>
                <w:rFonts w:ascii="宋体" w:cs="宋体"/>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5" w:type="pct"/>
            <w:vAlign w:val="center"/>
          </w:tcPr>
          <w:p>
            <w:pPr>
              <w:spacing w:before="72" w:after="72" w:line="360" w:lineRule="auto"/>
              <w:jc w:val="center"/>
              <w:rPr>
                <w:rFonts w:ascii="宋体" w:cs="宋体"/>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5" w:type="pct"/>
            <w:vAlign w:val="center"/>
          </w:tcPr>
          <w:p>
            <w:pPr>
              <w:spacing w:before="72" w:after="72" w:line="360" w:lineRule="auto"/>
              <w:jc w:val="center"/>
              <w:rPr>
                <w:rFonts w:ascii="宋体" w:cs="宋体"/>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5" w:type="pct"/>
            <w:vAlign w:val="center"/>
          </w:tcPr>
          <w:p>
            <w:pPr>
              <w:spacing w:before="72" w:after="72" w:line="360" w:lineRule="auto"/>
              <w:jc w:val="center"/>
              <w:rPr>
                <w:rFonts w:ascii="宋体" w:cs="宋体"/>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095" w:type="pct"/>
            <w:vAlign w:val="center"/>
          </w:tcPr>
          <w:p>
            <w:pPr>
              <w:spacing w:before="72" w:after="72" w:line="360" w:lineRule="auto"/>
              <w:jc w:val="center"/>
              <w:rPr>
                <w:rFonts w:ascii="宋体" w:cs="宋体"/>
                <w:sz w:val="24"/>
                <w:highlight w:val="none"/>
              </w:rPr>
            </w:pPr>
          </w:p>
        </w:tc>
        <w:tc>
          <w:tcPr>
            <w:tcW w:w="1306" w:type="pct"/>
            <w:vAlign w:val="center"/>
          </w:tcPr>
          <w:p>
            <w:pPr>
              <w:spacing w:before="72" w:after="72" w:line="360" w:lineRule="auto"/>
              <w:jc w:val="center"/>
              <w:rPr>
                <w:rFonts w:ascii="宋体" w:cs="宋体"/>
                <w:sz w:val="24"/>
                <w:highlight w:val="none"/>
              </w:rPr>
            </w:pPr>
          </w:p>
        </w:tc>
        <w:tc>
          <w:tcPr>
            <w:tcW w:w="734" w:type="pct"/>
            <w:vAlign w:val="center"/>
          </w:tcPr>
          <w:p>
            <w:pPr>
              <w:spacing w:before="72" w:after="72" w:line="360" w:lineRule="auto"/>
              <w:jc w:val="center"/>
              <w:rPr>
                <w:rFonts w:ascii="宋体" w:cs="宋体"/>
                <w:sz w:val="24"/>
                <w:highlight w:val="none"/>
              </w:rPr>
            </w:pPr>
          </w:p>
        </w:tc>
        <w:tc>
          <w:tcPr>
            <w:tcW w:w="1041" w:type="pct"/>
            <w:vAlign w:val="center"/>
          </w:tcPr>
          <w:p>
            <w:pPr>
              <w:spacing w:before="72" w:after="72" w:line="360" w:lineRule="auto"/>
              <w:jc w:val="center"/>
              <w:rPr>
                <w:rFonts w:ascii="宋体" w:cs="宋体"/>
                <w:sz w:val="24"/>
                <w:highlight w:val="none"/>
              </w:rPr>
            </w:pPr>
          </w:p>
        </w:tc>
        <w:tc>
          <w:tcPr>
            <w:tcW w:w="822" w:type="pct"/>
            <w:vAlign w:val="center"/>
          </w:tcPr>
          <w:p>
            <w:pPr>
              <w:spacing w:before="72" w:after="72" w:line="360" w:lineRule="auto"/>
              <w:jc w:val="center"/>
              <w:rPr>
                <w:rFonts w:ascii="宋体" w:cs="宋体"/>
                <w:sz w:val="24"/>
                <w:highlight w:val="none"/>
              </w:rPr>
            </w:pPr>
          </w:p>
        </w:tc>
      </w:tr>
    </w:tbl>
    <w:p>
      <w:pPr>
        <w:spacing w:before="72" w:after="72" w:line="360" w:lineRule="auto"/>
        <w:rPr>
          <w:rFonts w:ascii="宋体" w:cs="宋体"/>
          <w:b/>
          <w:sz w:val="24"/>
          <w:highlight w:val="none"/>
        </w:rPr>
      </w:pPr>
      <w:r>
        <w:rPr>
          <w:rFonts w:hint="eastAsia" w:ascii="宋体" w:hAnsi="宋体" w:cs="宋体"/>
          <w:sz w:val="24"/>
          <w:highlight w:val="none"/>
        </w:rPr>
        <w:t>注：请供应商提供附以下材料，包括但不限于：</w:t>
      </w:r>
    </w:p>
    <w:p>
      <w:pPr>
        <w:numPr>
          <w:ilvl w:val="0"/>
          <w:numId w:val="171"/>
        </w:numPr>
        <w:spacing w:before="72" w:after="72" w:line="360" w:lineRule="auto"/>
        <w:rPr>
          <w:rFonts w:ascii="宋体" w:cs="宋体"/>
          <w:sz w:val="24"/>
          <w:highlight w:val="none"/>
        </w:rPr>
      </w:pPr>
      <w:r>
        <w:rPr>
          <w:rFonts w:hint="eastAsia" w:ascii="宋体" w:hAnsi="宋体" w:cs="宋体"/>
          <w:sz w:val="24"/>
          <w:highlight w:val="none"/>
        </w:rPr>
        <w:t>设备技术性能条件说明和有关资料，包括产品技术性能说明书（中文）、检测报告及图片、系统软件操作简介等相关证明文件。</w:t>
      </w:r>
    </w:p>
    <w:p>
      <w:pPr>
        <w:numPr>
          <w:ilvl w:val="0"/>
          <w:numId w:val="171"/>
        </w:numPr>
        <w:spacing w:before="72" w:after="72" w:line="360" w:lineRule="auto"/>
        <w:rPr>
          <w:highlight w:val="none"/>
        </w:rPr>
      </w:pPr>
      <w:r>
        <w:rPr>
          <w:rFonts w:hint="eastAsia" w:ascii="宋体" w:hAnsi="宋体" w:cs="宋体"/>
          <w:sz w:val="24"/>
          <w:highlight w:val="none"/>
        </w:rPr>
        <w:t>货物清单包括备品备件、专用工具及软件等。</w:t>
      </w:r>
    </w:p>
    <w:p>
      <w:pPr>
        <w:numPr>
          <w:ilvl w:val="0"/>
          <w:numId w:val="171"/>
        </w:numPr>
        <w:spacing w:before="72" w:after="72" w:line="360" w:lineRule="auto"/>
        <w:rPr>
          <w:highlight w:val="none"/>
        </w:rPr>
      </w:pPr>
      <w:r>
        <w:rPr>
          <w:rFonts w:hint="eastAsia" w:ascii="宋体" w:hAnsi="宋体" w:cs="宋体"/>
          <w:sz w:val="24"/>
          <w:highlight w:val="none"/>
        </w:rPr>
        <w:t>如本表格式内容不能满足需要，供应商可根据本表格格式自行划表填写，但必须体现以上内容。</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rPr>
      </w:pPr>
      <w:r>
        <w:rPr>
          <w:rFonts w:hint="eastAsia" w:ascii="宋体" w:hAnsi="宋体" w:cs="宋体"/>
          <w:sz w:val="24"/>
          <w:highlight w:val="none"/>
        </w:rPr>
        <w:t>投标人法定代表人或其授权代表（签字或盖章）：</w:t>
      </w:r>
    </w:p>
    <w:p>
      <w:pPr>
        <w:adjustRightInd w:val="0"/>
        <w:snapToGrid w:val="0"/>
        <w:spacing w:before="72" w:after="72" w:line="360" w:lineRule="auto"/>
        <w:ind w:firstLine="2940" w:firstLineChars="1225"/>
        <w:rPr>
          <w:highlight w:val="none"/>
        </w:rPr>
      </w:pPr>
      <w:r>
        <w:rPr>
          <w:rFonts w:hint="eastAsia" w:ascii="宋体" w:hAnsi="宋体" w:cs="宋体"/>
          <w:sz w:val="24"/>
          <w:highlight w:val="none"/>
        </w:rPr>
        <w:t>日期：   年   月   日</w:t>
      </w:r>
    </w:p>
    <w:p>
      <w:pPr>
        <w:rPr>
          <w:highlight w:val="none"/>
        </w:rPr>
      </w:pPr>
      <w:r>
        <w:rPr>
          <w:rFonts w:hint="eastAsia"/>
          <w:highlight w:val="none"/>
        </w:rPr>
        <w:br w:type="page"/>
      </w:r>
    </w:p>
    <w:p>
      <w:pPr>
        <w:pStyle w:val="4"/>
        <w:numPr>
          <w:ilvl w:val="0"/>
          <w:numId w:val="170"/>
        </w:numPr>
        <w:spacing w:before="0" w:after="0" w:line="360" w:lineRule="auto"/>
        <w:jc w:val="center"/>
        <w:rPr>
          <w:highlight w:val="none"/>
        </w:rPr>
      </w:pPr>
      <w:bookmarkStart w:id="663" w:name="_Toc7917"/>
      <w:r>
        <w:rPr>
          <w:rFonts w:hint="eastAsia"/>
          <w:highlight w:val="none"/>
        </w:rPr>
        <w:t>技术条款响应表</w:t>
      </w:r>
      <w:bookmarkEnd w:id="661"/>
      <w:bookmarkEnd w:id="663"/>
    </w:p>
    <w:p>
      <w:pPr>
        <w:numPr>
          <w:ilvl w:val="0"/>
          <w:numId w:val="172"/>
        </w:numPr>
        <w:spacing w:before="72" w:after="72"/>
        <w:jc w:val="center"/>
        <w:rPr>
          <w:rFonts w:ascii="宋体" w:hAnsi="宋体" w:cs="宋体"/>
          <w:b/>
          <w:sz w:val="28"/>
          <w:szCs w:val="28"/>
          <w:highlight w:val="none"/>
        </w:rPr>
      </w:pPr>
      <w:bookmarkStart w:id="664" w:name="_Toc23548"/>
      <w:bookmarkStart w:id="665" w:name="_Toc423021977"/>
      <w:bookmarkStart w:id="666" w:name="_Toc381489446"/>
      <w:r>
        <w:rPr>
          <w:rFonts w:hint="eastAsia" w:ascii="宋体" w:hAnsi="宋体" w:cs="宋体"/>
          <w:b/>
          <w:sz w:val="28"/>
          <w:szCs w:val="28"/>
          <w:highlight w:val="none"/>
        </w:rPr>
        <w:t>实质性技术条款（“</w:t>
      </w:r>
      <w:r>
        <w:rPr>
          <w:rFonts w:hint="eastAsia" w:ascii="宋体" w:hAnsi="宋体" w:cs="宋体"/>
          <w:sz w:val="28"/>
          <w:szCs w:val="28"/>
          <w:highlight w:val="none"/>
        </w:rPr>
        <w:t>★</w:t>
      </w:r>
      <w:r>
        <w:rPr>
          <w:rFonts w:hint="eastAsia" w:ascii="宋体" w:hAnsi="宋体" w:cs="宋体"/>
          <w:b/>
          <w:sz w:val="28"/>
          <w:szCs w:val="28"/>
          <w:highlight w:val="none"/>
        </w:rPr>
        <w:t>”项）响应表</w:t>
      </w:r>
    </w:p>
    <w:tbl>
      <w:tblPr>
        <w:tblStyle w:val="29"/>
        <w:tblW w:w="499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7"/>
        <w:gridCol w:w="3148"/>
        <w:gridCol w:w="3118"/>
        <w:gridCol w:w="1325"/>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7" w:hRule="atLeast"/>
          <w:jc w:val="center"/>
        </w:trPr>
        <w:tc>
          <w:tcPr>
            <w:tcW w:w="389" w:type="pct"/>
            <w:shd w:val="clear" w:color="auto" w:fill="D8D8D8"/>
            <w:vAlign w:val="center"/>
          </w:tcPr>
          <w:p>
            <w:pPr>
              <w:spacing w:before="72" w:after="72"/>
              <w:jc w:val="center"/>
              <w:rPr>
                <w:rFonts w:ascii="宋体" w:hAnsi="宋体" w:cs="宋体"/>
                <w:b/>
                <w:sz w:val="24"/>
                <w:highlight w:val="none"/>
              </w:rPr>
            </w:pPr>
            <w:r>
              <w:rPr>
                <w:rFonts w:hint="eastAsia" w:ascii="宋体" w:hAnsi="宋体" w:cs="宋体"/>
                <w:b/>
                <w:sz w:val="24"/>
                <w:highlight w:val="none"/>
              </w:rPr>
              <w:t>序号</w:t>
            </w:r>
          </w:p>
        </w:tc>
        <w:tc>
          <w:tcPr>
            <w:tcW w:w="1706" w:type="pct"/>
            <w:shd w:val="clear" w:color="auto" w:fill="D8D8D8"/>
            <w:vAlign w:val="center"/>
          </w:tcPr>
          <w:p>
            <w:pPr>
              <w:spacing w:before="72" w:after="72"/>
              <w:jc w:val="center"/>
              <w:rPr>
                <w:rFonts w:ascii="宋体" w:hAnsi="宋体" w:cs="宋体"/>
                <w:b/>
                <w:sz w:val="24"/>
                <w:highlight w:val="none"/>
              </w:rPr>
            </w:pPr>
            <w:r>
              <w:rPr>
                <w:rFonts w:hint="eastAsia" w:ascii="宋体" w:hAnsi="宋体" w:cs="宋体"/>
                <w:b/>
                <w:sz w:val="24"/>
                <w:highlight w:val="none"/>
              </w:rPr>
              <w:t>招标文件要求</w:t>
            </w:r>
          </w:p>
        </w:tc>
        <w:tc>
          <w:tcPr>
            <w:tcW w:w="1690" w:type="pct"/>
            <w:shd w:val="clear" w:color="auto" w:fill="D8D8D8"/>
            <w:vAlign w:val="center"/>
          </w:tcPr>
          <w:p>
            <w:pPr>
              <w:jc w:val="center"/>
              <w:rPr>
                <w:rFonts w:ascii="宋体" w:hAnsi="宋体"/>
                <w:b/>
                <w:sz w:val="24"/>
                <w:highlight w:val="none"/>
              </w:rPr>
            </w:pPr>
            <w:r>
              <w:rPr>
                <w:rFonts w:hint="eastAsia" w:ascii="宋体" w:hAnsi="宋体"/>
                <w:b/>
                <w:sz w:val="24"/>
                <w:highlight w:val="none"/>
              </w:rPr>
              <w:t>投标人响应描述</w:t>
            </w:r>
          </w:p>
          <w:p>
            <w:pPr>
              <w:jc w:val="center"/>
              <w:rPr>
                <w:rFonts w:ascii="宋体" w:hAnsi="宋体"/>
                <w:b/>
                <w:sz w:val="24"/>
                <w:highlight w:val="none"/>
              </w:rPr>
            </w:pPr>
            <w:r>
              <w:rPr>
                <w:rFonts w:hint="eastAsia" w:ascii="宋体" w:hAnsi="宋体"/>
                <w:b/>
                <w:sz w:val="24"/>
                <w:highlight w:val="none"/>
              </w:rPr>
              <w:t>(投标人应按投标实际数据填写，不能照抄招标要求)</w:t>
            </w:r>
          </w:p>
        </w:tc>
        <w:tc>
          <w:tcPr>
            <w:tcW w:w="718" w:type="pct"/>
            <w:shd w:val="clear" w:color="auto" w:fill="D8D8D8"/>
            <w:vAlign w:val="center"/>
          </w:tcPr>
          <w:p>
            <w:pPr>
              <w:spacing w:before="72" w:after="72"/>
              <w:jc w:val="center"/>
              <w:rPr>
                <w:rFonts w:ascii="宋体" w:hAnsi="宋体" w:cs="宋体"/>
                <w:b/>
                <w:sz w:val="24"/>
                <w:highlight w:val="none"/>
              </w:rPr>
            </w:pPr>
            <w:r>
              <w:rPr>
                <w:rFonts w:hint="eastAsia" w:ascii="宋体" w:hAnsi="宋体" w:cs="宋体"/>
                <w:b/>
                <w:sz w:val="24"/>
                <w:highlight w:val="none"/>
              </w:rPr>
              <w:t>偏离情况说明（无偏离/正偏离/负偏离）</w:t>
            </w:r>
          </w:p>
        </w:tc>
        <w:tc>
          <w:tcPr>
            <w:tcW w:w="496" w:type="pct"/>
            <w:shd w:val="clear" w:color="auto" w:fill="D8D8D8"/>
            <w:vAlign w:val="center"/>
          </w:tcPr>
          <w:p>
            <w:pPr>
              <w:spacing w:before="72" w:after="72"/>
              <w:jc w:val="center"/>
              <w:rPr>
                <w:rFonts w:ascii="宋体" w:hAnsi="宋体" w:cs="宋体"/>
                <w:b/>
                <w:sz w:val="24"/>
                <w:highlight w:val="none"/>
              </w:rPr>
            </w:pPr>
            <w:r>
              <w:rPr>
                <w:rFonts w:hint="eastAsia" w:ascii="宋体" w:hAnsi="宋体" w:cs="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89" w:type="pct"/>
            <w:vAlign w:val="center"/>
          </w:tcPr>
          <w:p>
            <w:pPr>
              <w:spacing w:before="72" w:after="72"/>
              <w:jc w:val="center"/>
              <w:rPr>
                <w:rFonts w:ascii="宋体" w:hAnsi="宋体" w:cs="宋体"/>
                <w:sz w:val="24"/>
                <w:highlight w:val="none"/>
              </w:rPr>
            </w:pPr>
            <w:r>
              <w:rPr>
                <w:rFonts w:hint="eastAsia" w:ascii="宋体" w:hAnsi="宋体" w:cs="宋体"/>
                <w:sz w:val="24"/>
                <w:highlight w:val="none"/>
              </w:rPr>
              <w:t>1</w:t>
            </w:r>
          </w:p>
        </w:tc>
        <w:tc>
          <w:tcPr>
            <w:tcW w:w="1706" w:type="pct"/>
          </w:tcPr>
          <w:p>
            <w:pPr>
              <w:spacing w:before="72" w:after="72"/>
              <w:jc w:val="left"/>
              <w:rPr>
                <w:rFonts w:ascii="宋体" w:hAnsi="宋体" w:cs="宋体"/>
                <w:sz w:val="24"/>
                <w:highlight w:val="none"/>
              </w:rPr>
            </w:pPr>
          </w:p>
        </w:tc>
        <w:tc>
          <w:tcPr>
            <w:tcW w:w="1690" w:type="pct"/>
          </w:tcPr>
          <w:p>
            <w:pPr>
              <w:spacing w:before="72" w:after="72"/>
              <w:rPr>
                <w:rFonts w:ascii="宋体" w:hAnsi="宋体" w:cs="宋体"/>
                <w:sz w:val="24"/>
                <w:highlight w:val="none"/>
              </w:rPr>
            </w:pPr>
          </w:p>
        </w:tc>
        <w:tc>
          <w:tcPr>
            <w:tcW w:w="718" w:type="pct"/>
          </w:tcPr>
          <w:p>
            <w:pPr>
              <w:spacing w:before="72" w:after="72"/>
              <w:rPr>
                <w:rFonts w:ascii="宋体" w:hAnsi="宋体" w:cs="宋体"/>
                <w:sz w:val="24"/>
                <w:highlight w:val="none"/>
              </w:rPr>
            </w:pPr>
          </w:p>
        </w:tc>
        <w:tc>
          <w:tcPr>
            <w:tcW w:w="496"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389" w:type="pct"/>
            <w:vAlign w:val="center"/>
          </w:tcPr>
          <w:p>
            <w:pPr>
              <w:spacing w:before="72" w:after="72"/>
              <w:jc w:val="center"/>
              <w:rPr>
                <w:rFonts w:ascii="宋体" w:hAnsi="宋体" w:cs="宋体"/>
                <w:sz w:val="24"/>
                <w:highlight w:val="none"/>
              </w:rPr>
            </w:pPr>
            <w:r>
              <w:rPr>
                <w:rFonts w:hint="eastAsia" w:ascii="宋体" w:hAnsi="宋体" w:cs="宋体"/>
                <w:sz w:val="24"/>
                <w:highlight w:val="none"/>
              </w:rPr>
              <w:t>2</w:t>
            </w:r>
          </w:p>
        </w:tc>
        <w:tc>
          <w:tcPr>
            <w:tcW w:w="1706" w:type="pct"/>
          </w:tcPr>
          <w:p>
            <w:pPr>
              <w:spacing w:before="72" w:after="72"/>
              <w:jc w:val="left"/>
              <w:rPr>
                <w:rFonts w:ascii="宋体" w:hAnsi="宋体" w:cs="宋体"/>
                <w:sz w:val="24"/>
                <w:highlight w:val="none"/>
              </w:rPr>
            </w:pPr>
          </w:p>
        </w:tc>
        <w:tc>
          <w:tcPr>
            <w:tcW w:w="1690" w:type="pct"/>
          </w:tcPr>
          <w:p>
            <w:pPr>
              <w:spacing w:before="72" w:after="72"/>
              <w:rPr>
                <w:rFonts w:ascii="宋体" w:hAnsi="宋体" w:cs="宋体"/>
                <w:sz w:val="24"/>
                <w:highlight w:val="none"/>
              </w:rPr>
            </w:pPr>
          </w:p>
        </w:tc>
        <w:tc>
          <w:tcPr>
            <w:tcW w:w="718" w:type="pct"/>
          </w:tcPr>
          <w:p>
            <w:pPr>
              <w:spacing w:before="72" w:after="72"/>
              <w:rPr>
                <w:rFonts w:ascii="宋体" w:hAnsi="宋体" w:cs="宋体"/>
                <w:sz w:val="24"/>
                <w:highlight w:val="none"/>
              </w:rPr>
            </w:pPr>
          </w:p>
        </w:tc>
        <w:tc>
          <w:tcPr>
            <w:tcW w:w="496"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9" w:type="pct"/>
            <w:vAlign w:val="center"/>
          </w:tcPr>
          <w:p>
            <w:pPr>
              <w:spacing w:before="72" w:after="72"/>
              <w:jc w:val="center"/>
              <w:rPr>
                <w:rFonts w:ascii="宋体" w:hAnsi="宋体" w:cs="宋体"/>
                <w:sz w:val="24"/>
                <w:highlight w:val="none"/>
              </w:rPr>
            </w:pPr>
            <w:r>
              <w:rPr>
                <w:rFonts w:hint="eastAsia" w:ascii="宋体" w:hAnsi="宋体" w:cs="宋体"/>
                <w:sz w:val="24"/>
                <w:highlight w:val="none"/>
              </w:rPr>
              <w:t>3</w:t>
            </w:r>
          </w:p>
        </w:tc>
        <w:tc>
          <w:tcPr>
            <w:tcW w:w="1706" w:type="pct"/>
          </w:tcPr>
          <w:p>
            <w:pPr>
              <w:spacing w:before="72" w:after="72"/>
              <w:jc w:val="left"/>
              <w:rPr>
                <w:rFonts w:ascii="宋体" w:hAnsi="宋体" w:cs="宋体"/>
                <w:sz w:val="24"/>
                <w:highlight w:val="none"/>
              </w:rPr>
            </w:pPr>
          </w:p>
        </w:tc>
        <w:tc>
          <w:tcPr>
            <w:tcW w:w="1690" w:type="pct"/>
          </w:tcPr>
          <w:p>
            <w:pPr>
              <w:spacing w:before="72" w:after="72"/>
              <w:rPr>
                <w:rFonts w:ascii="宋体" w:hAnsi="宋体" w:cs="宋体"/>
                <w:sz w:val="24"/>
                <w:highlight w:val="none"/>
              </w:rPr>
            </w:pPr>
          </w:p>
        </w:tc>
        <w:tc>
          <w:tcPr>
            <w:tcW w:w="718" w:type="pct"/>
          </w:tcPr>
          <w:p>
            <w:pPr>
              <w:spacing w:before="72" w:after="72"/>
              <w:rPr>
                <w:rFonts w:ascii="宋体" w:hAnsi="宋体" w:cs="宋体"/>
                <w:sz w:val="24"/>
                <w:highlight w:val="none"/>
              </w:rPr>
            </w:pPr>
          </w:p>
        </w:tc>
        <w:tc>
          <w:tcPr>
            <w:tcW w:w="496" w:type="pct"/>
          </w:tcPr>
          <w:p>
            <w:pPr>
              <w:spacing w:before="72" w:after="72"/>
              <w:rPr>
                <w:rFonts w:ascii="宋体" w:hAnsi="宋体" w:cs="宋体"/>
                <w:sz w:val="24"/>
                <w:highlight w:val="none"/>
              </w:rPr>
            </w:pPr>
          </w:p>
        </w:tc>
      </w:tr>
    </w:tbl>
    <w:p>
      <w:pPr>
        <w:numPr>
          <w:ilvl w:val="0"/>
          <w:numId w:val="173"/>
        </w:numPr>
        <w:adjustRightInd w:val="0"/>
        <w:snapToGrid w:val="0"/>
        <w:spacing w:line="360" w:lineRule="auto"/>
        <w:rPr>
          <w:rFonts w:ascii="宋体" w:hAnsi="宋体" w:cs="宋体"/>
          <w:sz w:val="24"/>
          <w:highlight w:val="none"/>
        </w:rPr>
      </w:pPr>
      <w:r>
        <w:rPr>
          <w:rFonts w:hint="eastAsia" w:ascii="宋体" w:hAnsi="宋体" w:cs="宋体"/>
          <w:sz w:val="24"/>
          <w:highlight w:val="none"/>
        </w:rPr>
        <w:t>投标人必须对应招标文件“用户需求书”中技术条款带“★” 项内容逐条响应。如有缺漏，缺漏项视同不符合招标要求。 带“★”项为不可负偏离(劣于)的重要项。</w:t>
      </w:r>
    </w:p>
    <w:p>
      <w:pPr>
        <w:numPr>
          <w:ilvl w:val="0"/>
          <w:numId w:val="173"/>
        </w:numPr>
        <w:adjustRightInd w:val="0"/>
        <w:snapToGrid w:val="0"/>
        <w:spacing w:line="360" w:lineRule="auto"/>
        <w:rPr>
          <w:rFonts w:ascii="宋体" w:hAnsi="宋体" w:cs="宋体"/>
          <w:sz w:val="24"/>
          <w:highlight w:val="none"/>
        </w:rPr>
      </w:pPr>
      <w:r>
        <w:rPr>
          <w:rFonts w:hint="eastAsia" w:ascii="宋体" w:hAnsi="宋体" w:cs="宋体"/>
          <w:sz w:val="24"/>
          <w:highlight w:val="none"/>
        </w:rPr>
        <w:t>投标人响应采购需求应具体、明确，含糊不清、不确切或伪造、变造证明材料的，按照不完全响应或者完全不响应处理。构成提供虚假材料的，移送监管部门查处。</w:t>
      </w:r>
    </w:p>
    <w:p>
      <w:pPr>
        <w:numPr>
          <w:ilvl w:val="0"/>
          <w:numId w:val="173"/>
        </w:numPr>
        <w:adjustRightInd w:val="0"/>
        <w:snapToGrid w:val="0"/>
        <w:spacing w:line="360" w:lineRule="auto"/>
        <w:rPr>
          <w:rFonts w:ascii="宋体" w:hAnsi="宋体" w:cs="宋体"/>
          <w:sz w:val="24"/>
          <w:highlight w:val="none"/>
        </w:rPr>
      </w:pPr>
      <w:r>
        <w:rPr>
          <w:rFonts w:hint="eastAsia" w:ascii="宋体" w:hAnsi="宋体" w:cs="宋体"/>
          <w:sz w:val="24"/>
          <w:highlight w:val="none"/>
        </w:rPr>
        <w:t>本表内容不得擅自修改。</w:t>
      </w:r>
    </w:p>
    <w:p>
      <w:pPr>
        <w:adjustRightInd w:val="0"/>
        <w:snapToGrid w:val="0"/>
        <w:spacing w:line="360" w:lineRule="auto"/>
        <w:ind w:firstLine="2940" w:firstLineChars="1225"/>
        <w:rPr>
          <w:rFonts w:ascii="宋体" w:hAnsi="宋体" w:cs="宋体"/>
          <w:sz w:val="24"/>
          <w:highlight w:val="none"/>
        </w:rPr>
      </w:pPr>
    </w:p>
    <w:p>
      <w:pPr>
        <w:adjustRightInd w:val="0"/>
        <w:snapToGrid w:val="0"/>
        <w:spacing w:line="360" w:lineRule="auto"/>
        <w:ind w:firstLine="2940" w:firstLineChars="1225"/>
        <w:rPr>
          <w:rFonts w:ascii="宋体" w:hAnsi="宋体" w:cs="宋体"/>
          <w:sz w:val="24"/>
          <w:highlight w:val="none"/>
        </w:rPr>
      </w:pPr>
      <w:r>
        <w:rPr>
          <w:rFonts w:hint="eastAsia" w:ascii="宋体" w:hAnsi="宋体" w:cs="宋体"/>
          <w:sz w:val="24"/>
          <w:highlight w:val="none"/>
        </w:rPr>
        <w:t>投标人名称（加盖公章）：</w:t>
      </w:r>
    </w:p>
    <w:p>
      <w:pPr>
        <w:adjustRightInd w:val="0"/>
        <w:snapToGrid w:val="0"/>
        <w:spacing w:line="360" w:lineRule="auto"/>
        <w:ind w:firstLine="2940" w:firstLineChars="1225"/>
        <w:rPr>
          <w:rFonts w:ascii="宋体" w:hAnsi="宋体" w:cs="宋体"/>
          <w:sz w:val="24"/>
          <w:highlight w:val="none"/>
        </w:rPr>
      </w:pPr>
      <w:r>
        <w:rPr>
          <w:rFonts w:hint="eastAsia" w:ascii="宋体" w:hAnsi="宋体" w:cs="宋体"/>
          <w:sz w:val="24"/>
          <w:highlight w:val="none"/>
        </w:rPr>
        <w:t>投标人法定代表人或其授权代表（签字或盖章）：</w:t>
      </w:r>
    </w:p>
    <w:p>
      <w:pPr>
        <w:adjustRightInd w:val="0"/>
        <w:snapToGrid w:val="0"/>
        <w:spacing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numPr>
          <w:ilvl w:val="0"/>
          <w:numId w:val="172"/>
        </w:numPr>
        <w:spacing w:before="72" w:after="72"/>
        <w:jc w:val="center"/>
        <w:rPr>
          <w:rFonts w:ascii="宋体" w:hAnsi="宋体" w:cs="宋体"/>
          <w:b/>
          <w:sz w:val="28"/>
          <w:szCs w:val="28"/>
          <w:highlight w:val="none"/>
        </w:rPr>
      </w:pPr>
      <w:r>
        <w:rPr>
          <w:rFonts w:hint="eastAsia" w:ascii="宋体" w:hAnsi="宋体" w:cs="宋体"/>
          <w:b/>
          <w:sz w:val="28"/>
          <w:szCs w:val="28"/>
          <w:highlight w:val="none"/>
        </w:rPr>
        <w:t>重要性技术条款（“</w:t>
      </w:r>
      <w:r>
        <w:rPr>
          <w:rFonts w:hint="eastAsia" w:ascii="宋体" w:hAnsi="宋体" w:cs="宋体"/>
          <w:sz w:val="28"/>
          <w:szCs w:val="28"/>
          <w:highlight w:val="none"/>
          <w:lang w:val="en-GB"/>
        </w:rPr>
        <w:t>▲</w:t>
      </w:r>
      <w:r>
        <w:rPr>
          <w:rFonts w:hint="eastAsia" w:ascii="宋体" w:hAnsi="宋体" w:cs="宋体"/>
          <w:b/>
          <w:sz w:val="28"/>
          <w:szCs w:val="28"/>
          <w:highlight w:val="none"/>
        </w:rPr>
        <w:t>”项）响应表</w:t>
      </w:r>
      <w:r>
        <w:rPr>
          <w:rFonts w:ascii="宋体" w:hAnsi="宋体" w:cs="宋体"/>
          <w:b/>
          <w:sz w:val="28"/>
          <w:szCs w:val="28"/>
          <w:highlight w:val="none"/>
        </w:rPr>
        <w:t>（</w:t>
      </w:r>
      <w:r>
        <w:rPr>
          <w:rFonts w:hint="eastAsia" w:ascii="宋体" w:hAnsi="宋体" w:cs="宋体"/>
          <w:b/>
          <w:sz w:val="28"/>
          <w:szCs w:val="28"/>
          <w:highlight w:val="none"/>
          <w:lang w:eastAsia="zh-Hans"/>
        </w:rPr>
        <w:t>如有</w:t>
      </w:r>
      <w:r>
        <w:rPr>
          <w:rFonts w:ascii="宋体" w:hAnsi="宋体" w:cs="宋体"/>
          <w:b/>
          <w:sz w:val="28"/>
          <w:szCs w:val="28"/>
          <w:highlight w:val="none"/>
        </w:rPr>
        <w:t>）</w:t>
      </w:r>
    </w:p>
    <w:tbl>
      <w:tblPr>
        <w:tblStyle w:val="2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6"/>
        <w:gridCol w:w="2009"/>
        <w:gridCol w:w="3757"/>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507" w:type="pct"/>
            <w:shd w:val="clear" w:color="auto" w:fill="D7D7D7"/>
            <w:vAlign w:val="center"/>
          </w:tcPr>
          <w:p>
            <w:pPr>
              <w:spacing w:before="72" w:after="72"/>
              <w:jc w:val="center"/>
              <w:rPr>
                <w:rFonts w:ascii="宋体" w:hAnsi="宋体" w:cs="宋体"/>
                <w:b/>
                <w:sz w:val="24"/>
                <w:highlight w:val="none"/>
              </w:rPr>
            </w:pPr>
            <w:r>
              <w:rPr>
                <w:rFonts w:hint="eastAsia" w:ascii="宋体" w:hAnsi="宋体" w:cs="宋体"/>
                <w:b/>
                <w:sz w:val="24"/>
                <w:highlight w:val="none"/>
              </w:rPr>
              <w:t>序号</w:t>
            </w:r>
          </w:p>
        </w:tc>
        <w:tc>
          <w:tcPr>
            <w:tcW w:w="1087" w:type="pct"/>
            <w:shd w:val="clear" w:color="auto" w:fill="D7D7D7"/>
            <w:vAlign w:val="center"/>
          </w:tcPr>
          <w:p>
            <w:pPr>
              <w:spacing w:before="72" w:after="72"/>
              <w:jc w:val="center"/>
              <w:rPr>
                <w:rFonts w:ascii="宋体" w:hAnsi="宋体" w:cs="宋体"/>
                <w:b/>
                <w:sz w:val="24"/>
                <w:highlight w:val="none"/>
              </w:rPr>
            </w:pPr>
            <w:r>
              <w:rPr>
                <w:rFonts w:hint="eastAsia" w:ascii="宋体" w:hAnsi="宋体" w:cs="宋体"/>
                <w:b/>
                <w:sz w:val="24"/>
                <w:highlight w:val="none"/>
              </w:rPr>
              <w:t>招标文件要求</w:t>
            </w:r>
          </w:p>
        </w:tc>
        <w:tc>
          <w:tcPr>
            <w:tcW w:w="2033" w:type="pct"/>
            <w:shd w:val="clear" w:color="auto" w:fill="D7D7D7"/>
            <w:vAlign w:val="center"/>
          </w:tcPr>
          <w:p>
            <w:pPr>
              <w:jc w:val="center"/>
              <w:rPr>
                <w:rFonts w:ascii="宋体" w:hAnsi="宋体"/>
                <w:b/>
                <w:sz w:val="24"/>
                <w:highlight w:val="none"/>
              </w:rPr>
            </w:pPr>
            <w:r>
              <w:rPr>
                <w:rFonts w:hint="eastAsia" w:ascii="宋体" w:hAnsi="宋体"/>
                <w:b/>
                <w:sz w:val="24"/>
                <w:highlight w:val="none"/>
              </w:rPr>
              <w:t>投标人响应描述</w:t>
            </w:r>
          </w:p>
          <w:p>
            <w:pPr>
              <w:jc w:val="center"/>
              <w:rPr>
                <w:rFonts w:ascii="宋体" w:hAnsi="宋体"/>
                <w:b/>
                <w:sz w:val="24"/>
                <w:highlight w:val="none"/>
              </w:rPr>
            </w:pPr>
            <w:r>
              <w:rPr>
                <w:rFonts w:hint="eastAsia" w:ascii="宋体" w:hAnsi="宋体"/>
                <w:b/>
                <w:sz w:val="24"/>
                <w:highlight w:val="none"/>
              </w:rPr>
              <w:t>(投标人应按投标实际数据填写，不能照抄招标要求)</w:t>
            </w:r>
          </w:p>
        </w:tc>
        <w:tc>
          <w:tcPr>
            <w:tcW w:w="1371" w:type="pct"/>
            <w:shd w:val="clear" w:color="auto" w:fill="D7D7D7"/>
            <w:vAlign w:val="center"/>
          </w:tcPr>
          <w:p>
            <w:pPr>
              <w:spacing w:before="72" w:after="72"/>
              <w:jc w:val="center"/>
              <w:rPr>
                <w:rFonts w:ascii="宋体" w:hAnsi="宋体" w:cs="宋体"/>
                <w:b/>
                <w:sz w:val="24"/>
                <w:highlight w:val="none"/>
              </w:rPr>
            </w:pPr>
            <w:r>
              <w:rPr>
                <w:rFonts w:hint="eastAsia" w:ascii="宋体" w:hAnsi="宋体" w:cs="宋体"/>
                <w:b/>
                <w:sz w:val="24"/>
                <w:highlight w:val="none"/>
              </w:rPr>
              <w:t>偏离情况说明（无偏离/正偏离/负偏离）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1</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2</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3</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4</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5</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6</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7</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8</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07" w:type="pct"/>
          </w:tcPr>
          <w:p>
            <w:pPr>
              <w:spacing w:before="72" w:after="72"/>
              <w:jc w:val="center"/>
              <w:rPr>
                <w:rFonts w:ascii="宋体" w:hAnsi="宋体" w:cs="宋体"/>
                <w:sz w:val="24"/>
                <w:highlight w:val="none"/>
              </w:rPr>
            </w:pPr>
            <w:r>
              <w:rPr>
                <w:rFonts w:hint="eastAsia" w:ascii="宋体" w:hAnsi="宋体" w:cs="宋体"/>
                <w:sz w:val="24"/>
                <w:highlight w:val="none"/>
              </w:rPr>
              <w:t>…</w:t>
            </w:r>
          </w:p>
        </w:tc>
        <w:tc>
          <w:tcPr>
            <w:tcW w:w="1087" w:type="pct"/>
          </w:tcPr>
          <w:p>
            <w:pPr>
              <w:spacing w:before="72" w:after="72"/>
              <w:jc w:val="center"/>
              <w:rPr>
                <w:rFonts w:ascii="宋体" w:hAnsi="宋体" w:cs="宋体"/>
                <w:sz w:val="24"/>
                <w:highlight w:val="none"/>
              </w:rPr>
            </w:pPr>
          </w:p>
        </w:tc>
        <w:tc>
          <w:tcPr>
            <w:tcW w:w="2033" w:type="pct"/>
          </w:tcPr>
          <w:p>
            <w:pPr>
              <w:spacing w:before="72" w:after="72"/>
              <w:rPr>
                <w:rFonts w:ascii="宋体" w:hAnsi="宋体" w:cs="宋体"/>
                <w:sz w:val="24"/>
                <w:highlight w:val="none"/>
              </w:rPr>
            </w:pPr>
          </w:p>
        </w:tc>
        <w:tc>
          <w:tcPr>
            <w:tcW w:w="1371" w:type="pct"/>
          </w:tcPr>
          <w:p>
            <w:pPr>
              <w:spacing w:before="72" w:after="72"/>
              <w:rPr>
                <w:rFonts w:ascii="宋体" w:hAnsi="宋体" w:cs="宋体"/>
                <w:sz w:val="24"/>
                <w:highlight w:val="none"/>
              </w:rPr>
            </w:pPr>
          </w:p>
        </w:tc>
      </w:tr>
    </w:tbl>
    <w:p>
      <w:pPr>
        <w:spacing w:line="400" w:lineRule="exact"/>
        <w:rPr>
          <w:rFonts w:ascii="宋体" w:hAnsi="宋体" w:cs="宋体"/>
          <w:sz w:val="24"/>
          <w:highlight w:val="none"/>
        </w:rPr>
      </w:pPr>
      <w:r>
        <w:rPr>
          <w:rFonts w:hint="eastAsia" w:ascii="宋体" w:hAnsi="宋体" w:cs="宋体"/>
          <w:sz w:val="24"/>
          <w:highlight w:val="none"/>
        </w:rPr>
        <w:t>注：</w:t>
      </w:r>
    </w:p>
    <w:p>
      <w:pPr>
        <w:numPr>
          <w:ilvl w:val="0"/>
          <w:numId w:val="174"/>
        </w:num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投标人必须对应招标文件“用户需求书”中技术条款带“</w:t>
      </w:r>
      <w:r>
        <w:rPr>
          <w:rFonts w:hint="eastAsia" w:ascii="宋体" w:hAnsi="宋体" w:cs="宋体"/>
          <w:sz w:val="28"/>
          <w:szCs w:val="28"/>
          <w:highlight w:val="none"/>
          <w:lang w:val="en-GB"/>
        </w:rPr>
        <w:t>▲</w:t>
      </w:r>
      <w:r>
        <w:rPr>
          <w:rFonts w:hint="eastAsia" w:ascii="宋体" w:hAnsi="宋体" w:cs="宋体"/>
          <w:sz w:val="24"/>
          <w:highlight w:val="none"/>
          <w:lang w:val="en-GB"/>
        </w:rPr>
        <w:t>” 项内容逐条响应。如有缺漏，缺漏项视同不符合招标要求将在评审时导致严重扣分。</w:t>
      </w:r>
    </w:p>
    <w:p>
      <w:pPr>
        <w:numPr>
          <w:ilvl w:val="0"/>
          <w:numId w:val="174"/>
        </w:num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投标人响应采购需求应具体、明确，含糊不清、不确切或伪造、变造证明材料的，按照不完全响应或者完全不响应处理。构成提供虚假材料的，移送监管部门查处。</w:t>
      </w:r>
    </w:p>
    <w:p>
      <w:pPr>
        <w:numPr>
          <w:ilvl w:val="0"/>
          <w:numId w:val="174"/>
        </w:num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投标响应参数应与厂家的产品资料一致，不一致的以厂家资料为准。</w:t>
      </w:r>
    </w:p>
    <w:p>
      <w:pPr>
        <w:numPr>
          <w:ilvl w:val="0"/>
          <w:numId w:val="174"/>
        </w:numPr>
        <w:adjustRightInd w:val="0"/>
        <w:snapToGrid w:val="0"/>
        <w:spacing w:line="360" w:lineRule="auto"/>
        <w:rPr>
          <w:rFonts w:ascii="宋体" w:hAnsi="宋体" w:cs="宋体"/>
          <w:sz w:val="24"/>
          <w:highlight w:val="none"/>
          <w:lang w:val="en-GB"/>
        </w:rPr>
      </w:pPr>
      <w:r>
        <w:rPr>
          <w:rFonts w:hint="eastAsia" w:ascii="宋体" w:hAnsi="宋体" w:cs="宋体"/>
          <w:sz w:val="24"/>
          <w:highlight w:val="none"/>
          <w:lang w:val="en-GB"/>
        </w:rPr>
        <w:t>本表内容不得擅自修改。</w:t>
      </w:r>
    </w:p>
    <w:p>
      <w:pPr>
        <w:adjustRightInd w:val="0"/>
        <w:snapToGrid w:val="0"/>
        <w:spacing w:before="72" w:after="72" w:line="480" w:lineRule="auto"/>
        <w:ind w:firstLine="2940" w:firstLineChars="1225"/>
        <w:rPr>
          <w:rFonts w:ascii="宋体" w:hAnsi="宋体"/>
          <w:sz w:val="24"/>
          <w:highlight w:val="none"/>
        </w:rPr>
      </w:pPr>
    </w:p>
    <w:p>
      <w:pPr>
        <w:adjustRightInd w:val="0"/>
        <w:snapToGrid w:val="0"/>
        <w:spacing w:before="72" w:after="72" w:line="360" w:lineRule="auto"/>
        <w:ind w:firstLine="2940" w:firstLineChars="1225"/>
        <w:rPr>
          <w:rFonts w:ascii="宋体" w:hAnsi="宋体"/>
          <w:sz w:val="24"/>
          <w:highlight w:val="none"/>
          <w:u w:val="single"/>
        </w:rPr>
      </w:pPr>
      <w:r>
        <w:rPr>
          <w:rFonts w:hint="eastAsia" w:ascii="宋体" w:hAnsi="宋体"/>
          <w:sz w:val="24"/>
          <w:highlight w:val="none"/>
        </w:rPr>
        <w:t>投标人名称（加盖公章）：</w:t>
      </w:r>
    </w:p>
    <w:p>
      <w:pPr>
        <w:adjustRightInd w:val="0"/>
        <w:snapToGrid w:val="0"/>
        <w:spacing w:before="72" w:after="72" w:line="360" w:lineRule="auto"/>
        <w:ind w:firstLine="2940" w:firstLineChars="1225"/>
        <w:rPr>
          <w:rFonts w:ascii="宋体" w:hAnsi="宋体"/>
          <w:sz w:val="24"/>
          <w:highlight w:val="none"/>
          <w:u w:val="single"/>
        </w:rPr>
      </w:pPr>
      <w:r>
        <w:rPr>
          <w:rFonts w:hint="eastAsia" w:ascii="宋体" w:hAnsi="宋体"/>
          <w:sz w:val="24"/>
          <w:highlight w:val="none"/>
        </w:rPr>
        <w:t>投标人法定代表人或其授权代表（签字或盖章）：</w:t>
      </w:r>
    </w:p>
    <w:p>
      <w:pPr>
        <w:spacing w:before="72" w:after="72" w:line="360" w:lineRule="auto"/>
        <w:ind w:firstLine="2940" w:firstLineChars="1225"/>
        <w:rPr>
          <w:rFonts w:ascii="宋体" w:hAnsi="宋体"/>
          <w:sz w:val="24"/>
          <w:highlight w:val="none"/>
        </w:rPr>
        <w:sectPr>
          <w:pgSz w:w="11905" w:h="16838"/>
          <w:pgMar w:top="1803" w:right="1440" w:bottom="1803" w:left="1440" w:header="850" w:footer="822" w:gutter="0"/>
          <w:cols w:space="0" w:num="1"/>
          <w:docGrid w:linePitch="312" w:charSpace="0"/>
        </w:sectPr>
      </w:pPr>
      <w:r>
        <w:rPr>
          <w:rFonts w:hint="eastAsia" w:ascii="宋体" w:hAnsi="宋体"/>
          <w:sz w:val="24"/>
          <w:highlight w:val="none"/>
        </w:rPr>
        <w:t>日期：   年   月   日</w:t>
      </w:r>
    </w:p>
    <w:p>
      <w:pPr>
        <w:numPr>
          <w:ilvl w:val="0"/>
          <w:numId w:val="172"/>
        </w:numPr>
        <w:spacing w:before="72" w:after="72"/>
        <w:jc w:val="center"/>
        <w:rPr>
          <w:rFonts w:ascii="宋体" w:hAnsi="宋体"/>
          <w:b/>
          <w:sz w:val="28"/>
          <w:highlight w:val="none"/>
        </w:rPr>
      </w:pPr>
      <w:r>
        <w:rPr>
          <w:rFonts w:hint="eastAsia" w:ascii="宋体" w:hAnsi="宋体"/>
          <w:b/>
          <w:sz w:val="28"/>
          <w:highlight w:val="none"/>
        </w:rPr>
        <w:t>一般性技术条款响应表</w:t>
      </w:r>
    </w:p>
    <w:tbl>
      <w:tblPr>
        <w:tblStyle w:val="2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2166"/>
        <w:gridCol w:w="3240"/>
        <w:gridCol w:w="2064"/>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407" w:type="pct"/>
            <w:tcBorders>
              <w:top w:val="single" w:color="auto" w:sz="4" w:space="0"/>
              <w:left w:val="single" w:color="auto" w:sz="4" w:space="0"/>
              <w:bottom w:val="single" w:color="auto" w:sz="4" w:space="0"/>
              <w:right w:val="single" w:color="auto" w:sz="4" w:space="0"/>
            </w:tcBorders>
            <w:shd w:val="clear" w:color="auto" w:fill="D7D7D7"/>
            <w:vAlign w:val="center"/>
          </w:tcPr>
          <w:p>
            <w:pPr>
              <w:spacing w:before="72" w:after="72" w:line="360" w:lineRule="auto"/>
              <w:rPr>
                <w:rFonts w:ascii="宋体" w:hAnsi="宋体"/>
                <w:b/>
                <w:sz w:val="24"/>
                <w:highlight w:val="none"/>
              </w:rPr>
            </w:pPr>
            <w:r>
              <w:rPr>
                <w:rFonts w:hint="eastAsia" w:ascii="宋体" w:hAnsi="宋体"/>
                <w:b/>
                <w:sz w:val="24"/>
                <w:highlight w:val="none"/>
              </w:rPr>
              <w:t>序号</w:t>
            </w:r>
          </w:p>
        </w:tc>
        <w:tc>
          <w:tcPr>
            <w:tcW w:w="1172" w:type="pct"/>
            <w:tcBorders>
              <w:top w:val="single" w:color="auto" w:sz="4" w:space="0"/>
              <w:left w:val="single" w:color="auto" w:sz="4" w:space="0"/>
              <w:bottom w:val="single" w:color="auto" w:sz="4" w:space="0"/>
              <w:right w:val="single" w:color="auto" w:sz="4" w:space="0"/>
            </w:tcBorders>
            <w:shd w:val="clear" w:color="auto" w:fill="D7D7D7"/>
            <w:vAlign w:val="center"/>
          </w:tcPr>
          <w:p>
            <w:pPr>
              <w:spacing w:before="72" w:after="72"/>
              <w:jc w:val="center"/>
              <w:rPr>
                <w:rFonts w:ascii="宋体" w:hAnsi="宋体"/>
                <w:b/>
                <w:sz w:val="24"/>
                <w:highlight w:val="none"/>
              </w:rPr>
            </w:pPr>
            <w:r>
              <w:rPr>
                <w:rFonts w:hint="eastAsia" w:ascii="宋体" w:hAnsi="宋体"/>
                <w:b/>
                <w:sz w:val="24"/>
                <w:highlight w:val="none"/>
              </w:rPr>
              <w:t>招标文件要求</w:t>
            </w:r>
          </w:p>
        </w:tc>
        <w:tc>
          <w:tcPr>
            <w:tcW w:w="1753" w:type="pct"/>
            <w:tcBorders>
              <w:top w:val="single" w:color="auto" w:sz="4" w:space="0"/>
              <w:left w:val="single" w:color="auto" w:sz="4" w:space="0"/>
              <w:bottom w:val="single" w:color="auto" w:sz="4" w:space="0"/>
              <w:right w:val="single" w:color="auto" w:sz="4" w:space="0"/>
            </w:tcBorders>
            <w:shd w:val="clear" w:color="auto" w:fill="D7D7D7"/>
            <w:vAlign w:val="center"/>
          </w:tcPr>
          <w:p>
            <w:pPr>
              <w:jc w:val="center"/>
              <w:rPr>
                <w:rFonts w:ascii="宋体" w:hAnsi="宋体"/>
                <w:b/>
                <w:sz w:val="24"/>
                <w:highlight w:val="none"/>
              </w:rPr>
            </w:pPr>
            <w:r>
              <w:rPr>
                <w:rFonts w:hint="eastAsia" w:ascii="宋体" w:hAnsi="宋体"/>
                <w:b/>
                <w:sz w:val="24"/>
                <w:highlight w:val="none"/>
              </w:rPr>
              <w:t>投标人响应描述</w:t>
            </w:r>
          </w:p>
          <w:p>
            <w:pPr>
              <w:jc w:val="center"/>
              <w:rPr>
                <w:rFonts w:ascii="宋体" w:hAnsi="宋体"/>
                <w:b/>
                <w:sz w:val="24"/>
                <w:highlight w:val="none"/>
              </w:rPr>
            </w:pPr>
            <w:r>
              <w:rPr>
                <w:rFonts w:hint="eastAsia" w:ascii="宋体" w:hAnsi="宋体"/>
                <w:b/>
                <w:sz w:val="24"/>
                <w:highlight w:val="none"/>
              </w:rPr>
              <w:t>(投标人应按投标实际数据填写，不能照抄招标要求)</w:t>
            </w:r>
          </w:p>
        </w:tc>
        <w:tc>
          <w:tcPr>
            <w:tcW w:w="1117" w:type="pct"/>
            <w:tcBorders>
              <w:top w:val="single" w:color="auto" w:sz="4" w:space="0"/>
              <w:left w:val="single" w:color="auto" w:sz="4" w:space="0"/>
              <w:bottom w:val="single" w:color="auto" w:sz="4" w:space="0"/>
              <w:right w:val="single" w:color="auto" w:sz="4" w:space="0"/>
            </w:tcBorders>
            <w:shd w:val="clear" w:color="auto" w:fill="D7D7D7"/>
            <w:vAlign w:val="center"/>
          </w:tcPr>
          <w:p>
            <w:pPr>
              <w:spacing w:before="72" w:after="72"/>
              <w:jc w:val="center"/>
              <w:rPr>
                <w:rFonts w:ascii="宋体" w:hAnsi="宋体"/>
                <w:b/>
                <w:sz w:val="24"/>
                <w:highlight w:val="none"/>
              </w:rPr>
            </w:pPr>
            <w:r>
              <w:rPr>
                <w:rFonts w:hint="eastAsia" w:ascii="宋体" w:hAnsi="宋体"/>
                <w:b/>
                <w:sz w:val="24"/>
                <w:highlight w:val="none"/>
              </w:rPr>
              <w:t>偏离情况说明（无偏离/正偏离/负偏离）</w:t>
            </w:r>
          </w:p>
        </w:tc>
        <w:tc>
          <w:tcPr>
            <w:tcW w:w="548" w:type="pct"/>
            <w:tcBorders>
              <w:top w:val="single" w:color="auto" w:sz="4" w:space="0"/>
              <w:left w:val="single" w:color="auto" w:sz="4" w:space="0"/>
              <w:bottom w:val="single" w:color="auto" w:sz="4" w:space="0"/>
              <w:right w:val="single" w:color="auto" w:sz="4" w:space="0"/>
            </w:tcBorders>
            <w:shd w:val="clear" w:color="auto" w:fill="D7D7D7"/>
            <w:vAlign w:val="center"/>
          </w:tcPr>
          <w:p>
            <w:pPr>
              <w:spacing w:before="72" w:after="72"/>
              <w:jc w:val="center"/>
              <w:rPr>
                <w:rFonts w:ascii="宋体" w:hAnsi="宋体"/>
                <w:b/>
                <w:sz w:val="24"/>
                <w:highlight w:val="none"/>
              </w:rPr>
            </w:pPr>
            <w:r>
              <w:rPr>
                <w:rFonts w:hint="eastAsia" w:ascii="宋体" w:hAnsi="宋体"/>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1</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2</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3</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4</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5</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6</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7</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8</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407"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r>
              <w:rPr>
                <w:rFonts w:hint="eastAsia" w:ascii="宋体" w:hAnsi="宋体"/>
                <w:sz w:val="24"/>
                <w:highlight w:val="none"/>
              </w:rPr>
              <w:t>…</w:t>
            </w:r>
          </w:p>
        </w:tc>
        <w:tc>
          <w:tcPr>
            <w:tcW w:w="1172" w:type="pct"/>
            <w:tcBorders>
              <w:top w:val="single" w:color="auto" w:sz="4" w:space="0"/>
              <w:left w:val="single" w:color="auto" w:sz="4" w:space="0"/>
              <w:bottom w:val="single" w:color="auto" w:sz="4" w:space="0"/>
              <w:right w:val="single" w:color="auto" w:sz="4" w:space="0"/>
            </w:tcBorders>
          </w:tcPr>
          <w:p>
            <w:pPr>
              <w:spacing w:before="72" w:after="72"/>
              <w:jc w:val="center"/>
              <w:rPr>
                <w:rFonts w:ascii="宋体" w:hAnsi="宋体"/>
                <w:sz w:val="24"/>
                <w:highlight w:val="none"/>
              </w:rPr>
            </w:pPr>
          </w:p>
        </w:tc>
        <w:tc>
          <w:tcPr>
            <w:tcW w:w="1753"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1117"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c>
          <w:tcPr>
            <w:tcW w:w="548" w:type="pct"/>
            <w:tcBorders>
              <w:top w:val="single" w:color="auto" w:sz="4" w:space="0"/>
              <w:left w:val="single" w:color="auto" w:sz="4" w:space="0"/>
              <w:bottom w:val="single" w:color="auto" w:sz="4" w:space="0"/>
              <w:right w:val="single" w:color="auto" w:sz="4" w:space="0"/>
            </w:tcBorders>
          </w:tcPr>
          <w:p>
            <w:pPr>
              <w:spacing w:before="72" w:after="72"/>
              <w:rPr>
                <w:rFonts w:ascii="宋体" w:hAnsi="宋体"/>
                <w:sz w:val="24"/>
                <w:highlight w:val="none"/>
              </w:rPr>
            </w:pPr>
          </w:p>
        </w:tc>
      </w:tr>
    </w:tbl>
    <w:p>
      <w:pPr>
        <w:spacing w:line="400" w:lineRule="exact"/>
        <w:rPr>
          <w:rFonts w:ascii="宋体" w:hAnsi="宋体"/>
          <w:sz w:val="24"/>
          <w:highlight w:val="none"/>
        </w:rPr>
      </w:pPr>
      <w:r>
        <w:rPr>
          <w:rFonts w:hint="eastAsia" w:ascii="宋体" w:hAnsi="宋体"/>
          <w:sz w:val="24"/>
          <w:highlight w:val="none"/>
        </w:rPr>
        <w:t>注：</w:t>
      </w:r>
    </w:p>
    <w:p>
      <w:pPr>
        <w:numPr>
          <w:ilvl w:val="0"/>
          <w:numId w:val="175"/>
        </w:numPr>
        <w:adjustRightInd w:val="0"/>
        <w:snapToGrid w:val="0"/>
        <w:spacing w:line="360" w:lineRule="auto"/>
        <w:rPr>
          <w:rFonts w:ascii="宋体" w:hAnsi="宋体"/>
          <w:sz w:val="24"/>
          <w:highlight w:val="none"/>
          <w:lang w:val="en-GB"/>
        </w:rPr>
      </w:pPr>
      <w:r>
        <w:rPr>
          <w:rFonts w:hint="eastAsia" w:ascii="宋体" w:hAnsi="宋体"/>
          <w:sz w:val="24"/>
          <w:highlight w:val="none"/>
        </w:rPr>
        <w:t>投标人必须对应招标文件“用户需求书”中技术条款</w:t>
      </w:r>
      <w:r>
        <w:rPr>
          <w:rFonts w:hint="eastAsia" w:ascii="宋体" w:hAnsi="宋体"/>
          <w:b/>
          <w:sz w:val="24"/>
          <w:highlight w:val="none"/>
        </w:rPr>
        <w:t>带</w:t>
      </w:r>
      <w:r>
        <w:rPr>
          <w:rFonts w:hint="eastAsia" w:ascii="宋体" w:hAnsi="宋体"/>
          <w:b/>
          <w:sz w:val="24"/>
          <w:highlight w:val="none"/>
          <w:lang w:val="en-GB"/>
        </w:rPr>
        <w:t>“★、▲”项以外</w:t>
      </w:r>
      <w:r>
        <w:rPr>
          <w:rFonts w:hint="eastAsia" w:ascii="宋体" w:hAnsi="宋体"/>
          <w:sz w:val="24"/>
          <w:highlight w:val="none"/>
        </w:rPr>
        <w:t>的各条目号内容逐条响应。如有缺漏，缺漏项视同不符合招标要求导致扣分。</w:t>
      </w:r>
    </w:p>
    <w:p>
      <w:pPr>
        <w:numPr>
          <w:ilvl w:val="0"/>
          <w:numId w:val="175"/>
        </w:numPr>
        <w:adjustRightInd w:val="0"/>
        <w:snapToGrid w:val="0"/>
        <w:spacing w:line="360" w:lineRule="auto"/>
        <w:rPr>
          <w:rFonts w:ascii="宋体" w:hAnsi="宋体"/>
          <w:sz w:val="24"/>
          <w:highlight w:val="none"/>
        </w:rPr>
      </w:pPr>
      <w:r>
        <w:rPr>
          <w:rFonts w:hint="eastAsia" w:ascii="宋体" w:hAnsi="宋体"/>
          <w:sz w:val="24"/>
          <w:highlight w:val="none"/>
        </w:rPr>
        <w:t>投标人响应采购需求应具体、明确，含糊不清、不确切或伪造、变造证明材料的，按照不完全响应或者完全不响应处理。构成提供虚假材料的，移送监管部门查处。</w:t>
      </w:r>
    </w:p>
    <w:p>
      <w:pPr>
        <w:numPr>
          <w:ilvl w:val="0"/>
          <w:numId w:val="175"/>
        </w:numPr>
        <w:adjustRightInd w:val="0"/>
        <w:snapToGrid w:val="0"/>
        <w:spacing w:line="360" w:lineRule="auto"/>
        <w:rPr>
          <w:rFonts w:ascii="宋体" w:hAnsi="宋体"/>
          <w:sz w:val="24"/>
          <w:highlight w:val="none"/>
        </w:rPr>
      </w:pPr>
      <w:r>
        <w:rPr>
          <w:rFonts w:hint="eastAsia" w:ascii="宋体" w:hAnsi="宋体"/>
          <w:sz w:val="24"/>
          <w:highlight w:val="none"/>
          <w:lang w:val="en-GB"/>
        </w:rPr>
        <w:t>投标响应参数应与厂家的产品资料一致，不一致的以厂家资料为准。</w:t>
      </w:r>
    </w:p>
    <w:p>
      <w:pPr>
        <w:numPr>
          <w:ilvl w:val="0"/>
          <w:numId w:val="175"/>
        </w:numPr>
        <w:adjustRightInd w:val="0"/>
        <w:snapToGrid w:val="0"/>
        <w:spacing w:line="360" w:lineRule="auto"/>
        <w:rPr>
          <w:rFonts w:ascii="宋体" w:hAnsi="宋体"/>
          <w:sz w:val="24"/>
          <w:highlight w:val="none"/>
        </w:rPr>
      </w:pPr>
      <w:r>
        <w:rPr>
          <w:rFonts w:hint="eastAsia" w:ascii="宋体" w:hAnsi="宋体"/>
          <w:sz w:val="24"/>
          <w:highlight w:val="none"/>
          <w:lang w:val="en-GB"/>
        </w:rPr>
        <w:t>本表内容不得擅自修改。</w:t>
      </w:r>
    </w:p>
    <w:p>
      <w:pPr>
        <w:adjustRightInd w:val="0"/>
        <w:snapToGrid w:val="0"/>
        <w:spacing w:before="72" w:after="72" w:line="300" w:lineRule="auto"/>
        <w:rPr>
          <w:rFonts w:ascii="宋体" w:hAnsi="宋体"/>
          <w:sz w:val="24"/>
          <w:highlight w:val="none"/>
        </w:rPr>
      </w:pPr>
    </w:p>
    <w:p>
      <w:pPr>
        <w:adjustRightInd w:val="0"/>
        <w:snapToGrid w:val="0"/>
        <w:spacing w:before="72" w:after="72" w:line="360" w:lineRule="auto"/>
        <w:ind w:firstLine="2940" w:firstLineChars="1225"/>
        <w:rPr>
          <w:rFonts w:ascii="宋体" w:hAnsi="宋体"/>
          <w:sz w:val="24"/>
          <w:highlight w:val="none"/>
          <w:u w:val="single"/>
        </w:rPr>
      </w:pPr>
      <w:r>
        <w:rPr>
          <w:rFonts w:hint="eastAsia" w:ascii="宋体" w:hAnsi="宋体"/>
          <w:sz w:val="24"/>
          <w:highlight w:val="none"/>
        </w:rPr>
        <w:t>投标人名称（加盖公章）：</w:t>
      </w:r>
    </w:p>
    <w:p>
      <w:pPr>
        <w:adjustRightInd w:val="0"/>
        <w:snapToGrid w:val="0"/>
        <w:spacing w:before="72" w:after="72" w:line="360" w:lineRule="auto"/>
        <w:ind w:firstLine="2940" w:firstLineChars="1225"/>
        <w:rPr>
          <w:rFonts w:ascii="宋体" w:hAnsi="宋体"/>
          <w:sz w:val="24"/>
          <w:highlight w:val="none"/>
          <w:u w:val="single"/>
        </w:rPr>
      </w:pPr>
      <w:r>
        <w:rPr>
          <w:rFonts w:hint="eastAsia" w:ascii="宋体" w:hAnsi="宋体"/>
          <w:sz w:val="24"/>
          <w:highlight w:val="none"/>
        </w:rPr>
        <w:t>投标人法定代表人或其授权代表（签字或盖章）：</w:t>
      </w:r>
    </w:p>
    <w:p>
      <w:pPr>
        <w:spacing w:before="72" w:after="72" w:line="360" w:lineRule="auto"/>
        <w:ind w:firstLine="2940" w:firstLineChars="1225"/>
        <w:rPr>
          <w:rFonts w:ascii="宋体" w:hAnsi="宋体"/>
          <w:sz w:val="24"/>
          <w:highlight w:val="none"/>
        </w:rPr>
        <w:sectPr>
          <w:pgSz w:w="11905" w:h="16838"/>
          <w:pgMar w:top="1803" w:right="1440" w:bottom="1803" w:left="1440" w:header="850" w:footer="822" w:gutter="0"/>
          <w:cols w:space="0" w:num="1"/>
          <w:docGrid w:linePitch="312" w:charSpace="0"/>
        </w:sectPr>
      </w:pPr>
      <w:r>
        <w:rPr>
          <w:rFonts w:hint="eastAsia" w:ascii="宋体" w:hAnsi="宋体"/>
          <w:sz w:val="24"/>
          <w:highlight w:val="none"/>
        </w:rPr>
        <w:t>日期：   年   月   日</w:t>
      </w:r>
    </w:p>
    <w:p>
      <w:pPr>
        <w:pStyle w:val="4"/>
        <w:numPr>
          <w:ilvl w:val="0"/>
          <w:numId w:val="170"/>
        </w:numPr>
        <w:spacing w:before="0" w:after="0" w:line="360" w:lineRule="auto"/>
        <w:jc w:val="center"/>
        <w:rPr>
          <w:highlight w:val="none"/>
        </w:rPr>
      </w:pPr>
      <w:bookmarkStart w:id="667" w:name="_Toc5570"/>
      <w:bookmarkStart w:id="668" w:name="_Toc12548"/>
      <w:r>
        <w:rPr>
          <w:rFonts w:hint="eastAsia"/>
          <w:highlight w:val="none"/>
        </w:rPr>
        <w:t>技术方案</w:t>
      </w:r>
      <w:bookmarkEnd w:id="664"/>
      <w:bookmarkEnd w:id="665"/>
      <w:bookmarkEnd w:id="667"/>
      <w:bookmarkEnd w:id="668"/>
    </w:p>
    <w:p>
      <w:pPr>
        <w:keepNext w:val="0"/>
        <w:keepLines w:val="0"/>
        <w:pageBreakBefore w:val="0"/>
        <w:widowControl w:val="0"/>
        <w:numPr>
          <w:ilvl w:val="0"/>
          <w:numId w:val="0"/>
        </w:numPr>
        <w:tabs>
          <w:tab w:val="left" w:pos="1322"/>
        </w:tabs>
        <w:kinsoku/>
        <w:wordWrap/>
        <w:overflowPunct/>
        <w:topLinePunct w:val="0"/>
        <w:autoSpaceDE/>
        <w:autoSpaceDN/>
        <w:bidi w:val="0"/>
        <w:adjustRightInd/>
        <w:snapToGrid/>
        <w:spacing w:line="360" w:lineRule="auto"/>
        <w:ind w:firstLine="480" w:firstLineChars="200"/>
        <w:textAlignment w:val="auto"/>
        <w:rPr>
          <w:rFonts w:hint="eastAsia" w:ascii="宋体" w:hAnsi="宋体" w:cs="宋体"/>
          <w:sz w:val="24"/>
          <w:highlight w:val="none"/>
          <w:lang w:eastAsia="zh-CN"/>
        </w:rPr>
      </w:pPr>
      <w:r>
        <w:rPr>
          <w:rFonts w:hint="eastAsia" w:ascii="宋体" w:hAnsi="宋体" w:cs="宋体"/>
          <w:sz w:val="24"/>
          <w:highlight w:val="none"/>
        </w:rPr>
        <w:t>投标人应根据所投产品制造商/生产厂家执行的货物制造、检验和验收标准，结合本项目的技术要求、实施目标和具体特点，制定出合理的、具有可操作性的技术方案</w:t>
      </w:r>
      <w:r>
        <w:rPr>
          <w:rFonts w:hint="eastAsia" w:ascii="宋体" w:hAnsi="宋体" w:cs="宋体"/>
          <w:sz w:val="24"/>
          <w:highlight w:val="none"/>
          <w:lang w:eastAsia="zh-CN"/>
        </w:rPr>
        <w:t>。</w:t>
      </w:r>
    </w:p>
    <w:p>
      <w:pPr>
        <w:pStyle w:val="27"/>
        <w:rPr>
          <w:rFonts w:hint="eastAsia"/>
          <w:highlight w:val="none"/>
          <w:lang w:val="en-GB"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格式自拟</w:t>
      </w:r>
      <w:r>
        <w:rPr>
          <w:rFonts w:hint="eastAsia" w:ascii="宋体" w:hAnsi="宋体" w:cs="宋体"/>
          <w:sz w:val="24"/>
          <w:highlight w:val="none"/>
          <w:lang w:eastAsia="zh-CN"/>
        </w:rPr>
        <w:t>）</w:t>
      </w:r>
    </w:p>
    <w:bookmarkEnd w:id="662"/>
    <w:bookmarkEnd w:id="666"/>
    <w:p>
      <w:pPr>
        <w:tabs>
          <w:tab w:val="left" w:pos="851"/>
        </w:tabs>
        <w:spacing w:before="72" w:after="72" w:line="360" w:lineRule="auto"/>
        <w:ind w:left="840"/>
        <w:rPr>
          <w:rFonts w:ascii="宋体" w:hAnsi="宋体" w:cs="宋体"/>
          <w:b/>
          <w:kern w:val="44"/>
          <w:szCs w:val="32"/>
          <w:highlight w:val="none"/>
        </w:rPr>
      </w:pPr>
    </w:p>
    <w:p>
      <w:pPr>
        <w:spacing w:before="72" w:after="72" w:line="360" w:lineRule="auto"/>
        <w:rPr>
          <w:rFonts w:ascii="宋体" w:hAnsi="宋体" w:cs="宋体"/>
          <w:sz w:val="24"/>
          <w:highlight w:val="none"/>
        </w:rPr>
      </w:pPr>
    </w:p>
    <w:p>
      <w:pPr>
        <w:spacing w:before="72" w:after="72" w:line="360" w:lineRule="auto"/>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hint="eastAsia" w:ascii="宋体" w:hAnsi="宋体" w:cs="宋体"/>
          <w:sz w:val="24"/>
          <w:highlight w:val="none"/>
        </w:rPr>
      </w:pPr>
      <w:r>
        <w:rPr>
          <w:rFonts w:hint="eastAsia" w:ascii="宋体" w:hAnsi="宋体" w:cs="宋体"/>
          <w:sz w:val="24"/>
          <w:highlight w:val="none"/>
        </w:rPr>
        <w:t>日期：   年   月   日</w:t>
      </w:r>
    </w:p>
    <w:p>
      <w:pPr>
        <w:rPr>
          <w:rFonts w:hint="eastAsia" w:ascii="宋体" w:hAnsi="宋体" w:cs="宋体"/>
          <w:sz w:val="24"/>
          <w:highlight w:val="none"/>
        </w:rPr>
      </w:pPr>
      <w:r>
        <w:rPr>
          <w:rFonts w:hint="eastAsia" w:ascii="宋体" w:hAnsi="宋体" w:cs="宋体"/>
          <w:sz w:val="24"/>
          <w:highlight w:val="none"/>
        </w:rPr>
        <w:br w:type="page"/>
      </w:r>
    </w:p>
    <w:p>
      <w:pPr>
        <w:pStyle w:val="4"/>
        <w:numPr>
          <w:ilvl w:val="0"/>
          <w:numId w:val="170"/>
        </w:numPr>
        <w:spacing w:before="0" w:after="0" w:line="360" w:lineRule="auto"/>
        <w:jc w:val="center"/>
        <w:rPr>
          <w:highlight w:val="none"/>
        </w:rPr>
      </w:pPr>
      <w:bookmarkStart w:id="669" w:name="_Toc15354"/>
      <w:r>
        <w:rPr>
          <w:rFonts w:hint="eastAsia"/>
          <w:highlight w:val="none"/>
          <w:lang w:val="en-US" w:eastAsia="zh-CN"/>
        </w:rPr>
        <w:t>伴随服务</w:t>
      </w:r>
      <w:r>
        <w:rPr>
          <w:rFonts w:hint="eastAsia"/>
          <w:highlight w:val="none"/>
        </w:rPr>
        <w:t>方案</w:t>
      </w:r>
      <w:bookmarkEnd w:id="669"/>
    </w:p>
    <w:p>
      <w:pPr>
        <w:keepNext w:val="0"/>
        <w:keepLines w:val="0"/>
        <w:pageBreakBefore w:val="0"/>
        <w:widowControl w:val="0"/>
        <w:numPr>
          <w:ilvl w:val="0"/>
          <w:numId w:val="0"/>
        </w:numPr>
        <w:tabs>
          <w:tab w:val="left" w:pos="1322"/>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包括但不限于交货、包装、安装、调试、培训、验收</w:t>
      </w:r>
      <w:r>
        <w:rPr>
          <w:rFonts w:hint="eastAsia" w:ascii="宋体" w:hAnsi="宋体" w:cs="宋体"/>
          <w:sz w:val="24"/>
          <w:highlight w:val="none"/>
          <w:lang w:val="en-US" w:eastAsia="zh-CN"/>
        </w:rPr>
        <w:t>等内容。</w:t>
      </w:r>
    </w:p>
    <w:p>
      <w:pPr>
        <w:pStyle w:val="27"/>
        <w:rPr>
          <w:rFonts w:hint="eastAsia"/>
          <w:highlight w:val="none"/>
          <w:lang w:val="en-GB"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格式自拟</w:t>
      </w:r>
      <w:r>
        <w:rPr>
          <w:rFonts w:hint="eastAsia" w:ascii="宋体" w:hAnsi="宋体" w:cs="宋体"/>
          <w:sz w:val="24"/>
          <w:highlight w:val="none"/>
          <w:lang w:eastAsia="zh-CN"/>
        </w:rPr>
        <w:t>）</w:t>
      </w:r>
    </w:p>
    <w:p>
      <w:pPr>
        <w:tabs>
          <w:tab w:val="left" w:pos="851"/>
        </w:tabs>
        <w:spacing w:before="72" w:after="72" w:line="360" w:lineRule="auto"/>
        <w:ind w:left="840"/>
        <w:rPr>
          <w:rFonts w:ascii="宋体" w:hAnsi="宋体" w:cs="宋体"/>
          <w:b/>
          <w:kern w:val="44"/>
          <w:szCs w:val="32"/>
          <w:highlight w:val="none"/>
        </w:rPr>
      </w:pPr>
    </w:p>
    <w:p>
      <w:pPr>
        <w:spacing w:before="72" w:after="72" w:line="360" w:lineRule="auto"/>
        <w:rPr>
          <w:rFonts w:ascii="宋体" w:hAnsi="宋体" w:cs="宋体"/>
          <w:sz w:val="24"/>
          <w:highlight w:val="none"/>
        </w:rPr>
      </w:pPr>
    </w:p>
    <w:p>
      <w:pPr>
        <w:spacing w:before="72" w:after="72" w:line="360" w:lineRule="auto"/>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hint="eastAsia" w:ascii="宋体" w:hAnsi="宋体" w:cs="宋体"/>
          <w:sz w:val="24"/>
          <w:highlight w:val="none"/>
        </w:rPr>
      </w:pPr>
      <w:r>
        <w:rPr>
          <w:rFonts w:hint="eastAsia" w:ascii="宋体" w:hAnsi="宋体" w:cs="宋体"/>
          <w:sz w:val="24"/>
          <w:highlight w:val="none"/>
        </w:rPr>
        <w:t>投标人法定代表人或其授权代表（签字或盖章）：</w:t>
      </w:r>
    </w:p>
    <w:p>
      <w:pPr>
        <w:adjustRightInd w:val="0"/>
        <w:snapToGrid w:val="0"/>
        <w:spacing w:before="72" w:after="72" w:line="360" w:lineRule="auto"/>
        <w:ind w:firstLine="2940" w:firstLineChars="1225"/>
        <w:rPr>
          <w:rFonts w:hint="eastAsia" w:ascii="宋体" w:hAnsi="宋体" w:cs="宋体"/>
          <w:sz w:val="24"/>
          <w:highlight w:val="none"/>
        </w:rPr>
      </w:pPr>
      <w:r>
        <w:rPr>
          <w:rFonts w:hint="eastAsia" w:ascii="宋体" w:hAnsi="宋体" w:cs="宋体"/>
          <w:sz w:val="24"/>
          <w:highlight w:val="none"/>
        </w:rPr>
        <w:t>日期：   年   月   日</w:t>
      </w:r>
    </w:p>
    <w:p>
      <w:pPr>
        <w:rPr>
          <w:rFonts w:hint="eastAsia" w:ascii="宋体" w:hAnsi="宋体" w:cs="宋体"/>
          <w:sz w:val="24"/>
          <w:highlight w:val="none"/>
        </w:rPr>
      </w:pPr>
      <w:r>
        <w:rPr>
          <w:rFonts w:hint="eastAsia" w:ascii="宋体" w:hAnsi="宋体" w:cs="宋体"/>
          <w:sz w:val="24"/>
          <w:highlight w:val="none"/>
        </w:rPr>
        <w:br w:type="page"/>
      </w:r>
    </w:p>
    <w:p>
      <w:pPr>
        <w:pStyle w:val="4"/>
        <w:numPr>
          <w:ilvl w:val="0"/>
          <w:numId w:val="170"/>
        </w:numPr>
        <w:spacing w:before="0" w:after="0" w:line="360" w:lineRule="auto"/>
        <w:jc w:val="center"/>
        <w:rPr>
          <w:rFonts w:hint="eastAsia"/>
          <w:highlight w:val="none"/>
          <w:lang w:val="en-US" w:eastAsia="zh-CN"/>
        </w:rPr>
      </w:pPr>
      <w:bookmarkStart w:id="670" w:name="_Toc23578"/>
      <w:r>
        <w:rPr>
          <w:rFonts w:hint="eastAsia"/>
          <w:highlight w:val="none"/>
          <w:lang w:val="en-US" w:eastAsia="zh-CN"/>
        </w:rPr>
        <w:t>项目质量保证措施和质量违约承诺</w:t>
      </w:r>
      <w:bookmarkEnd w:id="670"/>
    </w:p>
    <w:p>
      <w:pPr>
        <w:keepNext w:val="0"/>
        <w:keepLines w:val="0"/>
        <w:pageBreakBefore w:val="0"/>
        <w:widowControl w:val="0"/>
        <w:numPr>
          <w:ilvl w:val="0"/>
          <w:numId w:val="0"/>
        </w:numPr>
        <w:tabs>
          <w:tab w:val="left" w:pos="1322"/>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highlight w:val="none"/>
          <w:lang w:val="en-US" w:eastAsia="zh-CN"/>
        </w:rPr>
      </w:pPr>
      <w:r>
        <w:rPr>
          <w:rFonts w:hint="eastAsia" w:ascii="宋体" w:hAnsi="宋体" w:cs="宋体"/>
          <w:sz w:val="24"/>
          <w:highlight w:val="none"/>
        </w:rPr>
        <w:t>包括但不限于维护计划</w:t>
      </w:r>
      <w:r>
        <w:rPr>
          <w:rFonts w:hint="eastAsia" w:ascii="宋体" w:hAnsi="宋体" w:cs="宋体"/>
          <w:sz w:val="24"/>
          <w:highlight w:val="none"/>
          <w:lang w:eastAsia="zh-CN"/>
        </w:rPr>
        <w:t>、</w:t>
      </w:r>
      <w:r>
        <w:rPr>
          <w:rFonts w:hint="eastAsia" w:ascii="宋体" w:hAnsi="宋体" w:cs="宋体"/>
          <w:sz w:val="24"/>
          <w:highlight w:val="none"/>
        </w:rPr>
        <w:t>质量保证体系</w:t>
      </w:r>
      <w:r>
        <w:rPr>
          <w:rFonts w:hint="eastAsia" w:ascii="宋体" w:hAnsi="宋体" w:cs="宋体"/>
          <w:sz w:val="24"/>
          <w:highlight w:val="none"/>
          <w:lang w:eastAsia="zh-CN"/>
        </w:rPr>
        <w:t>、</w:t>
      </w:r>
      <w:r>
        <w:rPr>
          <w:rFonts w:hint="eastAsia" w:ascii="宋体" w:hAnsi="宋体" w:cs="宋体"/>
          <w:sz w:val="24"/>
          <w:highlight w:val="none"/>
        </w:rPr>
        <w:t>质量保证及服务承诺</w:t>
      </w:r>
      <w:r>
        <w:rPr>
          <w:rFonts w:hint="eastAsia" w:ascii="宋体" w:hAnsi="宋体" w:cs="宋体"/>
          <w:sz w:val="24"/>
          <w:highlight w:val="none"/>
          <w:lang w:val="en-US" w:eastAsia="zh-CN"/>
        </w:rPr>
        <w:t>等内容。</w:t>
      </w:r>
    </w:p>
    <w:p>
      <w:pPr>
        <w:pStyle w:val="27"/>
        <w:rPr>
          <w:rFonts w:hint="eastAsia" w:ascii="宋体" w:hAnsi="宋体" w:cs="宋体"/>
          <w:sz w:val="24"/>
          <w:highlight w:val="none"/>
          <w:lang w:eastAsia="zh-CN"/>
        </w:rPr>
      </w:pPr>
      <w:r>
        <w:rPr>
          <w:rFonts w:hint="eastAsia" w:ascii="宋体" w:hAnsi="宋体" w:cs="宋体"/>
          <w:sz w:val="24"/>
          <w:highlight w:val="none"/>
          <w:lang w:eastAsia="zh-CN"/>
        </w:rPr>
        <w:t>（</w:t>
      </w:r>
      <w:r>
        <w:rPr>
          <w:rFonts w:hint="eastAsia" w:ascii="宋体" w:hAnsi="宋体" w:cs="宋体"/>
          <w:sz w:val="24"/>
          <w:highlight w:val="none"/>
          <w:lang w:val="en-US" w:eastAsia="zh-CN"/>
        </w:rPr>
        <w:t>格式自拟</w:t>
      </w:r>
      <w:r>
        <w:rPr>
          <w:rFonts w:hint="eastAsia" w:ascii="宋体" w:hAnsi="宋体" w:cs="宋体"/>
          <w:sz w:val="24"/>
          <w:highlight w:val="none"/>
          <w:lang w:eastAsia="zh-CN"/>
        </w:rPr>
        <w:t>）</w:t>
      </w:r>
    </w:p>
    <w:p>
      <w:pPr>
        <w:rPr>
          <w:rFonts w:hint="eastAsia" w:ascii="宋体" w:hAnsi="宋体" w:cs="宋体"/>
          <w:sz w:val="24"/>
          <w:highlight w:val="none"/>
        </w:rPr>
      </w:pPr>
    </w:p>
    <w:p>
      <w:pPr>
        <w:rPr>
          <w:rFonts w:hint="eastAsia" w:ascii="宋体" w:hAnsi="宋体" w:cs="宋体"/>
          <w:sz w:val="24"/>
          <w:highlight w:val="none"/>
        </w:rPr>
      </w:pPr>
    </w:p>
    <w:p>
      <w:pPr>
        <w:rPr>
          <w:rFonts w:hint="eastAsia" w:ascii="宋体" w:hAnsi="宋体" w:cs="宋体"/>
          <w:sz w:val="24"/>
          <w:highlight w:val="none"/>
        </w:rPr>
      </w:pPr>
    </w:p>
    <w:p>
      <w:pPr>
        <w:rPr>
          <w:rFonts w:hint="eastAsia"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hint="eastAsia" w:ascii="宋体" w:hAnsi="宋体" w:cs="宋体"/>
          <w:sz w:val="24"/>
          <w:highlight w:val="none"/>
        </w:rPr>
      </w:pPr>
      <w:r>
        <w:rPr>
          <w:rFonts w:hint="eastAsia" w:ascii="宋体" w:hAnsi="宋体" w:cs="宋体"/>
          <w:sz w:val="24"/>
          <w:highlight w:val="none"/>
        </w:rPr>
        <w:t>投标人法定代表人或其授权代表（签字或盖章）：</w:t>
      </w:r>
    </w:p>
    <w:p>
      <w:pPr>
        <w:adjustRightInd w:val="0"/>
        <w:snapToGrid w:val="0"/>
        <w:spacing w:before="72" w:after="72" w:line="360" w:lineRule="auto"/>
        <w:ind w:firstLine="2940" w:firstLineChars="1225"/>
        <w:rPr>
          <w:rFonts w:hint="eastAsia"/>
          <w:highlight w:val="none"/>
          <w:lang w:val="en-US" w:eastAsia="zh-CN"/>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pStyle w:val="4"/>
        <w:numPr>
          <w:ilvl w:val="0"/>
          <w:numId w:val="170"/>
        </w:numPr>
        <w:spacing w:before="0" w:after="0" w:line="360" w:lineRule="auto"/>
        <w:jc w:val="center"/>
        <w:rPr>
          <w:highlight w:val="none"/>
        </w:rPr>
      </w:pPr>
      <w:bookmarkStart w:id="671" w:name="_Toc27295"/>
      <w:r>
        <w:rPr>
          <w:rFonts w:hint="eastAsia"/>
          <w:highlight w:val="none"/>
        </w:rPr>
        <w:t>售后服务方案</w:t>
      </w:r>
      <w:bookmarkEnd w:id="671"/>
    </w:p>
    <w:p>
      <w:pPr>
        <w:spacing w:line="360" w:lineRule="auto"/>
        <w:ind w:firstLine="480" w:firstLineChars="200"/>
        <w:rPr>
          <w:rFonts w:ascii="宋体" w:hAnsi="宋体" w:cs="宋体"/>
          <w:sz w:val="24"/>
          <w:highlight w:val="none"/>
          <w:lang w:val="en-GB"/>
        </w:rPr>
      </w:pPr>
      <w:r>
        <w:rPr>
          <w:rFonts w:hint="eastAsia" w:ascii="宋体" w:hAnsi="宋体" w:cs="宋体"/>
          <w:sz w:val="24"/>
          <w:highlight w:val="none"/>
          <w:lang w:val="en-GB"/>
        </w:rPr>
        <w:t>售后服务须包括但不限于以下内容，格式自</w:t>
      </w:r>
      <w:r>
        <w:rPr>
          <w:rFonts w:hint="eastAsia" w:ascii="宋体" w:hAnsi="宋体" w:cs="宋体"/>
          <w:sz w:val="24"/>
          <w:highlight w:val="none"/>
          <w:lang w:val="en-US" w:eastAsia="zh-CN"/>
        </w:rPr>
        <w:t>拟</w:t>
      </w:r>
      <w:r>
        <w:rPr>
          <w:rFonts w:hint="eastAsia" w:ascii="宋体" w:hAnsi="宋体" w:cs="宋体"/>
          <w:sz w:val="24"/>
          <w:highlight w:val="none"/>
          <w:lang w:val="en-GB"/>
        </w:rPr>
        <w:t>。</w:t>
      </w:r>
    </w:p>
    <w:p>
      <w:pPr>
        <w:numPr>
          <w:ilvl w:val="0"/>
          <w:numId w:val="176"/>
        </w:numPr>
        <w:spacing w:line="360" w:lineRule="auto"/>
        <w:rPr>
          <w:rFonts w:ascii="宋体" w:hAnsi="宋体" w:cs="宋体"/>
          <w:sz w:val="24"/>
          <w:highlight w:val="none"/>
          <w:lang w:val="en-GB"/>
        </w:rPr>
      </w:pPr>
      <w:r>
        <w:rPr>
          <w:rFonts w:hint="eastAsia" w:ascii="宋体" w:hAnsi="宋体" w:cs="宋体"/>
          <w:sz w:val="24"/>
          <w:highlight w:val="none"/>
          <w:lang w:val="en-GB"/>
        </w:rPr>
        <w:t>免费保修期；</w:t>
      </w:r>
    </w:p>
    <w:p>
      <w:pPr>
        <w:numPr>
          <w:ilvl w:val="0"/>
          <w:numId w:val="176"/>
        </w:numPr>
        <w:spacing w:line="360" w:lineRule="auto"/>
        <w:rPr>
          <w:rFonts w:ascii="宋体" w:hAnsi="宋体" w:cs="宋体"/>
          <w:sz w:val="24"/>
          <w:highlight w:val="none"/>
          <w:lang w:val="en-GB"/>
        </w:rPr>
      </w:pPr>
      <w:r>
        <w:rPr>
          <w:rFonts w:hint="eastAsia" w:ascii="宋体" w:hAnsi="宋体" w:cs="宋体"/>
          <w:sz w:val="24"/>
          <w:highlight w:val="none"/>
          <w:lang w:val="en-GB"/>
        </w:rPr>
        <w:t>应急</w:t>
      </w:r>
      <w:r>
        <w:rPr>
          <w:rFonts w:hint="eastAsia" w:ascii="宋体" w:hAnsi="宋体" w:cs="宋体"/>
          <w:sz w:val="24"/>
          <w:highlight w:val="none"/>
          <w:lang w:eastAsia="zh-Hans"/>
        </w:rPr>
        <w:t>服务</w:t>
      </w:r>
      <w:r>
        <w:rPr>
          <w:rFonts w:hint="eastAsia" w:ascii="宋体" w:hAnsi="宋体" w:cs="宋体"/>
          <w:sz w:val="24"/>
          <w:highlight w:val="none"/>
          <w:lang w:val="en-GB"/>
        </w:rPr>
        <w:t>时间安排；</w:t>
      </w:r>
    </w:p>
    <w:p>
      <w:pPr>
        <w:numPr>
          <w:ilvl w:val="0"/>
          <w:numId w:val="176"/>
        </w:numPr>
        <w:spacing w:line="360" w:lineRule="auto"/>
        <w:rPr>
          <w:rFonts w:ascii="宋体" w:hAnsi="宋体" w:cs="宋体"/>
          <w:sz w:val="24"/>
          <w:highlight w:val="none"/>
          <w:lang w:val="en-GB"/>
        </w:rPr>
      </w:pPr>
      <w:r>
        <w:rPr>
          <w:rFonts w:hint="eastAsia" w:ascii="宋体" w:hAnsi="宋体" w:cs="宋体"/>
          <w:sz w:val="24"/>
          <w:highlight w:val="none"/>
          <w:lang w:eastAsia="zh-Hans"/>
        </w:rPr>
        <w:t>售后</w:t>
      </w:r>
      <w:r>
        <w:rPr>
          <w:rFonts w:hint="eastAsia" w:ascii="宋体" w:hAnsi="宋体" w:cs="宋体"/>
          <w:sz w:val="24"/>
          <w:highlight w:val="none"/>
          <w:lang w:val="en-GB"/>
        </w:rPr>
        <w:t>地点、地址、联系电话及技术服务人员（包括厂商认证工程师等人员）；</w:t>
      </w:r>
    </w:p>
    <w:p>
      <w:pPr>
        <w:numPr>
          <w:ilvl w:val="0"/>
          <w:numId w:val="176"/>
        </w:numPr>
        <w:spacing w:line="360" w:lineRule="auto"/>
        <w:rPr>
          <w:rFonts w:ascii="宋体" w:hAnsi="宋体" w:cs="宋体"/>
          <w:sz w:val="24"/>
          <w:highlight w:val="none"/>
          <w:lang w:val="en-GB"/>
        </w:rPr>
      </w:pPr>
      <w:r>
        <w:rPr>
          <w:rFonts w:hint="eastAsia" w:ascii="宋体" w:hAnsi="宋体" w:cs="宋体"/>
          <w:sz w:val="24"/>
          <w:highlight w:val="none"/>
          <w:lang w:val="en-GB"/>
        </w:rPr>
        <w:t>服务收费标准；</w:t>
      </w:r>
    </w:p>
    <w:p>
      <w:pPr>
        <w:numPr>
          <w:ilvl w:val="0"/>
          <w:numId w:val="176"/>
        </w:numPr>
        <w:spacing w:line="360" w:lineRule="auto"/>
        <w:rPr>
          <w:rFonts w:ascii="宋体" w:hAnsi="宋体" w:cs="宋体"/>
          <w:sz w:val="24"/>
          <w:highlight w:val="none"/>
          <w:lang w:val="en-GB"/>
        </w:rPr>
      </w:pPr>
      <w:r>
        <w:rPr>
          <w:rFonts w:hint="eastAsia" w:ascii="宋体" w:hAnsi="宋体" w:cs="宋体"/>
          <w:sz w:val="24"/>
          <w:highlight w:val="none"/>
          <w:lang w:val="en-GB"/>
        </w:rPr>
        <w:t>制造商的技术支持；</w:t>
      </w:r>
    </w:p>
    <w:p>
      <w:pPr>
        <w:numPr>
          <w:ilvl w:val="0"/>
          <w:numId w:val="176"/>
        </w:numPr>
        <w:spacing w:line="360" w:lineRule="auto"/>
        <w:rPr>
          <w:rFonts w:ascii="宋体" w:hAnsi="宋体" w:cs="宋体"/>
          <w:sz w:val="24"/>
          <w:highlight w:val="none"/>
          <w:lang w:val="en-GB"/>
        </w:rPr>
      </w:pPr>
      <w:r>
        <w:rPr>
          <w:rFonts w:hint="eastAsia" w:ascii="宋体" w:hAnsi="宋体" w:cs="宋体"/>
          <w:sz w:val="24"/>
          <w:highlight w:val="none"/>
          <w:lang w:val="en-GB"/>
        </w:rPr>
        <w:t>其它服务承诺；</w:t>
      </w:r>
    </w:p>
    <w:p>
      <w:pPr>
        <w:numPr>
          <w:ilvl w:val="0"/>
          <w:numId w:val="176"/>
        </w:numPr>
        <w:spacing w:line="360" w:lineRule="auto"/>
        <w:rPr>
          <w:rFonts w:ascii="宋体" w:hAnsi="宋体" w:cs="宋体"/>
          <w:sz w:val="24"/>
          <w:highlight w:val="none"/>
          <w:lang w:val="en-GB"/>
        </w:rPr>
      </w:pPr>
      <w:r>
        <w:rPr>
          <w:rFonts w:hint="eastAsia" w:ascii="宋体" w:hAnsi="宋体" w:cs="宋体"/>
          <w:sz w:val="24"/>
          <w:highlight w:val="none"/>
          <w:lang w:val="en-GB"/>
        </w:rPr>
        <w:t>培训计划。</w:t>
      </w:r>
    </w:p>
    <w:p>
      <w:pPr>
        <w:spacing w:line="360" w:lineRule="auto"/>
        <w:rPr>
          <w:rFonts w:ascii="宋体" w:hAnsi="宋体" w:cs="宋体"/>
          <w:sz w:val="24"/>
          <w:highlight w:val="none"/>
        </w:rPr>
      </w:pPr>
    </w:p>
    <w:p>
      <w:pPr>
        <w:rPr>
          <w:highlight w:val="none"/>
        </w:rPr>
      </w:pPr>
    </w:p>
    <w:p>
      <w:pPr>
        <w:rPr>
          <w:highlight w:val="none"/>
        </w:rPr>
      </w:pPr>
    </w:p>
    <w:p>
      <w:pPr>
        <w:rPr>
          <w:highlight w:val="none"/>
        </w:rPr>
      </w:pPr>
    </w:p>
    <w:p>
      <w:pPr>
        <w:rPr>
          <w:highlight w:val="none"/>
        </w:rPr>
      </w:pPr>
    </w:p>
    <w:p>
      <w:pPr>
        <w:rPr>
          <w:highlight w:val="none"/>
        </w:rPr>
      </w:pP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hint="eastAsia" w:ascii="宋体" w:hAnsi="宋体" w:cs="宋体"/>
          <w:sz w:val="24"/>
          <w:highlight w:val="none"/>
        </w:rPr>
      </w:pPr>
      <w:r>
        <w:rPr>
          <w:rFonts w:hint="eastAsia" w:ascii="宋体" w:hAnsi="宋体" w:cs="宋体"/>
          <w:sz w:val="24"/>
          <w:highlight w:val="none"/>
        </w:rPr>
        <w:t>投标人法定代表人或其授权代表（签字或盖章）：</w:t>
      </w:r>
    </w:p>
    <w:p>
      <w:pPr>
        <w:adjustRightInd w:val="0"/>
        <w:snapToGrid w:val="0"/>
        <w:spacing w:before="72" w:after="72" w:line="360" w:lineRule="auto"/>
        <w:ind w:firstLine="2940" w:firstLineChars="1225"/>
        <w:rPr>
          <w:rFonts w:hint="eastAsia"/>
          <w:highlight w:val="none"/>
          <w:lang w:val="en-GB" w:eastAsia="zh-CN"/>
        </w:rPr>
      </w:pPr>
      <w:r>
        <w:rPr>
          <w:rFonts w:hint="eastAsia" w:ascii="宋体" w:hAnsi="宋体" w:cs="宋体"/>
          <w:sz w:val="24"/>
          <w:highlight w:val="none"/>
        </w:rPr>
        <w:t>日期：   年   月   日</w:t>
      </w:r>
    </w:p>
    <w:p>
      <w:pPr>
        <w:tabs>
          <w:tab w:val="left" w:pos="851"/>
        </w:tabs>
        <w:spacing w:before="72" w:after="72" w:line="360" w:lineRule="auto"/>
        <w:ind w:left="840"/>
        <w:rPr>
          <w:rFonts w:ascii="宋体" w:hAnsi="宋体" w:cs="宋体"/>
          <w:b/>
          <w:kern w:val="44"/>
          <w:szCs w:val="32"/>
          <w:highlight w:val="none"/>
        </w:rPr>
      </w:pPr>
    </w:p>
    <w:p>
      <w:pPr>
        <w:spacing w:before="72" w:after="72" w:line="360" w:lineRule="auto"/>
        <w:rPr>
          <w:rFonts w:ascii="宋体" w:hAnsi="宋体" w:cs="宋体"/>
          <w:sz w:val="24"/>
          <w:highlight w:val="none"/>
        </w:rPr>
      </w:pPr>
    </w:p>
    <w:p>
      <w:pPr>
        <w:spacing w:before="72" w:after="72" w:line="360" w:lineRule="auto"/>
        <w:rPr>
          <w:rFonts w:ascii="宋体" w:hAnsi="宋体" w:cs="宋体"/>
          <w:sz w:val="24"/>
          <w:highlight w:val="none"/>
        </w:rPr>
      </w:pPr>
    </w:p>
    <w:p>
      <w:pPr>
        <w:spacing w:before="72" w:after="72" w:line="400" w:lineRule="exact"/>
        <w:rPr>
          <w:rFonts w:eastAsia="仿宋_GB2312"/>
          <w:highlight w:val="none"/>
        </w:rPr>
      </w:pPr>
      <w:bookmarkStart w:id="672" w:name="_Toc50736474"/>
      <w:bookmarkStart w:id="673" w:name="_Toc50691030"/>
      <w:bookmarkStart w:id="674" w:name="_Toc168730818"/>
      <w:bookmarkStart w:id="675" w:name="_Toc50737294"/>
      <w:bookmarkStart w:id="676" w:name="_Toc182886670"/>
      <w:bookmarkStart w:id="677" w:name="_Toc183316730"/>
      <w:bookmarkStart w:id="678" w:name="_Toc50737326"/>
      <w:bookmarkStart w:id="679" w:name="_Toc169318448"/>
      <w:bookmarkStart w:id="680" w:name="_Toc52165078"/>
      <w:bookmarkStart w:id="681" w:name="_Toc168288376"/>
    </w:p>
    <w:p>
      <w:pPr>
        <w:spacing w:before="72" w:after="72" w:line="400" w:lineRule="exact"/>
        <w:rPr>
          <w:rFonts w:eastAsia="仿宋_GB2312"/>
          <w:highlight w:val="none"/>
        </w:rPr>
      </w:pPr>
    </w:p>
    <w:p>
      <w:pPr>
        <w:spacing w:before="72" w:after="72" w:line="400" w:lineRule="exact"/>
        <w:rPr>
          <w:rFonts w:eastAsia="仿宋_GB2312"/>
          <w:highlight w:val="none"/>
        </w:rPr>
      </w:pPr>
    </w:p>
    <w:p>
      <w:pPr>
        <w:spacing w:before="72" w:after="72" w:line="400" w:lineRule="exact"/>
        <w:rPr>
          <w:rFonts w:eastAsia="仿宋_GB2312"/>
          <w:highlight w:val="none"/>
        </w:rPr>
      </w:pPr>
    </w:p>
    <w:p>
      <w:pPr>
        <w:spacing w:before="72" w:after="72" w:line="400" w:lineRule="exact"/>
        <w:rPr>
          <w:rFonts w:eastAsia="仿宋_GB2312"/>
          <w:highlight w:val="none"/>
        </w:rPr>
      </w:pPr>
    </w:p>
    <w:p>
      <w:pPr>
        <w:spacing w:before="72" w:after="72" w:line="400" w:lineRule="exact"/>
        <w:rPr>
          <w:rFonts w:eastAsia="仿宋_GB2312"/>
          <w:highlight w:val="none"/>
        </w:rPr>
      </w:pPr>
    </w:p>
    <w:p>
      <w:pPr>
        <w:spacing w:before="72" w:after="72" w:line="400" w:lineRule="exact"/>
        <w:rPr>
          <w:rFonts w:eastAsia="仿宋_GB2312"/>
          <w:highlight w:val="none"/>
        </w:rPr>
      </w:pPr>
    </w:p>
    <w:p>
      <w:pPr>
        <w:spacing w:before="72" w:after="72" w:line="400" w:lineRule="exact"/>
        <w:rPr>
          <w:rFonts w:eastAsia="仿宋_GB2312"/>
          <w:highlight w:val="none"/>
        </w:rPr>
      </w:pPr>
    </w:p>
    <w:p>
      <w:pPr>
        <w:ind w:left="420"/>
        <w:rPr>
          <w:highlight w:val="none"/>
        </w:rPr>
      </w:pPr>
      <w:bookmarkStart w:id="682" w:name="_Toc12624"/>
      <w:bookmarkStart w:id="683" w:name="_Toc381489454"/>
      <w:bookmarkStart w:id="684" w:name="_Toc11275"/>
      <w:bookmarkStart w:id="685" w:name="_Toc423021980"/>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ind w:left="420"/>
        <w:rPr>
          <w:highlight w:val="none"/>
        </w:rPr>
      </w:pPr>
    </w:p>
    <w:p>
      <w:pPr>
        <w:pStyle w:val="3"/>
        <w:jc w:val="center"/>
        <w:rPr>
          <w:sz w:val="44"/>
          <w:szCs w:val="44"/>
          <w:highlight w:val="none"/>
        </w:rPr>
      </w:pPr>
      <w:bookmarkStart w:id="686" w:name="_Toc7314"/>
      <w:r>
        <w:rPr>
          <w:rFonts w:hint="eastAsia"/>
          <w:sz w:val="44"/>
          <w:szCs w:val="44"/>
          <w:highlight w:val="none"/>
        </w:rPr>
        <w:t xml:space="preserve">第五部分 </w:t>
      </w:r>
      <w:r>
        <w:rPr>
          <w:sz w:val="44"/>
          <w:szCs w:val="44"/>
          <w:highlight w:val="none"/>
        </w:rPr>
        <w:t>报价文件</w:t>
      </w:r>
      <w:bookmarkEnd w:id="682"/>
      <w:bookmarkEnd w:id="683"/>
      <w:bookmarkEnd w:id="684"/>
      <w:bookmarkEnd w:id="685"/>
      <w:bookmarkEnd w:id="686"/>
    </w:p>
    <w:p>
      <w:pPr>
        <w:rPr>
          <w:highlight w:val="none"/>
        </w:rPr>
      </w:pPr>
      <w:bookmarkStart w:id="687" w:name="_Toc196294653"/>
      <w:bookmarkStart w:id="688" w:name="_Toc196109464"/>
    </w:p>
    <w:p>
      <w:pPr>
        <w:rPr>
          <w:highlight w:val="none"/>
        </w:rPr>
      </w:pPr>
    </w:p>
    <w:p>
      <w:pPr>
        <w:pStyle w:val="63"/>
        <w:spacing w:before="240" w:beforeLines="100" w:after="240" w:afterLines="100" w:line="360" w:lineRule="auto"/>
        <w:rPr>
          <w:rFonts w:ascii="Times New Roman" w:hAnsi="Times New Roman" w:eastAsia="宋体"/>
          <w:b/>
          <w:kern w:val="2"/>
          <w:szCs w:val="32"/>
          <w:highlight w:val="none"/>
        </w:rPr>
        <w:sectPr>
          <w:pgSz w:w="11905" w:h="16838"/>
          <w:pgMar w:top="1803" w:right="1440" w:bottom="1803" w:left="1440" w:header="850" w:footer="822" w:gutter="0"/>
          <w:cols w:space="0" w:num="1"/>
          <w:docGrid w:linePitch="312" w:charSpace="0"/>
        </w:sectPr>
      </w:pPr>
      <w:bookmarkStart w:id="689" w:name="_Toc423021981"/>
      <w:bookmarkEnd w:id="689"/>
      <w:bookmarkStart w:id="690" w:name="_Toc196109463"/>
      <w:bookmarkEnd w:id="690"/>
      <w:bookmarkStart w:id="691" w:name="_Toc196294652"/>
      <w:bookmarkEnd w:id="691"/>
      <w:bookmarkStart w:id="692" w:name="_Toc381489455"/>
      <w:bookmarkEnd w:id="692"/>
    </w:p>
    <w:p>
      <w:pPr>
        <w:pStyle w:val="4"/>
        <w:numPr>
          <w:ilvl w:val="0"/>
          <w:numId w:val="177"/>
        </w:numPr>
        <w:spacing w:before="0" w:after="0" w:line="360" w:lineRule="auto"/>
        <w:jc w:val="center"/>
        <w:rPr>
          <w:highlight w:val="none"/>
        </w:rPr>
      </w:pPr>
      <w:bookmarkStart w:id="693" w:name="_Toc12196"/>
      <w:bookmarkStart w:id="694" w:name="_Toc19525"/>
      <w:r>
        <w:rPr>
          <w:rFonts w:hint="eastAsia"/>
          <w:highlight w:val="none"/>
        </w:rPr>
        <w:t>开标一览表</w:t>
      </w:r>
      <w:bookmarkEnd w:id="693"/>
      <w:bookmarkEnd w:id="694"/>
    </w:p>
    <w:p>
      <w:pPr>
        <w:spacing w:before="72" w:after="72" w:line="360" w:lineRule="auto"/>
        <w:rPr>
          <w:rFonts w:ascii="宋体" w:hAnsi="宋体" w:cs="宋体"/>
          <w:sz w:val="24"/>
          <w:highlight w:val="none"/>
        </w:rPr>
      </w:pPr>
      <w:r>
        <w:rPr>
          <w:rFonts w:hint="eastAsia" w:ascii="宋体" w:hAnsi="宋体" w:cs="宋体"/>
          <w:sz w:val="24"/>
          <w:highlight w:val="none"/>
        </w:rPr>
        <w:t xml:space="preserve">项目名称：           </w:t>
      </w:r>
    </w:p>
    <w:p>
      <w:pPr>
        <w:spacing w:before="72" w:after="72" w:line="360" w:lineRule="auto"/>
        <w:rPr>
          <w:rFonts w:ascii="宋体" w:hAnsi="宋体" w:cs="宋体"/>
          <w:sz w:val="24"/>
          <w:highlight w:val="none"/>
        </w:rPr>
      </w:pPr>
      <w:r>
        <w:rPr>
          <w:rFonts w:hint="eastAsia" w:ascii="宋体" w:hAnsi="宋体" w:cs="宋体"/>
          <w:sz w:val="24"/>
          <w:highlight w:val="none"/>
        </w:rPr>
        <w:t>项目编号：</w:t>
      </w:r>
    </w:p>
    <w:tbl>
      <w:tblPr>
        <w:tblStyle w:val="29"/>
        <w:tblW w:w="4996"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34"/>
        <w:gridCol w:w="3956"/>
        <w:gridCol w:w="2880"/>
        <w:gridCol w:w="1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0" w:type="pct"/>
            <w:tcBorders>
              <w:left w:val="single" w:color="auto" w:sz="4" w:space="0"/>
            </w:tcBorders>
            <w:shd w:val="clear" w:color="auto" w:fill="D7D7D7"/>
            <w:vAlign w:val="center"/>
          </w:tcPr>
          <w:p>
            <w:pPr>
              <w:spacing w:line="400" w:lineRule="exact"/>
              <w:jc w:val="center"/>
              <w:rPr>
                <w:rFonts w:ascii="宋体" w:hAnsi="宋体"/>
                <w:b/>
                <w:bCs/>
                <w:sz w:val="24"/>
                <w:highlight w:val="none"/>
              </w:rPr>
            </w:pPr>
            <w:r>
              <w:rPr>
                <w:rFonts w:hint="eastAsia" w:ascii="宋体" w:hAnsi="宋体"/>
                <w:b/>
                <w:bCs/>
                <w:sz w:val="24"/>
                <w:highlight w:val="none"/>
                <w:lang w:val="en-US" w:eastAsia="zh-CN"/>
              </w:rPr>
              <w:t>序</w:t>
            </w:r>
            <w:r>
              <w:rPr>
                <w:rFonts w:hint="eastAsia" w:ascii="宋体" w:hAnsi="宋体"/>
                <w:b/>
                <w:bCs/>
                <w:sz w:val="24"/>
                <w:highlight w:val="none"/>
              </w:rPr>
              <w:t>号</w:t>
            </w:r>
          </w:p>
        </w:tc>
        <w:tc>
          <w:tcPr>
            <w:tcW w:w="2141" w:type="pct"/>
            <w:shd w:val="clear" w:color="auto" w:fill="D7D7D7"/>
            <w:vAlign w:val="center"/>
          </w:tcPr>
          <w:p>
            <w:pPr>
              <w:jc w:val="center"/>
              <w:rPr>
                <w:rFonts w:ascii="宋体"/>
                <w:b/>
                <w:sz w:val="24"/>
                <w:highlight w:val="none"/>
                <w:lang w:eastAsia="zh-Hans"/>
              </w:rPr>
            </w:pPr>
            <w:r>
              <w:rPr>
                <w:rFonts w:hint="eastAsia" w:ascii="宋体" w:hAnsi="宋体"/>
                <w:b/>
                <w:sz w:val="24"/>
                <w:highlight w:val="none"/>
              </w:rPr>
              <w:t>投标报价（人民币：元）</w:t>
            </w:r>
          </w:p>
        </w:tc>
        <w:tc>
          <w:tcPr>
            <w:tcW w:w="1559" w:type="pct"/>
            <w:shd w:val="clear" w:color="auto" w:fill="D7D7D7"/>
            <w:vAlign w:val="center"/>
          </w:tcPr>
          <w:p>
            <w:pPr>
              <w:spacing w:line="400" w:lineRule="exact"/>
              <w:jc w:val="center"/>
              <w:rPr>
                <w:rFonts w:ascii="宋体" w:hAnsi="宋体"/>
                <w:b/>
                <w:bCs/>
                <w:sz w:val="24"/>
                <w:highlight w:val="none"/>
              </w:rPr>
            </w:pPr>
            <w:r>
              <w:rPr>
                <w:rFonts w:hint="eastAsia" w:ascii="宋体" w:hAnsi="宋体"/>
                <w:b/>
                <w:bCs/>
                <w:sz w:val="24"/>
                <w:highlight w:val="none"/>
              </w:rPr>
              <w:t>交货期</w:t>
            </w:r>
          </w:p>
        </w:tc>
        <w:tc>
          <w:tcPr>
            <w:tcW w:w="738" w:type="pct"/>
            <w:shd w:val="clear" w:color="auto" w:fill="D7D7D7"/>
            <w:vAlign w:val="center"/>
          </w:tcPr>
          <w:p>
            <w:pPr>
              <w:spacing w:line="400" w:lineRule="exact"/>
              <w:jc w:val="center"/>
              <w:rPr>
                <w:rFonts w:ascii="宋体" w:hAnsi="宋体"/>
                <w:b/>
                <w:bCs/>
                <w:sz w:val="24"/>
                <w:highlight w:val="none"/>
              </w:rPr>
            </w:pPr>
            <w:r>
              <w:rPr>
                <w:rFonts w:hint="eastAsia" w:ascii="宋体" w:hAnsi="宋体"/>
                <w:b/>
                <w:bCs/>
                <w:sz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75" w:hRule="atLeast"/>
          <w:jc w:val="center"/>
        </w:trPr>
        <w:tc>
          <w:tcPr>
            <w:tcW w:w="560" w:type="pct"/>
            <w:tcBorders>
              <w:left w:val="single" w:color="auto" w:sz="4" w:space="0"/>
            </w:tcBorders>
            <w:vAlign w:val="center"/>
          </w:tcPr>
          <w:p>
            <w:pPr>
              <w:spacing w:line="400" w:lineRule="exact"/>
              <w:jc w:val="center"/>
              <w:rPr>
                <w:rFonts w:hint="eastAsia" w:ascii="宋体" w:hAnsi="宋体" w:eastAsia="宋体" w:cs="宋体"/>
                <w:sz w:val="24"/>
                <w:highlight w:val="none"/>
                <w:lang w:val="en-US" w:eastAsia="zh-CN"/>
              </w:rPr>
            </w:pPr>
            <w:r>
              <w:rPr>
                <w:rFonts w:hint="eastAsia" w:ascii="宋体" w:hAnsi="宋体" w:cs="宋体"/>
                <w:sz w:val="24"/>
                <w:highlight w:val="none"/>
                <w:lang w:val="en-US" w:eastAsia="zh-CN"/>
              </w:rPr>
              <w:t>1</w:t>
            </w:r>
          </w:p>
        </w:tc>
        <w:tc>
          <w:tcPr>
            <w:tcW w:w="2141" w:type="pct"/>
            <w:vAlign w:val="center"/>
          </w:tcPr>
          <w:p>
            <w:pPr>
              <w:rPr>
                <w:rFonts w:ascii="宋体" w:hAnsi="宋体" w:cs="宋体"/>
                <w:b/>
                <w:sz w:val="24"/>
                <w:highlight w:val="none"/>
              </w:rPr>
            </w:pPr>
            <w:r>
              <w:rPr>
                <w:rFonts w:hint="eastAsia" w:ascii="宋体" w:hAnsi="宋体" w:cs="宋体"/>
                <w:sz w:val="24"/>
                <w:highlight w:val="none"/>
              </w:rPr>
              <w:t>小写：</w:t>
            </w:r>
            <w:r>
              <w:rPr>
                <w:rFonts w:hint="eastAsia" w:ascii="宋体" w:hAnsi="宋体" w:cs="宋体"/>
                <w:b/>
                <w:sz w:val="24"/>
                <w:highlight w:val="none"/>
              </w:rPr>
              <w:t>￥</w:t>
            </w:r>
          </w:p>
          <w:p>
            <w:pPr>
              <w:pStyle w:val="10"/>
              <w:rPr>
                <w:rFonts w:hAnsi="宋体" w:cs="宋体"/>
                <w:sz w:val="24"/>
                <w:highlight w:val="none"/>
              </w:rPr>
            </w:pPr>
          </w:p>
          <w:p>
            <w:pPr>
              <w:rPr>
                <w:highlight w:val="none"/>
              </w:rPr>
            </w:pPr>
            <w:r>
              <w:rPr>
                <w:rFonts w:hint="eastAsia" w:ascii="宋体" w:hAnsi="宋体" w:cs="宋体"/>
                <w:sz w:val="24"/>
                <w:highlight w:val="none"/>
              </w:rPr>
              <w:t>大写：人民币</w:t>
            </w:r>
          </w:p>
        </w:tc>
        <w:tc>
          <w:tcPr>
            <w:tcW w:w="1559" w:type="pct"/>
            <w:vAlign w:val="center"/>
          </w:tcPr>
          <w:p>
            <w:pPr>
              <w:spacing w:line="400" w:lineRule="exact"/>
              <w:jc w:val="center"/>
              <w:rPr>
                <w:rFonts w:ascii="宋体" w:hAnsi="宋体" w:cs="宋体"/>
                <w:sz w:val="24"/>
                <w:highlight w:val="none"/>
              </w:rPr>
            </w:pPr>
          </w:p>
        </w:tc>
        <w:tc>
          <w:tcPr>
            <w:tcW w:w="738" w:type="pct"/>
            <w:vAlign w:val="center"/>
          </w:tcPr>
          <w:p>
            <w:pPr>
              <w:jc w:val="center"/>
              <w:rPr>
                <w:rFonts w:ascii="宋体" w:hAnsi="宋体" w:cs="宋体"/>
                <w:sz w:val="24"/>
                <w:highlight w:val="none"/>
              </w:rPr>
            </w:pPr>
            <w:r>
              <w:rPr>
                <w:rFonts w:hint="eastAsia" w:ascii="宋体" w:hAnsi="宋体" w:cs="宋体"/>
                <w:sz w:val="24"/>
                <w:highlight w:val="none"/>
              </w:rPr>
              <w:t>详细内容见《报价明细表》。</w:t>
            </w:r>
          </w:p>
        </w:tc>
      </w:tr>
    </w:tbl>
    <w:p>
      <w:pPr>
        <w:adjustRightInd w:val="0"/>
        <w:snapToGrid w:val="0"/>
        <w:spacing w:line="360" w:lineRule="auto"/>
        <w:ind w:left="720" w:hanging="720"/>
        <w:rPr>
          <w:rFonts w:ascii="宋体" w:hAnsi="宋体" w:cs="宋体"/>
          <w:bCs/>
          <w:sz w:val="24"/>
          <w:highlight w:val="none"/>
        </w:rPr>
      </w:pPr>
      <w:r>
        <w:rPr>
          <w:rFonts w:hint="eastAsia" w:ascii="宋体" w:hAnsi="宋体" w:cs="宋体"/>
          <w:bCs/>
          <w:sz w:val="24"/>
          <w:highlight w:val="none"/>
        </w:rPr>
        <w:t>注：</w:t>
      </w:r>
    </w:p>
    <w:p>
      <w:pPr>
        <w:numPr>
          <w:ilvl w:val="0"/>
          <w:numId w:val="178"/>
        </w:numPr>
        <w:adjustRightInd w:val="0"/>
        <w:snapToGrid w:val="0"/>
        <w:spacing w:line="360" w:lineRule="auto"/>
        <w:rPr>
          <w:rFonts w:ascii="宋体" w:hAnsi="宋体" w:cs="宋体"/>
          <w:sz w:val="24"/>
          <w:highlight w:val="none"/>
        </w:rPr>
      </w:pPr>
      <w:r>
        <w:rPr>
          <w:rFonts w:hint="eastAsia" w:ascii="宋体" w:hAnsi="宋体" w:cs="宋体"/>
          <w:sz w:val="24"/>
          <w:highlight w:val="none"/>
        </w:rPr>
        <w:t>投标人须按要求填写所有信息，不得随意更改本表格式。</w:t>
      </w:r>
    </w:p>
    <w:p>
      <w:pPr>
        <w:numPr>
          <w:ilvl w:val="0"/>
          <w:numId w:val="178"/>
        </w:numPr>
        <w:adjustRightInd w:val="0"/>
        <w:snapToGrid w:val="0"/>
        <w:spacing w:line="360" w:lineRule="auto"/>
        <w:rPr>
          <w:rFonts w:ascii="宋体" w:hAnsi="宋体" w:cs="宋体"/>
          <w:sz w:val="24"/>
          <w:highlight w:val="none"/>
        </w:rPr>
      </w:pPr>
      <w:r>
        <w:rPr>
          <w:rFonts w:hint="eastAsia" w:asciiTheme="minorEastAsia" w:hAnsiTheme="minorEastAsia" w:eastAsiaTheme="minorEastAsia"/>
          <w:sz w:val="24"/>
          <w:highlight w:val="none"/>
        </w:rPr>
        <w:t>投标报价包括了</w:t>
      </w:r>
      <w:r>
        <w:rPr>
          <w:rFonts w:hint="eastAsia" w:ascii="宋体" w:hAnsi="宋体" w:cs="宋体"/>
          <w:sz w:val="24"/>
          <w:highlight w:val="none"/>
        </w:rPr>
        <w:t>货物及随机附件交至采购人指定地点的设计、采购、制造、检测、试验、包装、运输、保险、税费、其它费用等一切支出；相关服务的价格是包括了设计联络、检验、调试、验收、培训、技术服务（包括技术资料、图纸的提供）、质保期保障等的全部费用。</w:t>
      </w:r>
    </w:p>
    <w:p>
      <w:pPr>
        <w:numPr>
          <w:ilvl w:val="0"/>
          <w:numId w:val="178"/>
        </w:numPr>
        <w:adjustRightInd w:val="0"/>
        <w:snapToGrid w:val="0"/>
        <w:spacing w:line="360" w:lineRule="auto"/>
        <w:rPr>
          <w:rFonts w:ascii="宋体" w:hAnsi="宋体" w:cs="宋体"/>
          <w:sz w:val="24"/>
          <w:highlight w:val="none"/>
        </w:rPr>
      </w:pPr>
      <w:r>
        <w:rPr>
          <w:rFonts w:hint="eastAsia" w:ascii="宋体" w:hAnsi="宋体" w:cs="宋体"/>
          <w:sz w:val="24"/>
          <w:highlight w:val="none"/>
        </w:rPr>
        <w:t>此表是投标文件的必要文件，是投标文件的组成部分，还应另复印一份并加盖投标人公章，若有优惠声明将其一起封装在唱标信封中，作为唱标之用。</w:t>
      </w:r>
    </w:p>
    <w:p>
      <w:pPr>
        <w:spacing w:before="72" w:after="72" w:line="360" w:lineRule="auto"/>
        <w:rPr>
          <w:rFonts w:ascii="宋体" w:hAnsi="宋体" w:cs="宋体"/>
          <w:sz w:val="24"/>
          <w:highlight w:val="none"/>
        </w:rPr>
      </w:pPr>
    </w:p>
    <w:p>
      <w:pPr>
        <w:adjustRightInd w:val="0"/>
        <w:snapToGrid w:val="0"/>
        <w:spacing w:before="72" w:after="72" w:line="360" w:lineRule="auto"/>
        <w:ind w:firstLine="2940" w:firstLineChars="1225"/>
        <w:rPr>
          <w:rFonts w:ascii="宋体" w:hAnsi="宋体" w:cs="宋体"/>
          <w:sz w:val="24"/>
          <w:highlight w:val="none"/>
          <w:u w:val="single"/>
        </w:rPr>
      </w:pPr>
      <w:bookmarkStart w:id="695" w:name="_Toc381489457"/>
      <w:r>
        <w:rPr>
          <w:rFonts w:hint="eastAsia" w:ascii="宋体" w:hAnsi="宋体" w:cs="宋体"/>
          <w:sz w:val="24"/>
          <w:highlight w:val="none"/>
        </w:rPr>
        <w:t>投标人名称（加盖公章）：</w:t>
      </w:r>
    </w:p>
    <w:p>
      <w:pPr>
        <w:adjustRightInd w:val="0"/>
        <w:snapToGrid w:val="0"/>
        <w:spacing w:before="72" w:after="72" w:line="36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bookmarkEnd w:id="672"/>
      <w:bookmarkEnd w:id="673"/>
      <w:bookmarkEnd w:id="674"/>
      <w:bookmarkEnd w:id="675"/>
      <w:bookmarkEnd w:id="676"/>
      <w:bookmarkEnd w:id="677"/>
      <w:bookmarkEnd w:id="678"/>
      <w:bookmarkEnd w:id="679"/>
      <w:bookmarkEnd w:id="680"/>
      <w:bookmarkEnd w:id="681"/>
      <w:bookmarkEnd w:id="687"/>
      <w:bookmarkEnd w:id="688"/>
      <w:bookmarkEnd w:id="695"/>
    </w:p>
    <w:p>
      <w:pPr>
        <w:pStyle w:val="4"/>
        <w:numPr>
          <w:ilvl w:val="0"/>
          <w:numId w:val="177"/>
        </w:numPr>
        <w:spacing w:before="0" w:after="0" w:line="360" w:lineRule="auto"/>
        <w:jc w:val="center"/>
        <w:rPr>
          <w:highlight w:val="none"/>
        </w:rPr>
      </w:pPr>
      <w:bookmarkStart w:id="696" w:name="_Toc30556"/>
      <w:bookmarkStart w:id="697" w:name="_Toc423021967"/>
      <w:bookmarkStart w:id="698" w:name="_Toc6044"/>
      <w:bookmarkStart w:id="699" w:name="_Toc30968"/>
      <w:bookmarkStart w:id="700" w:name="_Toc28827"/>
      <w:bookmarkStart w:id="701" w:name="_Toc21356"/>
      <w:bookmarkStart w:id="702" w:name="_Toc28348"/>
      <w:bookmarkStart w:id="703" w:name="_Toc28158"/>
      <w:bookmarkStart w:id="704" w:name="_Toc391"/>
      <w:bookmarkStart w:id="705" w:name="OLE_LINK14"/>
      <w:bookmarkStart w:id="706" w:name="OLE_LINK13"/>
      <w:r>
        <w:rPr>
          <w:rFonts w:hint="eastAsia"/>
          <w:highlight w:val="none"/>
        </w:rPr>
        <w:t>报价明细表</w:t>
      </w:r>
      <w:bookmarkEnd w:id="696"/>
    </w:p>
    <w:p>
      <w:pPr>
        <w:spacing w:before="72" w:after="72" w:line="360" w:lineRule="auto"/>
        <w:rPr>
          <w:rFonts w:ascii="宋体" w:hAnsi="宋体" w:cs="宋体"/>
          <w:sz w:val="24"/>
          <w:highlight w:val="none"/>
        </w:rPr>
      </w:pPr>
      <w:r>
        <w:rPr>
          <w:rFonts w:hint="eastAsia" w:ascii="宋体" w:hAnsi="宋体" w:cs="宋体"/>
          <w:sz w:val="24"/>
          <w:highlight w:val="none"/>
        </w:rPr>
        <w:t xml:space="preserve">项目名称：           </w:t>
      </w:r>
    </w:p>
    <w:p>
      <w:pPr>
        <w:spacing w:before="72" w:after="72" w:line="360" w:lineRule="auto"/>
        <w:rPr>
          <w:rFonts w:ascii="宋体" w:hAnsi="宋体" w:cs="宋体"/>
          <w:sz w:val="24"/>
          <w:highlight w:val="none"/>
        </w:rPr>
      </w:pPr>
      <w:r>
        <w:rPr>
          <w:rFonts w:hint="eastAsia" w:ascii="宋体" w:hAnsi="宋体" w:cs="宋体"/>
          <w:sz w:val="24"/>
          <w:highlight w:val="none"/>
        </w:rPr>
        <w:t>项目编号：</w:t>
      </w:r>
    </w:p>
    <w:tbl>
      <w:tblPr>
        <w:tblStyle w:val="29"/>
        <w:tblW w:w="5057"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8"/>
        <w:gridCol w:w="1041"/>
        <w:gridCol w:w="1963"/>
        <w:gridCol w:w="1062"/>
        <w:gridCol w:w="824"/>
        <w:gridCol w:w="1137"/>
        <w:gridCol w:w="1563"/>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32" w:type="pct"/>
            <w:shd w:val="clear" w:color="auto" w:fill="CCCCCC"/>
            <w:vAlign w:val="center"/>
          </w:tcPr>
          <w:p>
            <w:pPr>
              <w:jc w:val="center"/>
              <w:rPr>
                <w:b/>
                <w:sz w:val="24"/>
                <w:highlight w:val="none"/>
              </w:rPr>
            </w:pPr>
            <w:r>
              <w:rPr>
                <w:rFonts w:hint="eastAsia"/>
                <w:b/>
                <w:sz w:val="24"/>
                <w:highlight w:val="none"/>
              </w:rPr>
              <w:t>序号</w:t>
            </w:r>
          </w:p>
        </w:tc>
        <w:tc>
          <w:tcPr>
            <w:tcW w:w="557" w:type="pct"/>
            <w:shd w:val="clear" w:color="auto" w:fill="CCCCCC"/>
            <w:vAlign w:val="center"/>
          </w:tcPr>
          <w:p>
            <w:pPr>
              <w:jc w:val="center"/>
              <w:rPr>
                <w:b/>
                <w:sz w:val="24"/>
                <w:highlight w:val="none"/>
              </w:rPr>
            </w:pPr>
            <w:r>
              <w:rPr>
                <w:rFonts w:hint="eastAsia"/>
                <w:b/>
                <w:sz w:val="24"/>
                <w:highlight w:val="none"/>
              </w:rPr>
              <w:t>分项</w:t>
            </w:r>
          </w:p>
          <w:p>
            <w:pPr>
              <w:jc w:val="center"/>
              <w:rPr>
                <w:b/>
                <w:sz w:val="24"/>
                <w:highlight w:val="none"/>
              </w:rPr>
            </w:pPr>
            <w:r>
              <w:rPr>
                <w:rFonts w:hint="eastAsia"/>
                <w:b/>
                <w:sz w:val="24"/>
                <w:highlight w:val="none"/>
              </w:rPr>
              <w:t>名称</w:t>
            </w:r>
          </w:p>
        </w:tc>
        <w:tc>
          <w:tcPr>
            <w:tcW w:w="1050" w:type="pct"/>
            <w:shd w:val="clear" w:color="auto" w:fill="CCCCCC"/>
            <w:vAlign w:val="center"/>
          </w:tcPr>
          <w:p>
            <w:pPr>
              <w:jc w:val="center"/>
              <w:rPr>
                <w:b/>
                <w:sz w:val="24"/>
                <w:highlight w:val="none"/>
              </w:rPr>
            </w:pPr>
            <w:r>
              <w:rPr>
                <w:rFonts w:hint="eastAsia"/>
                <w:b/>
                <w:sz w:val="24"/>
                <w:highlight w:val="none"/>
              </w:rPr>
              <w:t>品牌、规格型号、主要技术参数</w:t>
            </w:r>
          </w:p>
        </w:tc>
        <w:tc>
          <w:tcPr>
            <w:tcW w:w="568" w:type="pct"/>
            <w:shd w:val="clear" w:color="auto" w:fill="CCCCCC"/>
            <w:vAlign w:val="center"/>
          </w:tcPr>
          <w:p>
            <w:pPr>
              <w:jc w:val="center"/>
              <w:rPr>
                <w:b/>
                <w:sz w:val="24"/>
                <w:highlight w:val="none"/>
              </w:rPr>
            </w:pPr>
            <w:r>
              <w:rPr>
                <w:rFonts w:hint="eastAsia"/>
                <w:b/>
                <w:sz w:val="24"/>
                <w:highlight w:val="none"/>
              </w:rPr>
              <w:t>制造商</w:t>
            </w:r>
          </w:p>
        </w:tc>
        <w:tc>
          <w:tcPr>
            <w:tcW w:w="441" w:type="pct"/>
            <w:shd w:val="clear" w:color="auto" w:fill="CCCCCC"/>
            <w:vAlign w:val="center"/>
          </w:tcPr>
          <w:p>
            <w:pPr>
              <w:jc w:val="center"/>
              <w:rPr>
                <w:b/>
                <w:sz w:val="24"/>
                <w:highlight w:val="none"/>
              </w:rPr>
            </w:pPr>
            <w:r>
              <w:rPr>
                <w:rFonts w:hint="eastAsia"/>
                <w:b/>
                <w:sz w:val="24"/>
                <w:highlight w:val="none"/>
              </w:rPr>
              <w:t>数量</w:t>
            </w:r>
          </w:p>
        </w:tc>
        <w:tc>
          <w:tcPr>
            <w:tcW w:w="605" w:type="pct"/>
            <w:shd w:val="clear" w:color="auto" w:fill="CCCCCC"/>
            <w:vAlign w:val="center"/>
          </w:tcPr>
          <w:p>
            <w:pPr>
              <w:jc w:val="center"/>
              <w:rPr>
                <w:b/>
                <w:sz w:val="24"/>
                <w:highlight w:val="none"/>
              </w:rPr>
            </w:pPr>
            <w:r>
              <w:rPr>
                <w:rFonts w:hint="eastAsia"/>
                <w:b/>
                <w:sz w:val="24"/>
                <w:highlight w:val="none"/>
              </w:rPr>
              <w:t>单价</w:t>
            </w:r>
          </w:p>
        </w:tc>
        <w:tc>
          <w:tcPr>
            <w:tcW w:w="836" w:type="pct"/>
            <w:shd w:val="clear" w:color="auto" w:fill="CCCCCC"/>
            <w:vAlign w:val="center"/>
          </w:tcPr>
          <w:p>
            <w:pPr>
              <w:jc w:val="center"/>
              <w:rPr>
                <w:b/>
                <w:sz w:val="24"/>
                <w:highlight w:val="none"/>
              </w:rPr>
            </w:pPr>
            <w:r>
              <w:rPr>
                <w:rFonts w:hint="eastAsia"/>
                <w:b/>
                <w:sz w:val="24"/>
                <w:highlight w:val="none"/>
              </w:rPr>
              <w:t>合计（元）</w:t>
            </w:r>
          </w:p>
        </w:tc>
        <w:tc>
          <w:tcPr>
            <w:tcW w:w="507" w:type="pct"/>
            <w:shd w:val="clear" w:color="auto" w:fill="CCCCCC"/>
            <w:vAlign w:val="center"/>
          </w:tcPr>
          <w:p>
            <w:pPr>
              <w:jc w:val="center"/>
              <w:rPr>
                <w:b/>
                <w:sz w:val="24"/>
                <w:highlight w:val="none"/>
              </w:rPr>
            </w:pPr>
            <w:r>
              <w:rPr>
                <w:rFonts w:hint="eastAsia"/>
                <w:b/>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32" w:type="pct"/>
            <w:vAlign w:val="center"/>
          </w:tcPr>
          <w:p>
            <w:pPr>
              <w:rPr>
                <w:sz w:val="24"/>
                <w:highlight w:val="none"/>
              </w:rPr>
            </w:pPr>
          </w:p>
        </w:tc>
        <w:tc>
          <w:tcPr>
            <w:tcW w:w="557" w:type="pct"/>
            <w:vAlign w:val="center"/>
          </w:tcPr>
          <w:p>
            <w:pPr>
              <w:rPr>
                <w:sz w:val="24"/>
                <w:highlight w:val="none"/>
              </w:rPr>
            </w:pPr>
          </w:p>
        </w:tc>
        <w:tc>
          <w:tcPr>
            <w:tcW w:w="1050" w:type="pct"/>
            <w:vAlign w:val="center"/>
          </w:tcPr>
          <w:p>
            <w:pPr>
              <w:rPr>
                <w:sz w:val="24"/>
                <w:highlight w:val="none"/>
              </w:rPr>
            </w:pPr>
          </w:p>
        </w:tc>
        <w:tc>
          <w:tcPr>
            <w:tcW w:w="568" w:type="pct"/>
            <w:vAlign w:val="center"/>
          </w:tcPr>
          <w:p>
            <w:pPr>
              <w:rPr>
                <w:sz w:val="24"/>
                <w:highlight w:val="none"/>
              </w:rPr>
            </w:pPr>
          </w:p>
        </w:tc>
        <w:tc>
          <w:tcPr>
            <w:tcW w:w="441" w:type="pct"/>
            <w:vAlign w:val="center"/>
          </w:tcPr>
          <w:p>
            <w:pPr>
              <w:rPr>
                <w:sz w:val="24"/>
                <w:highlight w:val="none"/>
              </w:rPr>
            </w:pPr>
          </w:p>
        </w:tc>
        <w:tc>
          <w:tcPr>
            <w:tcW w:w="605" w:type="pct"/>
            <w:vAlign w:val="center"/>
          </w:tcPr>
          <w:p>
            <w:pPr>
              <w:rPr>
                <w:sz w:val="24"/>
                <w:highlight w:val="none"/>
              </w:rPr>
            </w:pPr>
          </w:p>
        </w:tc>
        <w:tc>
          <w:tcPr>
            <w:tcW w:w="836" w:type="pct"/>
            <w:vAlign w:val="center"/>
          </w:tcPr>
          <w:p>
            <w:pPr>
              <w:rPr>
                <w:sz w:val="24"/>
                <w:highlight w:val="none"/>
              </w:rPr>
            </w:pPr>
          </w:p>
        </w:tc>
        <w:tc>
          <w:tcPr>
            <w:tcW w:w="507" w:type="pct"/>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32" w:type="pct"/>
            <w:vAlign w:val="center"/>
          </w:tcPr>
          <w:p>
            <w:pPr>
              <w:rPr>
                <w:sz w:val="24"/>
                <w:highlight w:val="none"/>
              </w:rPr>
            </w:pPr>
          </w:p>
        </w:tc>
        <w:tc>
          <w:tcPr>
            <w:tcW w:w="557" w:type="pct"/>
            <w:vAlign w:val="center"/>
          </w:tcPr>
          <w:p>
            <w:pPr>
              <w:rPr>
                <w:sz w:val="24"/>
                <w:highlight w:val="none"/>
              </w:rPr>
            </w:pPr>
          </w:p>
        </w:tc>
        <w:tc>
          <w:tcPr>
            <w:tcW w:w="1050" w:type="pct"/>
            <w:vAlign w:val="center"/>
          </w:tcPr>
          <w:p>
            <w:pPr>
              <w:rPr>
                <w:sz w:val="24"/>
                <w:highlight w:val="none"/>
              </w:rPr>
            </w:pPr>
          </w:p>
        </w:tc>
        <w:tc>
          <w:tcPr>
            <w:tcW w:w="568" w:type="pct"/>
            <w:vAlign w:val="center"/>
          </w:tcPr>
          <w:p>
            <w:pPr>
              <w:rPr>
                <w:sz w:val="24"/>
                <w:highlight w:val="none"/>
              </w:rPr>
            </w:pPr>
          </w:p>
        </w:tc>
        <w:tc>
          <w:tcPr>
            <w:tcW w:w="441" w:type="pct"/>
            <w:vAlign w:val="center"/>
          </w:tcPr>
          <w:p>
            <w:pPr>
              <w:rPr>
                <w:sz w:val="24"/>
                <w:highlight w:val="none"/>
              </w:rPr>
            </w:pPr>
          </w:p>
        </w:tc>
        <w:tc>
          <w:tcPr>
            <w:tcW w:w="605" w:type="pct"/>
            <w:vAlign w:val="center"/>
          </w:tcPr>
          <w:p>
            <w:pPr>
              <w:rPr>
                <w:sz w:val="24"/>
                <w:highlight w:val="none"/>
              </w:rPr>
            </w:pPr>
          </w:p>
        </w:tc>
        <w:tc>
          <w:tcPr>
            <w:tcW w:w="836" w:type="pct"/>
            <w:vAlign w:val="center"/>
          </w:tcPr>
          <w:p>
            <w:pPr>
              <w:rPr>
                <w:sz w:val="24"/>
                <w:highlight w:val="none"/>
              </w:rPr>
            </w:pPr>
          </w:p>
        </w:tc>
        <w:tc>
          <w:tcPr>
            <w:tcW w:w="507" w:type="pct"/>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432" w:type="pct"/>
            <w:tcBorders>
              <w:bottom w:val="single" w:color="auto" w:sz="4" w:space="0"/>
            </w:tcBorders>
            <w:vAlign w:val="center"/>
          </w:tcPr>
          <w:p>
            <w:pPr>
              <w:rPr>
                <w:sz w:val="24"/>
                <w:highlight w:val="none"/>
              </w:rPr>
            </w:pPr>
            <w:r>
              <w:rPr>
                <w:rFonts w:hint="eastAsia"/>
                <w:sz w:val="24"/>
                <w:highlight w:val="none"/>
              </w:rPr>
              <w:t>……</w:t>
            </w:r>
          </w:p>
        </w:tc>
        <w:tc>
          <w:tcPr>
            <w:tcW w:w="557" w:type="pct"/>
            <w:tcBorders>
              <w:bottom w:val="single" w:color="auto" w:sz="4" w:space="0"/>
            </w:tcBorders>
            <w:vAlign w:val="center"/>
          </w:tcPr>
          <w:p>
            <w:pPr>
              <w:rPr>
                <w:sz w:val="24"/>
                <w:highlight w:val="none"/>
              </w:rPr>
            </w:pPr>
          </w:p>
        </w:tc>
        <w:tc>
          <w:tcPr>
            <w:tcW w:w="1050" w:type="pct"/>
            <w:tcBorders>
              <w:bottom w:val="single" w:color="auto" w:sz="4" w:space="0"/>
            </w:tcBorders>
            <w:vAlign w:val="center"/>
          </w:tcPr>
          <w:p>
            <w:pPr>
              <w:rPr>
                <w:sz w:val="24"/>
                <w:highlight w:val="none"/>
              </w:rPr>
            </w:pPr>
          </w:p>
        </w:tc>
        <w:tc>
          <w:tcPr>
            <w:tcW w:w="568" w:type="pct"/>
            <w:tcBorders>
              <w:bottom w:val="single" w:color="auto" w:sz="4" w:space="0"/>
            </w:tcBorders>
            <w:vAlign w:val="center"/>
          </w:tcPr>
          <w:p>
            <w:pPr>
              <w:rPr>
                <w:sz w:val="24"/>
                <w:highlight w:val="none"/>
              </w:rPr>
            </w:pPr>
          </w:p>
        </w:tc>
        <w:tc>
          <w:tcPr>
            <w:tcW w:w="441" w:type="pct"/>
            <w:tcBorders>
              <w:bottom w:val="single" w:color="auto" w:sz="4" w:space="0"/>
            </w:tcBorders>
            <w:vAlign w:val="center"/>
          </w:tcPr>
          <w:p>
            <w:pPr>
              <w:rPr>
                <w:sz w:val="24"/>
                <w:highlight w:val="none"/>
              </w:rPr>
            </w:pPr>
          </w:p>
        </w:tc>
        <w:tc>
          <w:tcPr>
            <w:tcW w:w="605" w:type="pct"/>
            <w:tcBorders>
              <w:bottom w:val="single" w:color="auto" w:sz="4" w:space="0"/>
            </w:tcBorders>
            <w:vAlign w:val="center"/>
          </w:tcPr>
          <w:p>
            <w:pPr>
              <w:rPr>
                <w:sz w:val="24"/>
                <w:highlight w:val="none"/>
              </w:rPr>
            </w:pPr>
          </w:p>
        </w:tc>
        <w:tc>
          <w:tcPr>
            <w:tcW w:w="836" w:type="pct"/>
            <w:tcBorders>
              <w:bottom w:val="single" w:color="auto" w:sz="4" w:space="0"/>
            </w:tcBorders>
            <w:vAlign w:val="center"/>
          </w:tcPr>
          <w:p>
            <w:pPr>
              <w:rPr>
                <w:sz w:val="24"/>
                <w:highlight w:val="none"/>
              </w:rPr>
            </w:pPr>
          </w:p>
        </w:tc>
        <w:tc>
          <w:tcPr>
            <w:tcW w:w="507" w:type="pct"/>
            <w:tcBorders>
              <w:bottom w:val="single" w:color="auto" w:sz="4" w:space="0"/>
            </w:tcBorders>
            <w:vAlign w:val="center"/>
          </w:tcPr>
          <w:p>
            <w:pP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3656" w:type="pct"/>
            <w:gridSpan w:val="6"/>
            <w:shd w:val="clear" w:color="auto" w:fill="D7D7D7"/>
            <w:vAlign w:val="center"/>
          </w:tcPr>
          <w:p>
            <w:pPr>
              <w:jc w:val="center"/>
              <w:rPr>
                <w:b/>
                <w:bCs/>
                <w:sz w:val="24"/>
                <w:highlight w:val="none"/>
              </w:rPr>
            </w:pPr>
            <w:r>
              <w:rPr>
                <w:rFonts w:hint="eastAsia"/>
                <w:b/>
                <w:bCs/>
                <w:sz w:val="24"/>
                <w:highlight w:val="none"/>
              </w:rPr>
              <w:t>投标总价合计</w:t>
            </w:r>
          </w:p>
        </w:tc>
        <w:tc>
          <w:tcPr>
            <w:tcW w:w="1343" w:type="pct"/>
            <w:gridSpan w:val="2"/>
            <w:shd w:val="clear" w:color="auto" w:fill="D7D7D7"/>
            <w:vAlign w:val="center"/>
          </w:tcPr>
          <w:p>
            <w:pPr>
              <w:rPr>
                <w:rFonts w:ascii="宋体" w:hAnsi="宋体" w:cs="宋体"/>
                <w:b/>
                <w:bCs/>
                <w:sz w:val="24"/>
                <w:highlight w:val="none"/>
              </w:rPr>
            </w:pPr>
          </w:p>
          <w:p>
            <w:pPr>
              <w:rPr>
                <w:rFonts w:ascii="宋体" w:hAnsi="宋体" w:cs="宋体"/>
                <w:b/>
                <w:bCs/>
                <w:sz w:val="24"/>
                <w:highlight w:val="none"/>
              </w:rPr>
            </w:pPr>
            <w:r>
              <w:rPr>
                <w:rFonts w:hint="eastAsia" w:ascii="宋体" w:hAnsi="宋体" w:cs="宋体"/>
                <w:b/>
                <w:bCs/>
                <w:sz w:val="24"/>
                <w:highlight w:val="none"/>
              </w:rPr>
              <w:t>小写：￥</w:t>
            </w:r>
          </w:p>
          <w:p>
            <w:pPr>
              <w:rPr>
                <w:rFonts w:ascii="宋体" w:hAnsi="宋体" w:cs="宋体"/>
                <w:b/>
                <w:bCs/>
                <w:sz w:val="24"/>
                <w:highlight w:val="none"/>
              </w:rPr>
            </w:pPr>
          </w:p>
          <w:p>
            <w:pPr>
              <w:rPr>
                <w:rFonts w:ascii="宋体" w:hAnsi="宋体" w:cs="宋体"/>
                <w:b/>
                <w:bCs/>
                <w:sz w:val="24"/>
                <w:highlight w:val="none"/>
              </w:rPr>
            </w:pPr>
            <w:r>
              <w:rPr>
                <w:rFonts w:hint="eastAsia" w:ascii="宋体" w:hAnsi="宋体" w:cs="宋体"/>
                <w:b/>
                <w:bCs/>
                <w:sz w:val="24"/>
                <w:highlight w:val="none"/>
              </w:rPr>
              <w:t>大写：人民币</w:t>
            </w:r>
          </w:p>
          <w:p>
            <w:pPr>
              <w:rPr>
                <w:rFonts w:ascii="宋体" w:hAnsi="宋体" w:cs="宋体"/>
                <w:b/>
                <w:bCs/>
                <w:sz w:val="24"/>
                <w:highlight w:val="none"/>
              </w:rPr>
            </w:pPr>
          </w:p>
        </w:tc>
      </w:tr>
    </w:tbl>
    <w:p>
      <w:pPr>
        <w:adjustRightInd w:val="0"/>
        <w:snapToGrid w:val="0"/>
        <w:spacing w:line="360" w:lineRule="auto"/>
        <w:ind w:left="720" w:hanging="720"/>
        <w:rPr>
          <w:rFonts w:ascii="宋体" w:hAnsi="宋体" w:cs="宋体"/>
          <w:bCs/>
          <w:sz w:val="24"/>
          <w:highlight w:val="none"/>
        </w:rPr>
      </w:pPr>
      <w:r>
        <w:rPr>
          <w:rFonts w:hint="eastAsia" w:ascii="宋体" w:hAnsi="宋体" w:cs="宋体"/>
          <w:bCs/>
          <w:sz w:val="24"/>
          <w:highlight w:val="none"/>
        </w:rPr>
        <w:t>注：</w:t>
      </w:r>
    </w:p>
    <w:p>
      <w:pPr>
        <w:numPr>
          <w:ilvl w:val="0"/>
          <w:numId w:val="179"/>
        </w:numPr>
        <w:adjustRightInd w:val="0"/>
        <w:snapToGrid w:val="0"/>
        <w:spacing w:line="360" w:lineRule="auto"/>
        <w:rPr>
          <w:highlight w:val="none"/>
        </w:rPr>
      </w:pPr>
      <w:r>
        <w:rPr>
          <w:rFonts w:hint="eastAsia" w:ascii="宋体" w:hAnsi="宋体" w:cs="宋体"/>
          <w:sz w:val="24"/>
          <w:highlight w:val="none"/>
        </w:rPr>
        <w:t>投标人须按要求填写所有信息，不得随意更改本表格式。</w:t>
      </w:r>
    </w:p>
    <w:p>
      <w:pPr>
        <w:numPr>
          <w:ilvl w:val="0"/>
          <w:numId w:val="179"/>
        </w:numPr>
        <w:adjustRightInd w:val="0"/>
        <w:snapToGrid w:val="0"/>
        <w:spacing w:line="360" w:lineRule="auto"/>
        <w:rPr>
          <w:highlight w:val="none"/>
        </w:rPr>
      </w:pPr>
      <w:r>
        <w:rPr>
          <w:rFonts w:hint="eastAsia" w:ascii="宋体" w:hAnsi="宋体" w:cs="宋体"/>
          <w:sz w:val="24"/>
          <w:highlight w:val="none"/>
        </w:rPr>
        <w:t>以上内容必须与《货物说明一览表》一致。</w:t>
      </w:r>
    </w:p>
    <w:p>
      <w:pPr>
        <w:numPr>
          <w:ilvl w:val="0"/>
          <w:numId w:val="179"/>
        </w:numPr>
        <w:adjustRightInd w:val="0"/>
        <w:snapToGrid w:val="0"/>
        <w:spacing w:line="360" w:lineRule="auto"/>
        <w:rPr>
          <w:highlight w:val="none"/>
        </w:rPr>
      </w:pPr>
      <w:r>
        <w:rPr>
          <w:rFonts w:hint="eastAsia" w:ascii="宋体" w:hAnsi="宋体" w:cs="宋体"/>
          <w:sz w:val="24"/>
          <w:highlight w:val="none"/>
        </w:rPr>
        <w:t>此表是投标文件的必要文件，是投标文件的组成部分，还应另复印一份并加盖投标人公章，若有优惠声明将其一起封装在唱标信封中，作为唱标之用。</w:t>
      </w:r>
    </w:p>
    <w:p>
      <w:pPr>
        <w:numPr>
          <w:ilvl w:val="0"/>
          <w:numId w:val="179"/>
        </w:numPr>
        <w:adjustRightInd w:val="0"/>
        <w:snapToGrid w:val="0"/>
        <w:spacing w:line="360" w:lineRule="auto"/>
        <w:rPr>
          <w:highlight w:val="none"/>
        </w:rPr>
      </w:pPr>
      <w:r>
        <w:rPr>
          <w:rFonts w:hint="eastAsia" w:ascii="宋体" w:hAnsi="宋体" w:cs="宋体"/>
          <w:sz w:val="24"/>
          <w:highlight w:val="none"/>
        </w:rPr>
        <w:t>报价明细表投标总价合计数应与开标一览表的投标报价金额一致。</w:t>
      </w:r>
    </w:p>
    <w:p>
      <w:pPr>
        <w:spacing w:before="72" w:after="72" w:line="360" w:lineRule="auto"/>
        <w:rPr>
          <w:rFonts w:ascii="宋体" w:hAnsi="宋体" w:cs="宋体"/>
          <w:sz w:val="24"/>
          <w:highlight w:val="none"/>
        </w:rPr>
      </w:pPr>
    </w:p>
    <w:p>
      <w:pPr>
        <w:adjustRightInd w:val="0"/>
        <w:snapToGrid w:val="0"/>
        <w:spacing w:before="72" w:after="72" w:line="480" w:lineRule="auto"/>
        <w:ind w:firstLine="2940" w:firstLineChars="1225"/>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480" w:lineRule="auto"/>
        <w:ind w:firstLine="2940" w:firstLineChars="1225"/>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400" w:lineRule="exact"/>
        <w:ind w:firstLine="2940" w:firstLineChars="1225"/>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pStyle w:val="4"/>
        <w:numPr>
          <w:ilvl w:val="0"/>
          <w:numId w:val="177"/>
        </w:numPr>
        <w:spacing w:before="0" w:after="0" w:line="360" w:lineRule="auto"/>
        <w:jc w:val="center"/>
        <w:rPr>
          <w:highlight w:val="none"/>
        </w:rPr>
      </w:pPr>
      <w:bookmarkStart w:id="707" w:name="_Toc27224"/>
      <w:r>
        <w:rPr>
          <w:rFonts w:hint="eastAsia"/>
          <w:highlight w:val="none"/>
        </w:rPr>
        <w:t>中小企业声明函</w:t>
      </w:r>
      <w:bookmarkEnd w:id="697"/>
      <w:bookmarkEnd w:id="698"/>
      <w:r>
        <w:rPr>
          <w:rFonts w:hint="eastAsia"/>
          <w:highlight w:val="none"/>
        </w:rPr>
        <w:t>（如有）</w:t>
      </w:r>
      <w:bookmarkEnd w:id="699"/>
      <w:bookmarkEnd w:id="700"/>
      <w:bookmarkEnd w:id="701"/>
      <w:bookmarkEnd w:id="702"/>
      <w:bookmarkEnd w:id="707"/>
    </w:p>
    <w:p>
      <w:pPr>
        <w:pStyle w:val="24"/>
        <w:spacing w:before="0" w:beforeAutospacing="0" w:after="0" w:afterAutospacing="0" w:line="360" w:lineRule="auto"/>
        <w:ind w:firstLine="504" w:firstLineChars="200"/>
        <w:textAlignment w:val="baseline"/>
        <w:rPr>
          <w:spacing w:val="6"/>
          <w:kern w:val="2"/>
          <w:highlight w:val="none"/>
        </w:rPr>
      </w:pPr>
      <w:r>
        <w:rPr>
          <w:rFonts w:hint="eastAsia"/>
          <w:spacing w:val="6"/>
          <w:kern w:val="2"/>
          <w:highlight w:val="none"/>
        </w:rPr>
        <w:t>本公司（联合体）郑重声明，根据《政府采购促进中小企业发展管理办法》（财库﹝2020﹞46号）的规定，本公司（联合体）参加</w:t>
      </w:r>
      <w:r>
        <w:rPr>
          <w:rFonts w:hint="eastAsia"/>
          <w:spacing w:val="6"/>
          <w:kern w:val="2"/>
          <w:highlight w:val="none"/>
          <w:u w:val="single"/>
        </w:rPr>
        <w:t>（中国热带农业科学院热带作物品种资源研究所）</w:t>
      </w:r>
      <w:r>
        <w:rPr>
          <w:rFonts w:hint="eastAsia"/>
          <w:spacing w:val="6"/>
          <w:kern w:val="2"/>
          <w:highlight w:val="none"/>
        </w:rPr>
        <w:t>的</w:t>
      </w:r>
      <w:r>
        <w:rPr>
          <w:rFonts w:hint="eastAsia"/>
          <w:spacing w:val="6"/>
          <w:kern w:val="2"/>
          <w:highlight w:val="none"/>
          <w:u w:val="single"/>
        </w:rPr>
        <w:t>（农业农村部木薯种质资源保护与利用重点实验室建设项目）</w:t>
      </w:r>
      <w:r>
        <w:rPr>
          <w:rFonts w:hint="eastAsia"/>
          <w:spacing w:val="6"/>
          <w:kern w:val="2"/>
          <w:highlight w:val="none"/>
        </w:rPr>
        <w:t>采购活动，提供的货物全部由符合政策要求的中小企业制造。相关企业（含联合体中的中小企业、签订分包意向协议的中小企业）的具体情况如下：</w:t>
      </w:r>
    </w:p>
    <w:p>
      <w:pPr>
        <w:pStyle w:val="24"/>
        <w:spacing w:before="0" w:beforeAutospacing="0" w:after="0" w:afterAutospacing="0" w:line="360" w:lineRule="auto"/>
        <w:ind w:firstLine="504" w:firstLineChars="200"/>
        <w:textAlignment w:val="baseline"/>
        <w:rPr>
          <w:spacing w:val="6"/>
          <w:kern w:val="2"/>
          <w:highlight w:val="none"/>
        </w:rPr>
      </w:pPr>
      <w:r>
        <w:rPr>
          <w:rFonts w:hint="eastAsia"/>
          <w:spacing w:val="6"/>
          <w:kern w:val="2"/>
          <w:highlight w:val="none"/>
        </w:rPr>
        <w:t>1.</w:t>
      </w:r>
      <w:r>
        <w:rPr>
          <w:rFonts w:hint="eastAsia"/>
          <w:spacing w:val="6"/>
          <w:kern w:val="2"/>
          <w:highlight w:val="none"/>
          <w:u w:val="single"/>
        </w:rPr>
        <w:t xml:space="preserve"> （标的名称）    ，属于（采购文件中明确的所属行业    行业；制造商为（企业名称），从业人员    人，营业收入为    万元，资产总额为    万元（注：从业人员、营业收入、资产总额填报上一年度数据，无上一年度数据的新成立企业可不填报。）</w:t>
      </w:r>
      <w:r>
        <w:rPr>
          <w:rFonts w:hint="eastAsia"/>
          <w:spacing w:val="6"/>
          <w:kern w:val="2"/>
          <w:highlight w:val="none"/>
        </w:rPr>
        <w:t>，属于</w:t>
      </w:r>
      <w:r>
        <w:rPr>
          <w:rFonts w:hint="eastAsia"/>
          <w:spacing w:val="6"/>
          <w:kern w:val="2"/>
          <w:highlight w:val="none"/>
          <w:u w:val="single"/>
        </w:rPr>
        <w:t xml:space="preserve">   </w:t>
      </w:r>
      <w:r>
        <w:rPr>
          <w:rFonts w:hint="eastAsia"/>
          <w:spacing w:val="6"/>
          <w:kern w:val="2"/>
          <w:highlight w:val="none"/>
        </w:rPr>
        <w:t>（中型企业、小型企业、微型企业）；</w:t>
      </w:r>
    </w:p>
    <w:p>
      <w:pPr>
        <w:pStyle w:val="24"/>
        <w:spacing w:before="0" w:beforeAutospacing="0" w:after="0" w:afterAutospacing="0" w:line="360" w:lineRule="auto"/>
        <w:ind w:firstLine="504" w:firstLineChars="200"/>
        <w:textAlignment w:val="baseline"/>
        <w:rPr>
          <w:spacing w:val="6"/>
          <w:kern w:val="2"/>
          <w:highlight w:val="none"/>
        </w:rPr>
      </w:pPr>
      <w:r>
        <w:rPr>
          <w:rFonts w:hint="eastAsia"/>
          <w:spacing w:val="6"/>
          <w:kern w:val="2"/>
          <w:highlight w:val="none"/>
        </w:rPr>
        <w:t>2.</w:t>
      </w:r>
      <w:r>
        <w:rPr>
          <w:rFonts w:hint="eastAsia"/>
          <w:spacing w:val="6"/>
          <w:kern w:val="2"/>
          <w:highlight w:val="none"/>
          <w:u w:val="single"/>
        </w:rPr>
        <w:t>（标的名称）    ，属于（采购文件中明确的所属行业）    行业；制造商为（企业名称），从业人员    人，营业收入    为 万元，资产总额为    万元，属于（中型企业、小型 企业、微型企业）</w:t>
      </w:r>
      <w:r>
        <w:rPr>
          <w:rFonts w:hint="eastAsia"/>
          <w:spacing w:val="6"/>
          <w:kern w:val="2"/>
          <w:highlight w:val="none"/>
        </w:rPr>
        <w:t>；</w:t>
      </w:r>
    </w:p>
    <w:p>
      <w:pPr>
        <w:pStyle w:val="24"/>
        <w:spacing w:before="0" w:beforeAutospacing="0" w:after="0" w:afterAutospacing="0" w:line="360" w:lineRule="auto"/>
        <w:ind w:firstLine="504" w:firstLineChars="200"/>
        <w:textAlignment w:val="baseline"/>
        <w:rPr>
          <w:spacing w:val="6"/>
          <w:kern w:val="2"/>
          <w:highlight w:val="none"/>
        </w:rPr>
      </w:pPr>
      <w:r>
        <w:rPr>
          <w:rFonts w:hint="eastAsia"/>
          <w:spacing w:val="6"/>
          <w:kern w:val="2"/>
          <w:highlight w:val="none"/>
        </w:rPr>
        <w:t>……</w:t>
      </w:r>
    </w:p>
    <w:p>
      <w:pPr>
        <w:pStyle w:val="24"/>
        <w:spacing w:before="0" w:beforeAutospacing="0" w:after="0" w:afterAutospacing="0" w:line="360" w:lineRule="auto"/>
        <w:ind w:firstLine="504" w:firstLineChars="200"/>
        <w:textAlignment w:val="baseline"/>
        <w:rPr>
          <w:spacing w:val="6"/>
          <w:kern w:val="2"/>
          <w:highlight w:val="none"/>
        </w:rPr>
      </w:pPr>
      <w:r>
        <w:rPr>
          <w:rFonts w:hint="eastAsia"/>
          <w:spacing w:val="6"/>
          <w:kern w:val="2"/>
          <w:highlight w:val="none"/>
        </w:rPr>
        <w:t>以上企业，不属于大企业的分支机构，不存在控股股东为大企业的情形，也不存在与大企业的负责人为同一人的情形。</w:t>
      </w:r>
    </w:p>
    <w:p>
      <w:pPr>
        <w:pStyle w:val="24"/>
        <w:spacing w:before="0" w:beforeAutospacing="0" w:after="0" w:afterAutospacing="0" w:line="360" w:lineRule="auto"/>
        <w:ind w:firstLine="504" w:firstLineChars="200"/>
        <w:textAlignment w:val="baseline"/>
        <w:rPr>
          <w:highlight w:val="none"/>
        </w:rPr>
      </w:pPr>
      <w:r>
        <w:rPr>
          <w:rFonts w:hint="eastAsia"/>
          <w:spacing w:val="6"/>
          <w:kern w:val="2"/>
          <w:highlight w:val="none"/>
        </w:rPr>
        <w:t>本企业对上述声明内容的真实性负责。如有虚假，将依法承担相应责任。</w:t>
      </w:r>
    </w:p>
    <w:p>
      <w:pPr>
        <w:tabs>
          <w:tab w:val="left" w:pos="4860"/>
        </w:tabs>
        <w:spacing w:line="588" w:lineRule="exact"/>
        <w:ind w:right="1560" w:firstLine="504" w:firstLineChars="200"/>
        <w:jc w:val="center"/>
        <w:rPr>
          <w:rFonts w:ascii="宋体" w:hAnsi="宋体" w:cs="宋体"/>
          <w:spacing w:val="6"/>
          <w:sz w:val="24"/>
          <w:highlight w:val="none"/>
        </w:rPr>
      </w:pP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企业名称（盖章）：　　　　　　　　　</w:t>
      </w:r>
    </w:p>
    <w:p>
      <w:pPr>
        <w:tabs>
          <w:tab w:val="left" w:pos="4860"/>
        </w:tabs>
        <w:spacing w:line="588" w:lineRule="exact"/>
        <w:ind w:right="1560" w:firstLine="504" w:firstLineChars="200"/>
        <w:jc w:val="center"/>
        <w:rPr>
          <w:rFonts w:ascii="宋体" w:hAnsi="宋体" w:cs="宋体"/>
          <w:spacing w:val="6"/>
          <w:sz w:val="24"/>
          <w:highlight w:val="none"/>
        </w:rPr>
      </w:pPr>
      <w:r>
        <w:rPr>
          <w:rFonts w:hint="eastAsia" w:ascii="宋体" w:hAnsi="宋体" w:cs="宋体"/>
          <w:spacing w:val="6"/>
          <w:sz w:val="24"/>
          <w:highlight w:val="none"/>
        </w:rPr>
        <w:t xml:space="preserve">    日　期：</w:t>
      </w:r>
    </w:p>
    <w:p>
      <w:pPr>
        <w:tabs>
          <w:tab w:val="left" w:pos="4860"/>
        </w:tabs>
        <w:spacing w:line="588" w:lineRule="exact"/>
        <w:ind w:firstLine="504" w:firstLineChars="200"/>
        <w:rPr>
          <w:rFonts w:ascii="宋体" w:hAnsi="宋体" w:cs="宋体"/>
          <w:spacing w:val="6"/>
          <w:sz w:val="24"/>
          <w:highlight w:val="none"/>
        </w:rPr>
      </w:pPr>
    </w:p>
    <w:p>
      <w:pPr>
        <w:tabs>
          <w:tab w:val="left" w:pos="4860"/>
        </w:tabs>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注明：</w:t>
      </w:r>
      <w:r>
        <w:rPr>
          <w:rFonts w:hint="eastAsia" w:ascii="宋体" w:hAnsi="宋体"/>
          <w:szCs w:val="21"/>
          <w:highlight w:val="none"/>
        </w:rPr>
        <w:t>根据《政府采购促进中小企业发展管理办法》，所有货物为小微企业制造时，才能享受价格扣除。本函未填写和未勾选视作未做声明。</w:t>
      </w:r>
    </w:p>
    <w:p>
      <w:pPr>
        <w:tabs>
          <w:tab w:val="left" w:pos="4860"/>
        </w:tabs>
        <w:spacing w:line="588" w:lineRule="exact"/>
        <w:ind w:right="1560" w:firstLine="504" w:firstLineChars="200"/>
        <w:jc w:val="center"/>
        <w:rPr>
          <w:rFonts w:ascii="宋体" w:hAnsi="宋体" w:cs="宋体"/>
          <w:spacing w:val="6"/>
          <w:sz w:val="24"/>
          <w:highlight w:val="none"/>
        </w:rPr>
      </w:pPr>
    </w:p>
    <w:p>
      <w:pPr>
        <w:rPr>
          <w:highlight w:val="none"/>
        </w:rPr>
      </w:pPr>
    </w:p>
    <w:p>
      <w:pPr>
        <w:rPr>
          <w:highlight w:val="none"/>
        </w:rPr>
      </w:pPr>
    </w:p>
    <w:p>
      <w:pPr>
        <w:rPr>
          <w:highlight w:val="none"/>
        </w:rPr>
      </w:pPr>
      <w:bookmarkStart w:id="708" w:name="_Toc19649"/>
    </w:p>
    <w:p>
      <w:pPr>
        <w:pStyle w:val="4"/>
        <w:numPr>
          <w:ilvl w:val="0"/>
          <w:numId w:val="177"/>
        </w:numPr>
        <w:spacing w:before="0" w:after="0" w:line="360" w:lineRule="auto"/>
        <w:jc w:val="center"/>
        <w:rPr>
          <w:highlight w:val="none"/>
          <w:lang w:val="en-GB"/>
        </w:rPr>
      </w:pPr>
      <w:bookmarkStart w:id="709" w:name="_Toc26326"/>
      <w:bookmarkStart w:id="710" w:name="_Toc3111"/>
      <w:bookmarkStart w:id="711" w:name="_Toc10858"/>
      <w:r>
        <w:rPr>
          <w:rFonts w:hint="eastAsia"/>
          <w:highlight w:val="none"/>
          <w:lang w:val="en-GB"/>
        </w:rPr>
        <w:t>残疾人福利性单位声明函</w:t>
      </w:r>
      <w:bookmarkEnd w:id="703"/>
      <w:r>
        <w:rPr>
          <w:rFonts w:hint="eastAsia"/>
          <w:highlight w:val="none"/>
          <w:lang w:val="en-GB"/>
        </w:rPr>
        <w:t>（如有）</w:t>
      </w:r>
      <w:bookmarkEnd w:id="704"/>
      <w:bookmarkEnd w:id="708"/>
      <w:bookmarkEnd w:id="709"/>
      <w:bookmarkEnd w:id="710"/>
      <w:bookmarkEnd w:id="711"/>
    </w:p>
    <w:bookmarkEnd w:id="705"/>
    <w:bookmarkEnd w:id="706"/>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本单位郑重声明，根据《财政部 民政部 中国残疾人联合会关于促进残疾人就业政府采购政策的通知》（财库</w:t>
      </w:r>
      <w:r>
        <w:rPr>
          <w:rFonts w:hint="eastAsia" w:ascii="宋体" w:hAnsi="宋体" w:cs="宋体"/>
          <w:sz w:val="24"/>
          <w:highlight w:val="none"/>
        </w:rPr>
        <w:t>〔2017〕 141</w:t>
      </w:r>
      <w:r>
        <w:rPr>
          <w:rFonts w:hint="eastAsia" w:ascii="宋体" w:hAnsi="宋体" w:cs="宋体"/>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本单位对上述声明的真实性负责。如有虚假，将依法承担相应责任。</w:t>
      </w:r>
    </w:p>
    <w:p>
      <w:pPr>
        <w:spacing w:line="588" w:lineRule="exact"/>
        <w:ind w:firstLine="504" w:firstLineChars="200"/>
        <w:rPr>
          <w:rFonts w:ascii="宋体" w:hAnsi="宋体" w:cs="宋体"/>
          <w:spacing w:val="6"/>
          <w:sz w:val="24"/>
          <w:highlight w:val="none"/>
        </w:rPr>
      </w:pPr>
    </w:p>
    <w:p>
      <w:pPr>
        <w:spacing w:line="588" w:lineRule="exact"/>
        <w:ind w:firstLine="504" w:firstLineChars="200"/>
        <w:rPr>
          <w:rFonts w:ascii="宋体" w:hAnsi="宋体" w:cs="宋体"/>
          <w:spacing w:val="6"/>
          <w:sz w:val="24"/>
          <w:highlight w:val="none"/>
        </w:rPr>
      </w:pPr>
      <w:r>
        <w:rPr>
          <w:rFonts w:hint="eastAsia" w:ascii="宋体" w:hAnsi="宋体" w:cs="宋体"/>
          <w:spacing w:val="6"/>
          <w:sz w:val="24"/>
          <w:highlight w:val="none"/>
        </w:rPr>
        <w:t>注：本函未填写或未勾选视作未做声明。</w:t>
      </w:r>
    </w:p>
    <w:p>
      <w:pPr>
        <w:rPr>
          <w:highlight w:val="none"/>
        </w:rPr>
      </w:pPr>
    </w:p>
    <w:p>
      <w:pPr>
        <w:ind w:firstLine="420"/>
        <w:rPr>
          <w:highlight w:val="none"/>
        </w:rPr>
      </w:pPr>
    </w:p>
    <w:p>
      <w:pPr>
        <w:adjustRightInd w:val="0"/>
        <w:snapToGrid w:val="0"/>
        <w:spacing w:line="360" w:lineRule="auto"/>
        <w:ind w:firstLine="2940" w:firstLineChars="1225"/>
        <w:rPr>
          <w:rFonts w:ascii="宋体" w:hAnsi="宋体" w:cs="宋体"/>
          <w:sz w:val="24"/>
          <w:highlight w:val="none"/>
        </w:rPr>
      </w:pPr>
      <w:r>
        <w:rPr>
          <w:rFonts w:hint="eastAsia" w:ascii="宋体" w:hAnsi="宋体" w:cs="宋体"/>
          <w:sz w:val="24"/>
          <w:highlight w:val="none"/>
        </w:rPr>
        <w:t>投标人名称（加盖公章）：</w:t>
      </w:r>
    </w:p>
    <w:p>
      <w:pPr>
        <w:adjustRightInd w:val="0"/>
        <w:snapToGrid w:val="0"/>
        <w:spacing w:line="360" w:lineRule="auto"/>
        <w:ind w:right="-94" w:firstLine="2940" w:firstLineChars="1225"/>
        <w:rPr>
          <w:rFonts w:ascii="宋体" w:hAnsi="宋体" w:cs="宋体"/>
          <w:sz w:val="24"/>
          <w:highlight w:val="none"/>
        </w:rPr>
      </w:pPr>
      <w:r>
        <w:rPr>
          <w:rFonts w:hint="eastAsia" w:ascii="宋体" w:hAnsi="宋体" w:cs="宋体"/>
          <w:sz w:val="24"/>
          <w:highlight w:val="none"/>
        </w:rPr>
        <w:t>日期：  年   月   日</w:t>
      </w:r>
    </w:p>
    <w:p>
      <w:pPr>
        <w:spacing w:before="72" w:after="72" w:line="400" w:lineRule="exact"/>
        <w:rPr>
          <w:rFonts w:ascii="宋体" w:hAnsi="宋体" w:cs="宋体"/>
          <w:sz w:val="24"/>
          <w:highlight w:val="none"/>
        </w:rPr>
      </w:pPr>
    </w:p>
    <w:p>
      <w:pPr>
        <w:spacing w:before="72" w:after="72" w:line="400" w:lineRule="exact"/>
        <w:rPr>
          <w:rFonts w:eastAsia="仿宋_GB2312" w:asciiTheme="minorHAnsi" w:hAnsiTheme="minorHAnsi" w:cstheme="minorBidi"/>
          <w:highlight w:val="none"/>
        </w:rPr>
        <w:sectPr>
          <w:footerReference r:id="rId9" w:type="default"/>
          <w:pgSz w:w="11905" w:h="16838"/>
          <w:pgMar w:top="1803" w:right="1440" w:bottom="1803" w:left="1440" w:header="850" w:footer="822" w:gutter="0"/>
          <w:cols w:space="0" w:num="1"/>
          <w:docGrid w:linePitch="312" w:charSpace="0"/>
        </w:sectPr>
      </w:pPr>
    </w:p>
    <w:p>
      <w:pPr>
        <w:pStyle w:val="4"/>
        <w:numPr>
          <w:ilvl w:val="0"/>
          <w:numId w:val="177"/>
        </w:numPr>
        <w:spacing w:before="0" w:after="0" w:line="360" w:lineRule="auto"/>
        <w:jc w:val="center"/>
        <w:rPr>
          <w:highlight w:val="none"/>
          <w:lang w:val="en-GB"/>
        </w:rPr>
      </w:pPr>
      <w:bookmarkStart w:id="712" w:name="_Toc19781"/>
      <w:bookmarkStart w:id="713" w:name="_Toc21113"/>
      <w:bookmarkStart w:id="714" w:name="_Toc27363"/>
      <w:bookmarkStart w:id="715" w:name="_Toc17963"/>
      <w:bookmarkStart w:id="716" w:name="_Toc8538"/>
      <w:bookmarkStart w:id="717" w:name="_Toc31323"/>
      <w:bookmarkStart w:id="718" w:name="_Toc15179"/>
      <w:bookmarkStart w:id="719" w:name="_Toc7331"/>
      <w:r>
        <w:rPr>
          <w:rFonts w:hint="eastAsia"/>
          <w:highlight w:val="none"/>
          <w:lang w:val="en-GB"/>
        </w:rPr>
        <w:t>监狱企业的证明文件（如有）</w:t>
      </w:r>
      <w:bookmarkEnd w:id="712"/>
      <w:bookmarkEnd w:id="713"/>
      <w:bookmarkEnd w:id="714"/>
      <w:bookmarkEnd w:id="715"/>
      <w:bookmarkEnd w:id="716"/>
      <w:bookmarkEnd w:id="717"/>
      <w:bookmarkEnd w:id="718"/>
      <w:bookmarkEnd w:id="719"/>
    </w:p>
    <w:p>
      <w:pPr>
        <w:spacing w:line="360" w:lineRule="auto"/>
        <w:ind w:firstLine="480" w:firstLineChars="200"/>
        <w:rPr>
          <w:rFonts w:ascii="宋体" w:hAnsi="宋体"/>
          <w:sz w:val="24"/>
          <w:highlight w:val="none"/>
        </w:rPr>
      </w:pPr>
      <w:r>
        <w:rPr>
          <w:rFonts w:hint="eastAsia" w:ascii="宋体" w:hAnsi="宋体"/>
          <w:sz w:val="24"/>
          <w:highlight w:val="none"/>
        </w:rPr>
        <w:t>说明：监狱企业参加政府采购活动时，应当提供由省级以上监狱管理局、戒毒管理局（含新疆生产建设兵团）出具的属于监狱企业的证明文件，并加盖投标人公章。</w:t>
      </w:r>
    </w:p>
    <w:p>
      <w:pPr>
        <w:pStyle w:val="4"/>
        <w:numPr>
          <w:ilvl w:val="0"/>
          <w:numId w:val="177"/>
        </w:numPr>
        <w:spacing w:before="0" w:after="0" w:line="360" w:lineRule="auto"/>
        <w:jc w:val="center"/>
        <w:rPr>
          <w:highlight w:val="none"/>
          <w:lang w:val="en-GB"/>
        </w:rPr>
      </w:pPr>
      <w:bookmarkStart w:id="720" w:name="_Toc20576"/>
      <w:bookmarkStart w:id="721" w:name="_Toc9446"/>
      <w:bookmarkStart w:id="722" w:name="_Toc13806"/>
      <w:bookmarkStart w:id="723" w:name="_Toc11768"/>
      <w:bookmarkStart w:id="724" w:name="_Toc7068"/>
      <w:bookmarkStart w:id="725" w:name="_Toc3860"/>
      <w:bookmarkStart w:id="726" w:name="_Toc2043"/>
      <w:bookmarkStart w:id="727" w:name="_Toc21259"/>
      <w:r>
        <w:rPr>
          <w:rFonts w:hint="eastAsia"/>
          <w:highlight w:val="none"/>
          <w:lang w:val="en-GB"/>
        </w:rPr>
        <w:t>采用节能、环境标志产品情况（如有）</w:t>
      </w:r>
      <w:bookmarkEnd w:id="720"/>
      <w:bookmarkEnd w:id="721"/>
      <w:bookmarkEnd w:id="722"/>
      <w:bookmarkEnd w:id="723"/>
      <w:bookmarkEnd w:id="724"/>
      <w:bookmarkEnd w:id="725"/>
      <w:bookmarkEnd w:id="726"/>
      <w:bookmarkEnd w:id="727"/>
    </w:p>
    <w:p>
      <w:pPr>
        <w:spacing w:line="360" w:lineRule="auto"/>
        <w:ind w:firstLine="480" w:firstLineChars="200"/>
        <w:rPr>
          <w:rFonts w:ascii="宋体" w:hAnsi="宋体" w:cs="宋体"/>
          <w:sz w:val="24"/>
          <w:highlight w:val="none"/>
        </w:rPr>
      </w:pPr>
      <w:r>
        <w:rPr>
          <w:rFonts w:hint="eastAsia" w:ascii="宋体" w:hAnsi="宋体" w:cs="宋体"/>
          <w:sz w:val="24"/>
          <w:highlight w:val="none"/>
        </w:rPr>
        <w:t>按照政府采购有关政策的要求，在本次投标的技术方案中，采用符合政策的环境标志产品、节能产品、中小企业及残疾人福利性的产品，主要产品与核心技术介绍说明如下：</w:t>
      </w:r>
    </w:p>
    <w:tbl>
      <w:tblPr>
        <w:tblStyle w:val="29"/>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056"/>
        <w:gridCol w:w="1229"/>
        <w:gridCol w:w="1785"/>
        <w:gridCol w:w="1336"/>
        <w:gridCol w:w="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855" w:type="dxa"/>
            <w:shd w:val="clear" w:color="auto" w:fill="D9D9D9"/>
            <w:vAlign w:val="center"/>
          </w:tcPr>
          <w:p>
            <w:pPr>
              <w:adjustRightInd w:val="0"/>
              <w:snapToGrid w:val="0"/>
              <w:jc w:val="center"/>
              <w:rPr>
                <w:rFonts w:ascii="宋体" w:hAnsi="宋体" w:cs="宋体"/>
                <w:b/>
                <w:sz w:val="24"/>
                <w:highlight w:val="none"/>
              </w:rPr>
            </w:pPr>
            <w:r>
              <w:rPr>
                <w:rFonts w:hint="eastAsia" w:ascii="宋体" w:hAnsi="宋体" w:cs="宋体"/>
                <w:b/>
                <w:sz w:val="24"/>
                <w:highlight w:val="none"/>
              </w:rPr>
              <w:t>类别</w:t>
            </w:r>
          </w:p>
        </w:tc>
        <w:tc>
          <w:tcPr>
            <w:tcW w:w="2056" w:type="dxa"/>
            <w:shd w:val="clear" w:color="auto" w:fill="D9D9D9"/>
            <w:vAlign w:val="center"/>
          </w:tcPr>
          <w:p>
            <w:pPr>
              <w:adjustRightInd w:val="0"/>
              <w:snapToGrid w:val="0"/>
              <w:jc w:val="center"/>
              <w:rPr>
                <w:rFonts w:ascii="宋体" w:hAnsi="宋体" w:cs="宋体"/>
                <w:b/>
                <w:sz w:val="24"/>
                <w:highlight w:val="none"/>
              </w:rPr>
            </w:pPr>
            <w:r>
              <w:rPr>
                <w:rFonts w:hint="eastAsia" w:ascii="宋体" w:hAnsi="宋体" w:cs="宋体"/>
                <w:b/>
                <w:sz w:val="24"/>
                <w:highlight w:val="none"/>
              </w:rPr>
              <w:t>投标产品</w:t>
            </w:r>
          </w:p>
          <w:p>
            <w:pPr>
              <w:adjustRightInd w:val="0"/>
              <w:snapToGrid w:val="0"/>
              <w:jc w:val="center"/>
              <w:rPr>
                <w:rFonts w:ascii="宋体" w:hAnsi="宋体" w:cs="宋体"/>
                <w:b/>
                <w:sz w:val="24"/>
                <w:highlight w:val="none"/>
              </w:rPr>
            </w:pPr>
            <w:r>
              <w:rPr>
                <w:rFonts w:hint="eastAsia" w:ascii="宋体" w:hAnsi="宋体" w:cs="宋体"/>
                <w:b/>
                <w:sz w:val="24"/>
                <w:highlight w:val="none"/>
              </w:rPr>
              <w:t>（规格型号）</w:t>
            </w:r>
          </w:p>
        </w:tc>
        <w:tc>
          <w:tcPr>
            <w:tcW w:w="1229" w:type="dxa"/>
            <w:shd w:val="clear" w:color="auto" w:fill="D9D9D9"/>
            <w:vAlign w:val="center"/>
          </w:tcPr>
          <w:p>
            <w:pPr>
              <w:adjustRightInd w:val="0"/>
              <w:snapToGrid w:val="0"/>
              <w:jc w:val="center"/>
              <w:rPr>
                <w:rFonts w:ascii="宋体" w:hAnsi="宋体" w:cs="宋体"/>
                <w:b/>
                <w:sz w:val="24"/>
                <w:highlight w:val="none"/>
              </w:rPr>
            </w:pPr>
            <w:r>
              <w:rPr>
                <w:rFonts w:hint="eastAsia" w:ascii="宋体" w:hAnsi="宋体" w:cs="宋体"/>
                <w:b/>
                <w:sz w:val="24"/>
                <w:highlight w:val="none"/>
              </w:rPr>
              <w:t>制造商</w:t>
            </w:r>
          </w:p>
        </w:tc>
        <w:tc>
          <w:tcPr>
            <w:tcW w:w="1785" w:type="dxa"/>
            <w:shd w:val="clear" w:color="auto" w:fill="D9D9D9"/>
            <w:vAlign w:val="center"/>
          </w:tcPr>
          <w:p>
            <w:pPr>
              <w:adjustRightInd w:val="0"/>
              <w:snapToGrid w:val="0"/>
              <w:jc w:val="center"/>
              <w:rPr>
                <w:rFonts w:ascii="宋体" w:hAnsi="宋体" w:cs="宋体"/>
                <w:b/>
                <w:sz w:val="24"/>
                <w:highlight w:val="none"/>
              </w:rPr>
            </w:pPr>
            <w:r>
              <w:rPr>
                <w:rFonts w:hint="eastAsia" w:ascii="宋体" w:hAnsi="宋体" w:cs="宋体"/>
                <w:b/>
                <w:sz w:val="24"/>
                <w:highlight w:val="none"/>
              </w:rPr>
              <w:t>认证证书编号</w:t>
            </w:r>
          </w:p>
        </w:tc>
        <w:tc>
          <w:tcPr>
            <w:tcW w:w="1336" w:type="dxa"/>
            <w:shd w:val="clear" w:color="auto" w:fill="D9D9D9"/>
            <w:vAlign w:val="center"/>
          </w:tcPr>
          <w:p>
            <w:pPr>
              <w:tabs>
                <w:tab w:val="left" w:pos="1260"/>
              </w:tabs>
              <w:ind w:left="-86" w:leftChars="-41" w:right="-71" w:rightChars="-34"/>
              <w:jc w:val="center"/>
              <w:rPr>
                <w:rFonts w:ascii="宋体" w:hAnsi="宋体" w:cs="宋体"/>
                <w:b/>
                <w:sz w:val="24"/>
                <w:highlight w:val="none"/>
              </w:rPr>
            </w:pPr>
            <w:r>
              <w:rPr>
                <w:rFonts w:hint="eastAsia" w:ascii="宋体" w:hAnsi="宋体"/>
                <w:b/>
                <w:sz w:val="24"/>
                <w:highlight w:val="none"/>
                <w:lang w:val="en-GB"/>
              </w:rPr>
              <w:t>金额</w:t>
            </w:r>
          </w:p>
        </w:tc>
        <w:tc>
          <w:tcPr>
            <w:tcW w:w="1995" w:type="dxa"/>
            <w:shd w:val="clear" w:color="auto" w:fill="D9D9D9"/>
            <w:vAlign w:val="center"/>
          </w:tcPr>
          <w:p>
            <w:pPr>
              <w:tabs>
                <w:tab w:val="left" w:pos="1260"/>
              </w:tabs>
              <w:ind w:left="-86" w:leftChars="-41" w:right="-71" w:rightChars="-34"/>
              <w:jc w:val="center"/>
              <w:rPr>
                <w:rFonts w:ascii="宋体" w:hAnsi="宋体" w:cs="宋体"/>
                <w:b/>
                <w:sz w:val="24"/>
                <w:highlight w:val="none"/>
              </w:rPr>
            </w:pPr>
            <w:r>
              <w:rPr>
                <w:rFonts w:hint="eastAsia" w:ascii="宋体" w:hAnsi="宋体"/>
                <w:b/>
                <w:sz w:val="24"/>
                <w:highlight w:val="none"/>
                <w:lang w:val="en-GB"/>
              </w:rPr>
              <w:t>金额占总报价比重（累计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2" w:hRule="atLeast"/>
          <w:jc w:val="center"/>
        </w:trPr>
        <w:tc>
          <w:tcPr>
            <w:tcW w:w="855" w:type="dxa"/>
            <w:vMerge w:val="restart"/>
            <w:vAlign w:val="center"/>
          </w:tcPr>
          <w:p>
            <w:pPr>
              <w:adjustRightInd w:val="0"/>
              <w:snapToGrid w:val="0"/>
              <w:jc w:val="center"/>
              <w:rPr>
                <w:rFonts w:ascii="宋体" w:hAnsi="宋体" w:cs="宋体"/>
                <w:sz w:val="24"/>
                <w:highlight w:val="none"/>
              </w:rPr>
            </w:pPr>
            <w:r>
              <w:rPr>
                <w:rFonts w:hint="eastAsia" w:ascii="宋体" w:hAnsi="宋体" w:cs="宋体"/>
                <w:sz w:val="24"/>
                <w:highlight w:val="none"/>
              </w:rPr>
              <w:t>节能产品</w:t>
            </w:r>
          </w:p>
        </w:tc>
        <w:tc>
          <w:tcPr>
            <w:tcW w:w="2056" w:type="dxa"/>
            <w:vAlign w:val="center"/>
          </w:tcPr>
          <w:p>
            <w:pPr>
              <w:adjustRightInd w:val="0"/>
              <w:snapToGrid w:val="0"/>
              <w:rPr>
                <w:rFonts w:ascii="宋体" w:hAnsi="宋体" w:cs="宋体"/>
                <w:sz w:val="24"/>
                <w:highlight w:val="none"/>
              </w:rPr>
            </w:pPr>
          </w:p>
        </w:tc>
        <w:tc>
          <w:tcPr>
            <w:tcW w:w="1229" w:type="dxa"/>
            <w:vAlign w:val="center"/>
          </w:tcPr>
          <w:p>
            <w:pPr>
              <w:adjustRightInd w:val="0"/>
              <w:snapToGrid w:val="0"/>
              <w:rPr>
                <w:rFonts w:ascii="宋体" w:hAnsi="宋体" w:cs="宋体"/>
                <w:sz w:val="24"/>
                <w:highlight w:val="none"/>
              </w:rPr>
            </w:pPr>
          </w:p>
        </w:tc>
        <w:tc>
          <w:tcPr>
            <w:tcW w:w="1785" w:type="dxa"/>
            <w:vAlign w:val="center"/>
          </w:tcPr>
          <w:p>
            <w:pPr>
              <w:adjustRightInd w:val="0"/>
              <w:snapToGrid w:val="0"/>
              <w:rPr>
                <w:rFonts w:ascii="宋体" w:hAnsi="宋体" w:cs="宋体"/>
                <w:sz w:val="24"/>
                <w:highlight w:val="none"/>
              </w:rPr>
            </w:pPr>
          </w:p>
        </w:tc>
        <w:tc>
          <w:tcPr>
            <w:tcW w:w="1336" w:type="dxa"/>
            <w:vAlign w:val="center"/>
          </w:tcPr>
          <w:p>
            <w:pPr>
              <w:adjustRightInd w:val="0"/>
              <w:snapToGrid w:val="0"/>
              <w:jc w:val="center"/>
              <w:rPr>
                <w:rFonts w:ascii="宋体" w:hAnsi="宋体" w:cs="宋体"/>
                <w:sz w:val="24"/>
                <w:highlight w:val="none"/>
              </w:rPr>
            </w:pPr>
          </w:p>
        </w:tc>
        <w:tc>
          <w:tcPr>
            <w:tcW w:w="1995" w:type="dxa"/>
            <w:vAlign w:val="center"/>
          </w:tcPr>
          <w:p>
            <w:pPr>
              <w:adjustRightInd w:val="0"/>
              <w:snapToGrid w:val="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2" w:hRule="atLeast"/>
          <w:jc w:val="center"/>
        </w:trPr>
        <w:tc>
          <w:tcPr>
            <w:tcW w:w="855" w:type="dxa"/>
            <w:vMerge w:val="continue"/>
            <w:vAlign w:val="center"/>
          </w:tcPr>
          <w:p>
            <w:pPr>
              <w:adjustRightInd w:val="0"/>
              <w:snapToGrid w:val="0"/>
              <w:jc w:val="center"/>
              <w:rPr>
                <w:rFonts w:ascii="宋体" w:hAnsi="宋体" w:cs="宋体"/>
                <w:sz w:val="24"/>
                <w:highlight w:val="none"/>
              </w:rPr>
            </w:pPr>
          </w:p>
        </w:tc>
        <w:tc>
          <w:tcPr>
            <w:tcW w:w="2056" w:type="dxa"/>
            <w:vAlign w:val="center"/>
          </w:tcPr>
          <w:p>
            <w:pPr>
              <w:adjustRightInd w:val="0"/>
              <w:snapToGrid w:val="0"/>
              <w:rPr>
                <w:rFonts w:ascii="宋体" w:hAnsi="宋体" w:cs="宋体"/>
                <w:sz w:val="24"/>
                <w:highlight w:val="none"/>
              </w:rPr>
            </w:pPr>
          </w:p>
        </w:tc>
        <w:tc>
          <w:tcPr>
            <w:tcW w:w="1229" w:type="dxa"/>
            <w:vAlign w:val="center"/>
          </w:tcPr>
          <w:p>
            <w:pPr>
              <w:adjustRightInd w:val="0"/>
              <w:snapToGrid w:val="0"/>
              <w:rPr>
                <w:rFonts w:ascii="宋体" w:hAnsi="宋体" w:cs="宋体"/>
                <w:sz w:val="24"/>
                <w:highlight w:val="none"/>
              </w:rPr>
            </w:pPr>
          </w:p>
        </w:tc>
        <w:tc>
          <w:tcPr>
            <w:tcW w:w="1785" w:type="dxa"/>
            <w:vAlign w:val="center"/>
          </w:tcPr>
          <w:p>
            <w:pPr>
              <w:adjustRightInd w:val="0"/>
              <w:snapToGrid w:val="0"/>
              <w:rPr>
                <w:rFonts w:ascii="宋体" w:hAnsi="宋体" w:cs="宋体"/>
                <w:sz w:val="24"/>
                <w:highlight w:val="none"/>
              </w:rPr>
            </w:pPr>
          </w:p>
        </w:tc>
        <w:tc>
          <w:tcPr>
            <w:tcW w:w="1336" w:type="dxa"/>
            <w:vAlign w:val="center"/>
          </w:tcPr>
          <w:p>
            <w:pPr>
              <w:adjustRightInd w:val="0"/>
              <w:snapToGrid w:val="0"/>
              <w:jc w:val="center"/>
              <w:rPr>
                <w:rFonts w:ascii="宋体" w:hAnsi="宋体" w:cs="宋体"/>
                <w:sz w:val="24"/>
                <w:highlight w:val="none"/>
              </w:rPr>
            </w:pPr>
          </w:p>
        </w:tc>
        <w:tc>
          <w:tcPr>
            <w:tcW w:w="1995" w:type="dxa"/>
            <w:vAlign w:val="center"/>
          </w:tcPr>
          <w:p>
            <w:pPr>
              <w:adjustRightInd w:val="0"/>
              <w:snapToGrid w:val="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855" w:type="dxa"/>
            <w:vMerge w:val="restart"/>
            <w:vAlign w:val="center"/>
          </w:tcPr>
          <w:p>
            <w:pPr>
              <w:adjustRightInd w:val="0"/>
              <w:snapToGrid w:val="0"/>
              <w:jc w:val="center"/>
              <w:rPr>
                <w:rFonts w:ascii="宋体" w:hAnsi="宋体" w:cs="宋体"/>
                <w:sz w:val="24"/>
                <w:highlight w:val="none"/>
              </w:rPr>
            </w:pPr>
            <w:r>
              <w:rPr>
                <w:rFonts w:hint="eastAsia" w:ascii="宋体" w:hAnsi="宋体" w:cs="宋体"/>
                <w:sz w:val="24"/>
                <w:highlight w:val="none"/>
              </w:rPr>
              <w:t>环境标志产品</w:t>
            </w:r>
          </w:p>
        </w:tc>
        <w:tc>
          <w:tcPr>
            <w:tcW w:w="2056" w:type="dxa"/>
            <w:vAlign w:val="center"/>
          </w:tcPr>
          <w:p>
            <w:pPr>
              <w:adjustRightInd w:val="0"/>
              <w:snapToGrid w:val="0"/>
              <w:rPr>
                <w:rFonts w:ascii="宋体" w:hAnsi="宋体" w:cs="宋体"/>
                <w:sz w:val="24"/>
                <w:highlight w:val="none"/>
              </w:rPr>
            </w:pPr>
          </w:p>
        </w:tc>
        <w:tc>
          <w:tcPr>
            <w:tcW w:w="1229" w:type="dxa"/>
            <w:vAlign w:val="center"/>
          </w:tcPr>
          <w:p>
            <w:pPr>
              <w:adjustRightInd w:val="0"/>
              <w:snapToGrid w:val="0"/>
              <w:rPr>
                <w:rFonts w:ascii="宋体" w:hAnsi="宋体" w:cs="宋体"/>
                <w:sz w:val="24"/>
                <w:highlight w:val="none"/>
              </w:rPr>
            </w:pPr>
          </w:p>
        </w:tc>
        <w:tc>
          <w:tcPr>
            <w:tcW w:w="1785" w:type="dxa"/>
            <w:vAlign w:val="center"/>
          </w:tcPr>
          <w:p>
            <w:pPr>
              <w:adjustRightInd w:val="0"/>
              <w:snapToGrid w:val="0"/>
              <w:rPr>
                <w:rFonts w:ascii="宋体" w:hAnsi="宋体" w:cs="宋体"/>
                <w:sz w:val="24"/>
                <w:highlight w:val="none"/>
              </w:rPr>
            </w:pPr>
          </w:p>
        </w:tc>
        <w:tc>
          <w:tcPr>
            <w:tcW w:w="1336" w:type="dxa"/>
            <w:vAlign w:val="center"/>
          </w:tcPr>
          <w:p>
            <w:pPr>
              <w:adjustRightInd w:val="0"/>
              <w:snapToGrid w:val="0"/>
              <w:jc w:val="center"/>
              <w:rPr>
                <w:rFonts w:ascii="宋体" w:hAnsi="宋体" w:cs="宋体"/>
                <w:sz w:val="24"/>
                <w:highlight w:val="none"/>
              </w:rPr>
            </w:pPr>
          </w:p>
        </w:tc>
        <w:tc>
          <w:tcPr>
            <w:tcW w:w="1995" w:type="dxa"/>
            <w:vAlign w:val="center"/>
          </w:tcPr>
          <w:p>
            <w:pPr>
              <w:adjustRightInd w:val="0"/>
              <w:snapToGrid w:val="0"/>
              <w:jc w:val="center"/>
              <w:rPr>
                <w:rFonts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855" w:type="dxa"/>
            <w:vMerge w:val="continue"/>
            <w:vAlign w:val="center"/>
          </w:tcPr>
          <w:p>
            <w:pPr>
              <w:adjustRightInd w:val="0"/>
              <w:snapToGrid w:val="0"/>
              <w:jc w:val="center"/>
              <w:rPr>
                <w:rFonts w:ascii="宋体" w:hAnsi="宋体" w:cs="宋体"/>
                <w:sz w:val="24"/>
                <w:highlight w:val="none"/>
              </w:rPr>
            </w:pPr>
          </w:p>
        </w:tc>
        <w:tc>
          <w:tcPr>
            <w:tcW w:w="2056" w:type="dxa"/>
            <w:vAlign w:val="center"/>
          </w:tcPr>
          <w:p>
            <w:pPr>
              <w:adjustRightInd w:val="0"/>
              <w:snapToGrid w:val="0"/>
              <w:rPr>
                <w:rFonts w:ascii="宋体" w:hAnsi="宋体" w:cs="宋体"/>
                <w:sz w:val="24"/>
                <w:highlight w:val="none"/>
              </w:rPr>
            </w:pPr>
          </w:p>
        </w:tc>
        <w:tc>
          <w:tcPr>
            <w:tcW w:w="1229" w:type="dxa"/>
            <w:vAlign w:val="center"/>
          </w:tcPr>
          <w:p>
            <w:pPr>
              <w:adjustRightInd w:val="0"/>
              <w:snapToGrid w:val="0"/>
              <w:rPr>
                <w:rFonts w:ascii="宋体" w:hAnsi="宋体" w:cs="宋体"/>
                <w:sz w:val="24"/>
                <w:highlight w:val="none"/>
              </w:rPr>
            </w:pPr>
          </w:p>
        </w:tc>
        <w:tc>
          <w:tcPr>
            <w:tcW w:w="1785" w:type="dxa"/>
            <w:vAlign w:val="center"/>
          </w:tcPr>
          <w:p>
            <w:pPr>
              <w:adjustRightInd w:val="0"/>
              <w:snapToGrid w:val="0"/>
              <w:rPr>
                <w:rFonts w:ascii="宋体" w:hAnsi="宋体" w:cs="宋体"/>
                <w:sz w:val="24"/>
                <w:highlight w:val="none"/>
              </w:rPr>
            </w:pPr>
          </w:p>
        </w:tc>
        <w:tc>
          <w:tcPr>
            <w:tcW w:w="1336" w:type="dxa"/>
            <w:vAlign w:val="center"/>
          </w:tcPr>
          <w:p>
            <w:pPr>
              <w:adjustRightInd w:val="0"/>
              <w:snapToGrid w:val="0"/>
              <w:jc w:val="center"/>
              <w:rPr>
                <w:rFonts w:ascii="宋体" w:hAnsi="宋体" w:cs="宋体"/>
                <w:sz w:val="24"/>
                <w:highlight w:val="none"/>
              </w:rPr>
            </w:pPr>
          </w:p>
        </w:tc>
        <w:tc>
          <w:tcPr>
            <w:tcW w:w="1995" w:type="dxa"/>
            <w:vAlign w:val="center"/>
          </w:tcPr>
          <w:p>
            <w:pPr>
              <w:adjustRightInd w:val="0"/>
              <w:snapToGrid w:val="0"/>
              <w:jc w:val="center"/>
              <w:rPr>
                <w:rFonts w:ascii="宋体" w:hAnsi="宋体" w:cs="宋体"/>
                <w:sz w:val="24"/>
                <w:highlight w:val="none"/>
              </w:rPr>
            </w:pPr>
          </w:p>
        </w:tc>
      </w:tr>
    </w:tbl>
    <w:p>
      <w:pPr>
        <w:spacing w:before="120" w:beforeLines="50" w:line="360" w:lineRule="auto"/>
        <w:ind w:firstLine="480" w:firstLineChars="200"/>
        <w:rPr>
          <w:rFonts w:ascii="宋体" w:hAnsi="宋体" w:cs="宋体"/>
          <w:sz w:val="24"/>
          <w:highlight w:val="none"/>
        </w:rPr>
      </w:pPr>
      <w:r>
        <w:rPr>
          <w:rFonts w:hint="eastAsia" w:ascii="宋体" w:hAnsi="宋体" w:cs="宋体"/>
          <w:sz w:val="24"/>
          <w:highlight w:val="none"/>
        </w:rPr>
        <w:t>注：“环境标志产品、节能产品”是在中国政府采购网发布的清单目录中的产品，须填写认证证书编号，并同时提供有效期内的证书复印件和中国政府采购网发布的清单目录（相应条款用颜色加粗标注）附后。</w:t>
      </w:r>
    </w:p>
    <w:p>
      <w:pPr>
        <w:rPr>
          <w:rFonts w:ascii="宋体" w:hAnsi="宋体" w:cs="宋体"/>
          <w:highlight w:val="none"/>
        </w:rPr>
      </w:pPr>
    </w:p>
    <w:p>
      <w:pPr>
        <w:adjustRightInd w:val="0"/>
        <w:snapToGrid w:val="0"/>
        <w:spacing w:before="72" w:after="72" w:line="360" w:lineRule="auto"/>
        <w:ind w:firstLine="2520" w:firstLineChars="1050"/>
        <w:rPr>
          <w:rFonts w:ascii="宋体" w:hAnsi="宋体" w:cs="宋体"/>
          <w:sz w:val="24"/>
          <w:highlight w:val="none"/>
          <w:u w:val="single"/>
        </w:rPr>
      </w:pPr>
      <w:r>
        <w:rPr>
          <w:rFonts w:hint="eastAsia" w:ascii="宋体" w:hAnsi="宋体" w:cs="宋体"/>
          <w:sz w:val="24"/>
          <w:highlight w:val="none"/>
        </w:rPr>
        <w:t>投标人名称（加盖公章）：</w:t>
      </w:r>
    </w:p>
    <w:p>
      <w:pPr>
        <w:adjustRightInd w:val="0"/>
        <w:snapToGrid w:val="0"/>
        <w:spacing w:before="72" w:after="72" w:line="360" w:lineRule="auto"/>
        <w:ind w:firstLine="2520" w:firstLineChars="1050"/>
        <w:rPr>
          <w:rFonts w:ascii="宋体" w:hAnsi="宋体" w:cs="宋体"/>
          <w:sz w:val="24"/>
          <w:highlight w:val="none"/>
          <w:u w:val="single"/>
        </w:rPr>
      </w:pPr>
      <w:r>
        <w:rPr>
          <w:rFonts w:hint="eastAsia" w:ascii="宋体" w:hAnsi="宋体" w:cs="宋体"/>
          <w:sz w:val="24"/>
          <w:highlight w:val="none"/>
        </w:rPr>
        <w:t>投标人法定代表人或其授权代表（签字或盖章）：</w:t>
      </w:r>
    </w:p>
    <w:p>
      <w:pPr>
        <w:spacing w:before="72" w:after="72" w:line="360" w:lineRule="auto"/>
        <w:ind w:firstLine="2520" w:firstLineChars="1050"/>
        <w:rPr>
          <w:rFonts w:ascii="宋体" w:hAnsi="宋体" w:cs="宋体"/>
          <w:sz w:val="24"/>
          <w:highlight w:val="none"/>
        </w:rPr>
        <w:sectPr>
          <w:pgSz w:w="11905" w:h="16838"/>
          <w:pgMar w:top="1803" w:right="1440" w:bottom="1803" w:left="1440" w:header="850" w:footer="822" w:gutter="0"/>
          <w:cols w:space="0" w:num="1"/>
          <w:docGrid w:linePitch="312" w:charSpace="0"/>
        </w:sectPr>
      </w:pPr>
      <w:r>
        <w:rPr>
          <w:rFonts w:hint="eastAsia" w:ascii="宋体" w:hAnsi="宋体" w:cs="宋体"/>
          <w:sz w:val="24"/>
          <w:highlight w:val="none"/>
        </w:rPr>
        <w:t>日期：   年   月   日</w:t>
      </w:r>
    </w:p>
    <w:p>
      <w:pPr>
        <w:pStyle w:val="4"/>
        <w:numPr>
          <w:ilvl w:val="0"/>
          <w:numId w:val="177"/>
        </w:numPr>
        <w:spacing w:before="0" w:after="0" w:line="360" w:lineRule="auto"/>
        <w:jc w:val="center"/>
        <w:rPr>
          <w:highlight w:val="none"/>
          <w:lang w:val="en-GB"/>
        </w:rPr>
      </w:pPr>
      <w:bookmarkStart w:id="728" w:name="_Toc10091"/>
      <w:bookmarkStart w:id="729" w:name="_Toc32037"/>
      <w:bookmarkStart w:id="730" w:name="_Toc19500"/>
      <w:bookmarkStart w:id="731" w:name="_Toc895"/>
      <w:bookmarkStart w:id="732" w:name="_Toc28398"/>
      <w:r>
        <w:rPr>
          <w:rFonts w:hint="eastAsia"/>
          <w:highlight w:val="none"/>
          <w:lang w:val="en-GB"/>
        </w:rPr>
        <w:t>贫困地区农副产品情况（如有）</w:t>
      </w:r>
      <w:bookmarkEnd w:id="728"/>
      <w:bookmarkEnd w:id="729"/>
      <w:bookmarkEnd w:id="730"/>
      <w:bookmarkEnd w:id="731"/>
      <w:bookmarkEnd w:id="732"/>
    </w:p>
    <w:tbl>
      <w:tblPr>
        <w:tblStyle w:val="29"/>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913"/>
        <w:gridCol w:w="571"/>
        <w:gridCol w:w="678"/>
        <w:gridCol w:w="998"/>
        <w:gridCol w:w="1512"/>
        <w:gridCol w:w="1697"/>
        <w:gridCol w:w="1309"/>
        <w:gridCol w:w="156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622" w:hRule="atLeast"/>
          <w:jc w:val="center"/>
        </w:trPr>
        <w:tc>
          <w:tcPr>
            <w:tcW w:w="494"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bookmarkStart w:id="733" w:name="_Hlk25074279"/>
            <w:r>
              <w:rPr>
                <w:rFonts w:hint="eastAsia" w:ascii="宋体" w:hAnsi="宋体"/>
                <w:b/>
                <w:sz w:val="24"/>
                <w:highlight w:val="none"/>
                <w:lang w:val="en-GB"/>
              </w:rPr>
              <w:t>类别</w:t>
            </w:r>
          </w:p>
        </w:tc>
        <w:tc>
          <w:tcPr>
            <w:tcW w:w="309"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省</w:t>
            </w:r>
          </w:p>
        </w:tc>
        <w:tc>
          <w:tcPr>
            <w:tcW w:w="367"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市</w:t>
            </w:r>
          </w:p>
        </w:tc>
        <w:tc>
          <w:tcPr>
            <w:tcW w:w="540"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县</w:t>
            </w:r>
          </w:p>
        </w:tc>
        <w:tc>
          <w:tcPr>
            <w:tcW w:w="818"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供应商名称</w:t>
            </w:r>
          </w:p>
        </w:tc>
        <w:tc>
          <w:tcPr>
            <w:tcW w:w="918"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产品品类</w:t>
            </w:r>
          </w:p>
        </w:tc>
        <w:tc>
          <w:tcPr>
            <w:tcW w:w="708"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产品名称</w:t>
            </w:r>
          </w:p>
        </w:tc>
        <w:tc>
          <w:tcPr>
            <w:tcW w:w="842" w:type="pct"/>
            <w:tcBorders>
              <w:top w:val="single" w:color="auto" w:sz="4" w:space="0"/>
              <w:left w:val="single" w:color="auto" w:sz="4" w:space="0"/>
              <w:bottom w:val="single" w:color="auto" w:sz="4" w:space="0"/>
              <w:right w:val="single" w:color="auto" w:sz="4" w:space="0"/>
            </w:tcBorders>
            <w:shd w:val="clear" w:color="auto" w:fill="D7D7D7"/>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所投农副产品金额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494" w:type="pct"/>
            <w:vMerge w:val="restart"/>
            <w:tcBorders>
              <w:top w:val="single" w:color="auto" w:sz="4" w:space="0"/>
              <w:left w:val="single" w:color="auto" w:sz="4" w:space="0"/>
              <w:bottom w:val="single" w:color="auto" w:sz="4" w:space="0"/>
              <w:right w:val="single" w:color="auto" w:sz="4" w:space="0"/>
            </w:tcBorders>
            <w:vAlign w:val="center"/>
          </w:tcPr>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农副</w:t>
            </w:r>
          </w:p>
          <w:p>
            <w:pPr>
              <w:tabs>
                <w:tab w:val="left" w:pos="1260"/>
              </w:tabs>
              <w:ind w:left="-86" w:leftChars="-41" w:right="-71" w:rightChars="-34"/>
              <w:jc w:val="center"/>
              <w:rPr>
                <w:rFonts w:ascii="宋体" w:hAnsi="宋体"/>
                <w:b/>
                <w:sz w:val="24"/>
                <w:highlight w:val="none"/>
                <w:lang w:val="en-GB"/>
              </w:rPr>
            </w:pPr>
            <w:r>
              <w:rPr>
                <w:rFonts w:hint="eastAsia" w:ascii="宋体" w:hAnsi="宋体"/>
                <w:b/>
                <w:sz w:val="24"/>
                <w:highlight w:val="none"/>
                <w:lang w:val="en-GB"/>
              </w:rPr>
              <w:t>产品</w:t>
            </w:r>
          </w:p>
        </w:tc>
        <w:tc>
          <w:tcPr>
            <w:tcW w:w="309"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367"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540"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818"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918"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842"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5" w:hRule="atLeast"/>
          <w:jc w:val="center"/>
        </w:trPr>
        <w:tc>
          <w:tcPr>
            <w:tcW w:w="494" w:type="pct"/>
            <w:vMerge w:val="continue"/>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b/>
                <w:sz w:val="24"/>
                <w:highlight w:val="none"/>
                <w:lang w:val="en-GB"/>
              </w:rPr>
            </w:pPr>
          </w:p>
        </w:tc>
        <w:tc>
          <w:tcPr>
            <w:tcW w:w="309"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367"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540"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818"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918"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708"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c>
          <w:tcPr>
            <w:tcW w:w="842" w:type="pct"/>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sz w:val="24"/>
                <w:highlight w:val="none"/>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62" w:hRule="atLeast"/>
          <w:jc w:val="center"/>
        </w:trPr>
        <w:tc>
          <w:tcPr>
            <w:tcW w:w="494" w:type="pct"/>
            <w:vMerge w:val="continue"/>
            <w:tcBorders>
              <w:top w:val="single" w:color="auto" w:sz="4" w:space="0"/>
              <w:left w:val="single" w:color="auto" w:sz="4" w:space="0"/>
              <w:bottom w:val="single" w:color="auto" w:sz="4" w:space="0"/>
              <w:right w:val="single" w:color="auto" w:sz="4" w:space="0"/>
            </w:tcBorders>
            <w:vAlign w:val="center"/>
          </w:tcPr>
          <w:p>
            <w:pPr>
              <w:tabs>
                <w:tab w:val="left" w:pos="1260"/>
              </w:tabs>
              <w:jc w:val="center"/>
              <w:rPr>
                <w:rFonts w:ascii="宋体" w:hAnsi="宋体"/>
                <w:b/>
                <w:sz w:val="24"/>
                <w:highlight w:val="none"/>
                <w:lang w:val="en-GB"/>
              </w:rPr>
            </w:pPr>
          </w:p>
        </w:tc>
        <w:tc>
          <w:tcPr>
            <w:tcW w:w="4505" w:type="pct"/>
            <w:gridSpan w:val="7"/>
            <w:tcBorders>
              <w:top w:val="single" w:color="auto" w:sz="4" w:space="0"/>
              <w:left w:val="single" w:color="auto" w:sz="4" w:space="0"/>
              <w:bottom w:val="single" w:color="auto" w:sz="4" w:space="0"/>
              <w:right w:val="single" w:color="auto" w:sz="4" w:space="0"/>
            </w:tcBorders>
            <w:vAlign w:val="center"/>
          </w:tcPr>
          <w:p>
            <w:pPr>
              <w:tabs>
                <w:tab w:val="left" w:pos="1260"/>
              </w:tabs>
              <w:jc w:val="left"/>
              <w:rPr>
                <w:rFonts w:ascii="宋体" w:hAnsi="宋体"/>
                <w:b/>
                <w:bCs/>
                <w:sz w:val="24"/>
                <w:highlight w:val="none"/>
                <w:u w:val="single"/>
                <w:lang w:val="en-GB"/>
              </w:rPr>
            </w:pPr>
            <w:r>
              <w:rPr>
                <w:rFonts w:hint="eastAsia" w:ascii="宋体" w:hAnsi="宋体"/>
                <w:b/>
                <w:sz w:val="24"/>
                <w:highlight w:val="none"/>
                <w:lang w:val="en-GB"/>
              </w:rPr>
              <w:t>农副产品</w:t>
            </w:r>
            <w:r>
              <w:rPr>
                <w:rFonts w:hint="eastAsia" w:ascii="宋体" w:hAnsi="宋体"/>
                <w:b/>
                <w:bCs/>
                <w:sz w:val="24"/>
                <w:highlight w:val="none"/>
                <w:lang w:val="en-GB"/>
              </w:rPr>
              <w:t xml:space="preserve">总金额： </w:t>
            </w:r>
            <w:r>
              <w:rPr>
                <w:rFonts w:ascii="宋体" w:hAnsi="宋体"/>
                <w:b/>
                <w:bCs/>
                <w:sz w:val="24"/>
                <w:highlight w:val="none"/>
                <w:u w:val="single"/>
                <w:lang w:val="en-GB"/>
              </w:rPr>
              <w:t xml:space="preserve">                      </w:t>
            </w:r>
          </w:p>
          <w:p>
            <w:pPr>
              <w:tabs>
                <w:tab w:val="left" w:pos="1260"/>
              </w:tabs>
              <w:jc w:val="left"/>
              <w:rPr>
                <w:rFonts w:ascii="宋体" w:hAnsi="宋体"/>
                <w:b/>
                <w:bCs/>
                <w:sz w:val="24"/>
                <w:highlight w:val="none"/>
                <w:lang w:val="en-GB"/>
              </w:rPr>
            </w:pPr>
            <w:r>
              <w:rPr>
                <w:rFonts w:ascii="宋体" w:hAnsi="宋体"/>
                <w:b/>
                <w:bCs/>
                <w:sz w:val="24"/>
                <w:highlight w:val="none"/>
                <w:lang w:val="en-GB"/>
              </w:rPr>
              <w:t xml:space="preserve">   </w:t>
            </w:r>
            <w:r>
              <w:rPr>
                <w:rFonts w:hint="eastAsia" w:ascii="宋体" w:hAnsi="宋体"/>
                <w:b/>
                <w:bCs/>
                <w:sz w:val="24"/>
                <w:highlight w:val="none"/>
                <w:lang w:val="en-GB"/>
              </w:rPr>
              <w:t xml:space="preserve"> </w:t>
            </w:r>
            <w:r>
              <w:rPr>
                <w:rFonts w:ascii="宋体" w:hAnsi="宋体"/>
                <w:b/>
                <w:bCs/>
                <w:sz w:val="24"/>
                <w:highlight w:val="none"/>
                <w:lang w:val="en-GB"/>
              </w:rPr>
              <w:t xml:space="preserve"> </w:t>
            </w:r>
          </w:p>
          <w:p>
            <w:pPr>
              <w:tabs>
                <w:tab w:val="left" w:pos="1260"/>
              </w:tabs>
              <w:jc w:val="left"/>
              <w:rPr>
                <w:rFonts w:ascii="宋体" w:hAnsi="宋体"/>
                <w:sz w:val="24"/>
                <w:highlight w:val="none"/>
                <w:lang w:val="en-GB"/>
              </w:rPr>
            </w:pPr>
            <w:r>
              <w:rPr>
                <w:rFonts w:hint="eastAsia" w:ascii="宋体" w:hAnsi="宋体"/>
                <w:b/>
                <w:sz w:val="24"/>
                <w:highlight w:val="none"/>
                <w:lang w:val="en-GB"/>
              </w:rPr>
              <w:t>农副产品金额占总投标报价比重：</w:t>
            </w:r>
            <w:r>
              <w:rPr>
                <w:rFonts w:ascii="宋体" w:hAnsi="宋体"/>
                <w:b/>
                <w:bCs/>
                <w:sz w:val="24"/>
                <w:highlight w:val="none"/>
                <w:u w:val="single"/>
                <w:lang w:val="en-GB"/>
              </w:rPr>
              <w:t xml:space="preserve">              </w:t>
            </w:r>
            <w:r>
              <w:rPr>
                <w:rFonts w:ascii="宋体" w:hAnsi="宋体"/>
                <w:b/>
                <w:sz w:val="24"/>
                <w:highlight w:val="none"/>
                <w:lang w:val="en-GB"/>
              </w:rPr>
              <w:t xml:space="preserve"> </w:t>
            </w:r>
            <w:r>
              <w:rPr>
                <w:rFonts w:hint="eastAsia" w:ascii="宋体" w:hAnsi="宋体"/>
                <w:b/>
                <w:sz w:val="24"/>
                <w:highlight w:val="none"/>
                <w:lang w:val="en-GB"/>
              </w:rPr>
              <w:t>%</w:t>
            </w:r>
            <w:r>
              <w:rPr>
                <w:rFonts w:ascii="宋体" w:hAnsi="宋体"/>
                <w:b/>
                <w:sz w:val="24"/>
                <w:highlight w:val="none"/>
                <w:lang w:val="en-GB"/>
              </w:rPr>
              <w:t xml:space="preserve">    </w:t>
            </w:r>
          </w:p>
        </w:tc>
      </w:tr>
      <w:bookmarkEnd w:id="733"/>
    </w:tbl>
    <w:p>
      <w:pPr>
        <w:autoSpaceDE w:val="0"/>
        <w:autoSpaceDN w:val="0"/>
        <w:jc w:val="left"/>
        <w:rPr>
          <w:rFonts w:ascii="宋体" w:hAnsi="宋体"/>
          <w:sz w:val="24"/>
          <w:highlight w:val="none"/>
          <w:lang w:val="en-GB"/>
        </w:rPr>
      </w:pPr>
    </w:p>
    <w:p>
      <w:pPr>
        <w:spacing w:before="120" w:beforeLines="50" w:line="360" w:lineRule="auto"/>
        <w:ind w:firstLine="480" w:firstLineChars="200"/>
        <w:rPr>
          <w:rFonts w:ascii="宋体" w:hAnsi="宋体" w:cs="宋体"/>
          <w:sz w:val="24"/>
          <w:highlight w:val="none"/>
        </w:rPr>
      </w:pPr>
      <w:r>
        <w:rPr>
          <w:rFonts w:hint="eastAsia" w:ascii="宋体" w:hAnsi="宋体" w:cs="宋体"/>
          <w:sz w:val="24"/>
          <w:highlight w:val="none"/>
          <w:lang w:val="en-GB"/>
        </w:rPr>
        <w:t>说明：投标人</w:t>
      </w:r>
      <w:r>
        <w:rPr>
          <w:rFonts w:hint="eastAsia" w:ascii="宋体" w:hAnsi="宋体" w:cs="宋体"/>
          <w:sz w:val="24"/>
          <w:highlight w:val="none"/>
        </w:rPr>
        <w:t>所投产品属于注册地在832个国家级贫困县域内的供应商，须提供属于《国家级贫困县重点扶贫产品供应商名录》的证明材料并加盖投标人公章。如所投产品属于《国家级贫困县重点扶贫产品供应商名录》中供应商的产品，应同时提供合作协议（或授权函）和该供应商属于《国家级贫困县重点扶贫产品供应商名录》的证明材料并加盖投标人公章。</w:t>
      </w:r>
    </w:p>
    <w:p>
      <w:pPr>
        <w:pStyle w:val="4"/>
        <w:numPr>
          <w:ilvl w:val="0"/>
          <w:numId w:val="180"/>
        </w:numPr>
        <w:jc w:val="center"/>
        <w:rPr>
          <w:sz w:val="24"/>
          <w:szCs w:val="24"/>
          <w:highlight w:val="none"/>
          <w:lang w:val="en-GB"/>
        </w:rPr>
        <w:sectPr>
          <w:pgSz w:w="11905" w:h="16838"/>
          <w:pgMar w:top="1803" w:right="1440" w:bottom="1803" w:left="1440" w:header="850" w:footer="822" w:gutter="0"/>
          <w:cols w:space="0" w:num="1"/>
          <w:docGrid w:linePitch="312" w:charSpace="0"/>
        </w:sectPr>
      </w:pPr>
    </w:p>
    <w:p>
      <w:pPr>
        <w:pStyle w:val="24"/>
        <w:snapToGrid w:val="0"/>
        <w:spacing w:before="0" w:beforeAutospacing="0" w:after="0" w:afterAutospacing="0" w:line="360" w:lineRule="auto"/>
        <w:jc w:val="both"/>
        <w:rPr>
          <w:b/>
          <w:bCs/>
          <w:szCs w:val="21"/>
          <w:highlight w:val="none"/>
        </w:rPr>
      </w:pPr>
      <w:r>
        <w:rPr>
          <w:rFonts w:hint="eastAsia"/>
          <w:b/>
          <w:bCs/>
          <w:szCs w:val="21"/>
          <w:highlight w:val="none"/>
        </w:rPr>
        <w:t>附件（</w:t>
      </w:r>
      <w:r>
        <w:rPr>
          <w:rFonts w:hint="eastAsia"/>
          <w:b/>
          <w:szCs w:val="21"/>
          <w:highlight w:val="none"/>
        </w:rPr>
        <w:t>以下格式为投标供应商提交询问函、质疑函、投诉函时使用，不属于投标文件格式的组成部分</w:t>
      </w:r>
      <w:r>
        <w:rPr>
          <w:rFonts w:hint="eastAsia"/>
          <w:b/>
          <w:bCs/>
          <w:szCs w:val="21"/>
          <w:highlight w:val="none"/>
        </w:rPr>
        <w:t>）</w:t>
      </w:r>
    </w:p>
    <w:p>
      <w:pPr>
        <w:pStyle w:val="24"/>
        <w:snapToGrid w:val="0"/>
        <w:spacing w:before="0" w:beforeAutospacing="0" w:after="0" w:afterAutospacing="0" w:line="360" w:lineRule="auto"/>
        <w:jc w:val="both"/>
        <w:rPr>
          <w:szCs w:val="21"/>
          <w:highlight w:val="none"/>
        </w:rPr>
      </w:pPr>
    </w:p>
    <w:p>
      <w:pPr>
        <w:spacing w:line="360" w:lineRule="auto"/>
        <w:jc w:val="center"/>
        <w:rPr>
          <w:rFonts w:ascii="宋体" w:hAnsi="宋体"/>
          <w:b/>
          <w:sz w:val="24"/>
          <w:highlight w:val="none"/>
        </w:rPr>
      </w:pPr>
      <w:r>
        <w:rPr>
          <w:rFonts w:hint="eastAsia" w:ascii="宋体" w:hAnsi="宋体"/>
          <w:b/>
          <w:sz w:val="24"/>
          <w:highlight w:val="none"/>
        </w:rPr>
        <w:t>询问函、质疑函、投诉书格式</w:t>
      </w:r>
    </w:p>
    <w:p>
      <w:pPr>
        <w:pStyle w:val="24"/>
        <w:numPr>
          <w:ilvl w:val="0"/>
          <w:numId w:val="181"/>
        </w:numPr>
        <w:snapToGrid w:val="0"/>
        <w:spacing w:before="0" w:beforeAutospacing="0" w:after="0" w:afterAutospacing="0" w:line="360" w:lineRule="auto"/>
        <w:jc w:val="both"/>
        <w:rPr>
          <w:b/>
          <w:bCs/>
          <w:highlight w:val="none"/>
        </w:rPr>
      </w:pPr>
      <w:r>
        <w:rPr>
          <w:rFonts w:hint="eastAsia"/>
          <w:b/>
          <w:bCs/>
          <w:highlight w:val="none"/>
        </w:rPr>
        <w:t>询问函格式</w:t>
      </w:r>
    </w:p>
    <w:p>
      <w:pPr>
        <w:pStyle w:val="24"/>
        <w:spacing w:before="0" w:beforeAutospacing="0" w:after="0" w:afterAutospacing="0" w:line="360" w:lineRule="auto"/>
        <w:jc w:val="center"/>
        <w:rPr>
          <w:rStyle w:val="32"/>
          <w:rFonts w:ascii="宋体" w:hAnsi="宋体" w:cs="宋体"/>
          <w:bCs w:val="0"/>
          <w:highlight w:val="none"/>
        </w:rPr>
      </w:pPr>
      <w:r>
        <w:rPr>
          <w:rStyle w:val="32"/>
          <w:rFonts w:hint="eastAsia" w:ascii="宋体" w:hAnsi="宋体" w:cs="宋体"/>
          <w:bCs w:val="0"/>
          <w:highlight w:val="none"/>
        </w:rPr>
        <w:t>询问函</w:t>
      </w:r>
    </w:p>
    <w:p>
      <w:pPr>
        <w:widowControl/>
        <w:tabs>
          <w:tab w:val="left" w:pos="6300"/>
        </w:tabs>
        <w:adjustRightInd w:val="0"/>
        <w:snapToGrid w:val="0"/>
        <w:spacing w:line="360" w:lineRule="auto"/>
        <w:jc w:val="left"/>
        <w:rPr>
          <w:rFonts w:ascii="宋体" w:hAnsi="宋体" w:cs="宋体"/>
          <w:b/>
          <w:bCs/>
          <w:highlight w:val="none"/>
        </w:rPr>
      </w:pPr>
      <w:r>
        <w:rPr>
          <w:rFonts w:hint="eastAsia" w:ascii="宋体" w:hAnsi="宋体" w:cs="宋体"/>
          <w:b/>
          <w:bCs/>
          <w:sz w:val="24"/>
          <w:highlight w:val="none"/>
        </w:rPr>
        <w:t>广东有德招标采购有限公司：</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我单位已报名并准备参与</w:t>
      </w:r>
      <w:r>
        <w:rPr>
          <w:rFonts w:hint="eastAsia" w:ascii="宋体" w:hAnsi="宋体" w:cs="宋体"/>
          <w:i/>
          <w:sz w:val="24"/>
          <w:highlight w:val="none"/>
          <w:u w:val="single"/>
        </w:rPr>
        <w:t>（项目名称）</w:t>
      </w:r>
      <w:r>
        <w:rPr>
          <w:rFonts w:hint="eastAsia" w:ascii="宋体" w:hAnsi="宋体" w:cs="宋体"/>
          <w:sz w:val="24"/>
          <w:highlight w:val="none"/>
        </w:rPr>
        <w:t>项目（项目编号：</w:t>
      </w:r>
      <w:r>
        <w:rPr>
          <w:rFonts w:hint="eastAsia" w:ascii="宋体" w:hAnsi="宋体" w:cs="宋体"/>
          <w:sz w:val="24"/>
          <w:highlight w:val="none"/>
          <w:u w:val="single"/>
        </w:rPr>
        <w:t xml:space="preserve">     </w:t>
      </w:r>
      <w:r>
        <w:rPr>
          <w:rFonts w:hint="eastAsia" w:ascii="宋体" w:hAnsi="宋体" w:cs="宋体"/>
          <w:sz w:val="24"/>
          <w:highlight w:val="none"/>
        </w:rPr>
        <w:t>）的投标（或报价）活动，现有以下几个内容（或条款）存在疑问（或无法理解），特提出询问。</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一、_____________________（事项一）</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（1）____________________（问题或条款内容）</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（2）____________________（说明疑问或无法理解原因）</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（3）____________________（建议）</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二、_____________________（事项二）</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w:t>
      </w:r>
    </w:p>
    <w:p>
      <w:pPr>
        <w:widowControl/>
        <w:tabs>
          <w:tab w:val="left" w:pos="6300"/>
        </w:tabs>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随附相关证明材料如下：（目录）。</w:t>
      </w:r>
    </w:p>
    <w:p>
      <w:pPr>
        <w:widowControl/>
        <w:tabs>
          <w:tab w:val="left" w:pos="6300"/>
        </w:tabs>
        <w:adjustRightInd w:val="0"/>
        <w:snapToGrid w:val="0"/>
        <w:spacing w:line="360" w:lineRule="auto"/>
        <w:ind w:firstLine="1440" w:firstLineChars="600"/>
        <w:jc w:val="left"/>
        <w:rPr>
          <w:rFonts w:ascii="宋体" w:hAnsi="宋体" w:cs="宋体"/>
          <w:sz w:val="24"/>
          <w:highlight w:val="none"/>
        </w:rPr>
      </w:pPr>
      <w:r>
        <w:rPr>
          <w:rFonts w:hint="eastAsia" w:ascii="宋体" w:hAnsi="宋体" w:cs="宋体"/>
          <w:sz w:val="24"/>
          <w:highlight w:val="none"/>
        </w:rPr>
        <w:t>询问人：（公章）</w:t>
      </w:r>
    </w:p>
    <w:p>
      <w:pPr>
        <w:widowControl/>
        <w:tabs>
          <w:tab w:val="left" w:pos="6300"/>
        </w:tabs>
        <w:adjustRightInd w:val="0"/>
        <w:snapToGrid w:val="0"/>
        <w:spacing w:line="360" w:lineRule="auto"/>
        <w:ind w:firstLine="1440" w:firstLineChars="600"/>
        <w:jc w:val="left"/>
        <w:rPr>
          <w:rFonts w:ascii="宋体" w:hAnsi="宋体" w:cs="宋体"/>
          <w:sz w:val="24"/>
          <w:highlight w:val="none"/>
        </w:rPr>
      </w:pPr>
      <w:r>
        <w:rPr>
          <w:rFonts w:hint="eastAsia" w:ascii="宋体" w:hAnsi="宋体" w:cs="宋体"/>
          <w:sz w:val="24"/>
          <w:highlight w:val="none"/>
        </w:rPr>
        <w:t>法定代表人（授权代表）：</w:t>
      </w:r>
    </w:p>
    <w:p>
      <w:pPr>
        <w:tabs>
          <w:tab w:val="left" w:pos="6300"/>
        </w:tabs>
        <w:adjustRightInd w:val="0"/>
        <w:snapToGrid w:val="0"/>
        <w:spacing w:line="360" w:lineRule="auto"/>
        <w:ind w:firstLine="1440" w:firstLineChars="600"/>
        <w:jc w:val="left"/>
        <w:rPr>
          <w:rFonts w:ascii="宋体" w:hAnsi="宋体" w:cs="宋体"/>
          <w:sz w:val="24"/>
          <w:highlight w:val="none"/>
        </w:rPr>
      </w:pPr>
      <w:r>
        <w:rPr>
          <w:rFonts w:hint="eastAsia" w:ascii="宋体" w:hAnsi="宋体" w:cs="宋体"/>
          <w:sz w:val="24"/>
          <w:highlight w:val="none"/>
        </w:rPr>
        <w:t>地址/邮编：</w:t>
      </w:r>
    </w:p>
    <w:p>
      <w:pPr>
        <w:tabs>
          <w:tab w:val="left" w:pos="6300"/>
        </w:tabs>
        <w:adjustRightInd w:val="0"/>
        <w:snapToGrid w:val="0"/>
        <w:spacing w:line="360" w:lineRule="auto"/>
        <w:ind w:firstLine="1440" w:firstLineChars="600"/>
        <w:jc w:val="left"/>
        <w:rPr>
          <w:rFonts w:ascii="宋体" w:hAnsi="宋体" w:cs="宋体"/>
          <w:sz w:val="24"/>
          <w:highlight w:val="none"/>
        </w:rPr>
      </w:pPr>
      <w:r>
        <w:rPr>
          <w:rFonts w:hint="eastAsia" w:ascii="宋体" w:hAnsi="宋体" w:cs="宋体"/>
          <w:sz w:val="24"/>
          <w:highlight w:val="none"/>
        </w:rPr>
        <w:t>电话/传真：</w:t>
      </w:r>
    </w:p>
    <w:p>
      <w:pPr>
        <w:adjustRightInd w:val="0"/>
        <w:snapToGrid w:val="0"/>
        <w:spacing w:line="360" w:lineRule="auto"/>
        <w:jc w:val="right"/>
        <w:rPr>
          <w:rFonts w:ascii="宋体" w:hAnsi="宋体" w:cs="宋体"/>
          <w:sz w:val="24"/>
          <w:highlight w:val="none"/>
        </w:rPr>
      </w:pP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w:t>
      </w:r>
    </w:p>
    <w:p>
      <w:pPr>
        <w:snapToGrid w:val="0"/>
        <w:spacing w:line="360" w:lineRule="auto"/>
        <w:ind w:firstLine="432" w:firstLineChars="180"/>
        <w:rPr>
          <w:rFonts w:ascii="仿宋_GB2312" w:eastAsia="仿宋_GB2312"/>
          <w:sz w:val="24"/>
          <w:highlight w:val="none"/>
        </w:rPr>
      </w:pPr>
    </w:p>
    <w:p>
      <w:pPr>
        <w:pStyle w:val="24"/>
        <w:numPr>
          <w:ilvl w:val="0"/>
          <w:numId w:val="182"/>
        </w:numPr>
        <w:adjustRightInd w:val="0"/>
        <w:snapToGrid w:val="0"/>
        <w:spacing w:before="0" w:beforeAutospacing="0" w:after="0" w:afterAutospacing="0" w:line="360" w:lineRule="auto"/>
        <w:jc w:val="both"/>
        <w:rPr>
          <w:highlight w:val="none"/>
        </w:rPr>
      </w:pPr>
      <w:r>
        <w:rPr>
          <w:rFonts w:hint="eastAsia" w:ascii="仿宋_GB2312" w:eastAsia="仿宋_GB2312"/>
          <w:highlight w:val="none"/>
        </w:rPr>
        <w:br w:type="page"/>
      </w:r>
      <w:r>
        <w:rPr>
          <w:rFonts w:hint="eastAsia"/>
          <w:b/>
          <w:bCs/>
          <w:highlight w:val="none"/>
        </w:rPr>
        <w:t>质疑函格式</w:t>
      </w:r>
    </w:p>
    <w:p>
      <w:pPr>
        <w:pStyle w:val="24"/>
        <w:spacing w:before="0" w:beforeAutospacing="0" w:after="0" w:afterAutospacing="0" w:line="360" w:lineRule="auto"/>
        <w:jc w:val="center"/>
        <w:rPr>
          <w:rStyle w:val="32"/>
          <w:rFonts w:ascii="宋体" w:hAnsi="宋体" w:cs="宋体"/>
          <w:bCs w:val="0"/>
          <w:highlight w:val="none"/>
        </w:rPr>
      </w:pPr>
      <w:r>
        <w:rPr>
          <w:rStyle w:val="32"/>
          <w:rFonts w:hint="eastAsia" w:ascii="宋体" w:hAnsi="宋体" w:cs="宋体"/>
          <w:bCs w:val="0"/>
          <w:highlight w:val="none"/>
        </w:rPr>
        <w:t>质疑函</w:t>
      </w:r>
    </w:p>
    <w:p>
      <w:pPr>
        <w:numPr>
          <w:ilvl w:val="0"/>
          <w:numId w:val="183"/>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质疑供应商基本信息</w:t>
      </w:r>
    </w:p>
    <w:p>
      <w:pPr>
        <w:adjustRightInd w:val="0"/>
        <w:snapToGrid w:val="0"/>
        <w:spacing w:line="360" w:lineRule="auto"/>
        <w:ind w:firstLine="878" w:firstLineChars="366"/>
        <w:rPr>
          <w:rFonts w:ascii="宋体" w:hAnsi="宋体" w:cs="宋体"/>
          <w:sz w:val="24"/>
          <w:highlight w:val="none"/>
          <w:u w:val="dotted"/>
        </w:rPr>
      </w:pPr>
      <w:r>
        <w:rPr>
          <w:rFonts w:hint="eastAsia" w:ascii="宋体" w:hAnsi="宋体" w:cs="宋体"/>
          <w:sz w:val="24"/>
          <w:highlight w:val="none"/>
        </w:rPr>
        <w:t>质疑供应商：</w:t>
      </w:r>
      <w:r>
        <w:rPr>
          <w:rFonts w:hint="eastAsia" w:ascii="宋体" w:hAnsi="宋体" w:cs="宋体"/>
          <w:sz w:val="24"/>
          <w:highlight w:val="none"/>
          <w:u w:val="single"/>
        </w:rPr>
        <w:t xml:space="preserve">                                        </w:t>
      </w:r>
    </w:p>
    <w:p>
      <w:pPr>
        <w:adjustRightInd w:val="0"/>
        <w:snapToGrid w:val="0"/>
        <w:spacing w:line="360" w:lineRule="auto"/>
        <w:ind w:firstLine="878" w:firstLineChars="366"/>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adjustRightInd w:val="0"/>
        <w:snapToGrid w:val="0"/>
        <w:spacing w:line="360" w:lineRule="auto"/>
        <w:ind w:firstLine="878" w:firstLineChars="366"/>
        <w:rPr>
          <w:rFonts w:ascii="宋体" w:hAnsi="宋体" w:cs="宋体"/>
          <w:sz w:val="24"/>
          <w:highlight w:val="none"/>
        </w:rPr>
      </w:pP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adjustRightInd w:val="0"/>
        <w:snapToGrid w:val="0"/>
        <w:spacing w:line="360" w:lineRule="auto"/>
        <w:ind w:firstLine="878" w:firstLineChars="366"/>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single"/>
        </w:rPr>
        <w:t xml:space="preserve">                         </w:t>
      </w:r>
    </w:p>
    <w:p>
      <w:pPr>
        <w:adjustRightInd w:val="0"/>
        <w:snapToGrid w:val="0"/>
        <w:spacing w:line="360" w:lineRule="auto"/>
        <w:ind w:firstLine="878" w:firstLineChars="366"/>
        <w:rPr>
          <w:rFonts w:ascii="宋体" w:hAnsi="宋体" w:cs="宋体"/>
          <w:sz w:val="24"/>
          <w:highlight w:val="none"/>
        </w:rPr>
      </w:pPr>
      <w:r>
        <w:rPr>
          <w:rFonts w:hint="eastAsia" w:ascii="宋体" w:hAnsi="宋体" w:cs="宋体"/>
          <w:sz w:val="24"/>
          <w:highlight w:val="none"/>
        </w:rPr>
        <w:t>联系电话：</w:t>
      </w:r>
      <w:r>
        <w:rPr>
          <w:rFonts w:hint="eastAsia" w:ascii="宋体" w:hAnsi="宋体" w:cs="宋体"/>
          <w:sz w:val="24"/>
          <w:highlight w:val="none"/>
          <w:u w:val="single"/>
        </w:rPr>
        <w:t xml:space="preserve">                         </w:t>
      </w:r>
    </w:p>
    <w:p>
      <w:pPr>
        <w:adjustRightInd w:val="0"/>
        <w:snapToGrid w:val="0"/>
        <w:spacing w:line="360" w:lineRule="auto"/>
        <w:ind w:firstLine="878" w:firstLineChars="366"/>
        <w:rPr>
          <w:rFonts w:ascii="宋体" w:hAnsi="宋体" w:cs="宋体"/>
          <w:sz w:val="24"/>
          <w:highlight w:val="none"/>
        </w:rPr>
      </w:pPr>
      <w:r>
        <w:rPr>
          <w:rFonts w:hint="eastAsia" w:ascii="宋体" w:hAnsi="宋体" w:cs="宋体"/>
          <w:sz w:val="24"/>
          <w:highlight w:val="none"/>
        </w:rPr>
        <w:t>地址：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numPr>
          <w:ilvl w:val="0"/>
          <w:numId w:val="183"/>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质疑项目基本情况</w:t>
      </w:r>
    </w:p>
    <w:p>
      <w:pPr>
        <w:adjustRightInd w:val="0"/>
        <w:snapToGrid w:val="0"/>
        <w:spacing w:line="360" w:lineRule="auto"/>
        <w:ind w:left="859" w:leftChars="409"/>
        <w:rPr>
          <w:rFonts w:ascii="宋体" w:hAnsi="宋体" w:cs="宋体"/>
          <w:sz w:val="24"/>
          <w:highlight w:val="none"/>
        </w:rPr>
      </w:pPr>
      <w:r>
        <w:rPr>
          <w:rFonts w:hint="eastAsia" w:ascii="宋体" w:hAnsi="宋体" w:cs="宋体"/>
          <w:sz w:val="24"/>
          <w:highlight w:val="none"/>
        </w:rPr>
        <w:t>质疑项目的名称：</w:t>
      </w:r>
      <w:r>
        <w:rPr>
          <w:rFonts w:hint="eastAsia" w:ascii="宋体" w:hAnsi="宋体" w:cs="宋体"/>
          <w:sz w:val="24"/>
          <w:highlight w:val="none"/>
          <w:u w:val="single"/>
        </w:rPr>
        <w:t xml:space="preserve">                         </w:t>
      </w:r>
    </w:p>
    <w:p>
      <w:pPr>
        <w:adjustRightInd w:val="0"/>
        <w:snapToGrid w:val="0"/>
        <w:spacing w:line="360" w:lineRule="auto"/>
        <w:ind w:left="859" w:leftChars="409"/>
        <w:rPr>
          <w:rFonts w:ascii="宋体" w:hAnsi="宋体" w:cs="宋体"/>
          <w:sz w:val="24"/>
          <w:highlight w:val="none"/>
        </w:rPr>
      </w:pPr>
      <w:r>
        <w:rPr>
          <w:rFonts w:hint="eastAsia" w:ascii="宋体" w:hAnsi="宋体" w:cs="宋体"/>
          <w:sz w:val="24"/>
          <w:highlight w:val="none"/>
        </w:rPr>
        <w:t>质疑项目的编号：</w:t>
      </w:r>
      <w:r>
        <w:rPr>
          <w:rFonts w:hint="eastAsia" w:ascii="宋体" w:hAnsi="宋体" w:cs="宋体"/>
          <w:sz w:val="24"/>
          <w:highlight w:val="none"/>
          <w:u w:val="single"/>
        </w:rPr>
        <w:t xml:space="preserve">                         </w:t>
      </w:r>
      <w:r>
        <w:rPr>
          <w:rFonts w:hint="eastAsia" w:ascii="宋体" w:hAnsi="宋体" w:cs="宋体"/>
          <w:sz w:val="24"/>
          <w:highlight w:val="none"/>
        </w:rPr>
        <w:t>包号：</w:t>
      </w:r>
      <w:r>
        <w:rPr>
          <w:rFonts w:hint="eastAsia" w:ascii="宋体" w:hAnsi="宋体" w:cs="宋体"/>
          <w:sz w:val="24"/>
          <w:highlight w:val="none"/>
          <w:u w:val="single"/>
        </w:rPr>
        <w:t xml:space="preserve">                         </w:t>
      </w:r>
    </w:p>
    <w:p>
      <w:pPr>
        <w:adjustRightInd w:val="0"/>
        <w:snapToGrid w:val="0"/>
        <w:spacing w:line="360" w:lineRule="auto"/>
        <w:ind w:left="859" w:leftChars="409"/>
        <w:rPr>
          <w:rFonts w:ascii="宋体" w:hAnsi="宋体" w:cs="宋体"/>
          <w:sz w:val="24"/>
          <w:highlight w:val="none"/>
          <w:u w:val="dotted"/>
        </w:rPr>
      </w:pPr>
      <w:r>
        <w:rPr>
          <w:rFonts w:hint="eastAsia" w:ascii="宋体" w:hAnsi="宋体" w:cs="宋体"/>
          <w:sz w:val="24"/>
          <w:highlight w:val="none"/>
        </w:rPr>
        <w:t>采购人名称：</w:t>
      </w:r>
      <w:r>
        <w:rPr>
          <w:rFonts w:hint="eastAsia" w:ascii="宋体" w:hAnsi="宋体" w:cs="宋体"/>
          <w:sz w:val="24"/>
          <w:highlight w:val="none"/>
          <w:u w:val="single"/>
        </w:rPr>
        <w:t xml:space="preserve">                         </w:t>
      </w:r>
    </w:p>
    <w:p>
      <w:pPr>
        <w:adjustRightInd w:val="0"/>
        <w:snapToGrid w:val="0"/>
        <w:spacing w:line="360" w:lineRule="auto"/>
        <w:ind w:left="859" w:leftChars="409"/>
        <w:rPr>
          <w:rFonts w:ascii="宋体" w:hAnsi="宋体" w:cs="宋体"/>
          <w:sz w:val="24"/>
          <w:highlight w:val="none"/>
        </w:rPr>
      </w:pPr>
      <w:r>
        <w:rPr>
          <w:rFonts w:hint="eastAsia" w:ascii="宋体" w:hAnsi="宋体" w:cs="宋体"/>
          <w:sz w:val="24"/>
          <w:highlight w:val="none"/>
        </w:rPr>
        <w:t>采购文件获取日期：</w:t>
      </w:r>
      <w:r>
        <w:rPr>
          <w:rFonts w:hint="eastAsia" w:ascii="宋体" w:hAnsi="宋体" w:cs="宋体"/>
          <w:sz w:val="24"/>
          <w:highlight w:val="none"/>
          <w:u w:val="single"/>
        </w:rPr>
        <w:t xml:space="preserve">                         </w:t>
      </w:r>
    </w:p>
    <w:p>
      <w:pPr>
        <w:numPr>
          <w:ilvl w:val="0"/>
          <w:numId w:val="183"/>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质疑事项具体内容</w:t>
      </w:r>
    </w:p>
    <w:p>
      <w:pPr>
        <w:adjustRightInd w:val="0"/>
        <w:snapToGrid w:val="0"/>
        <w:spacing w:line="360" w:lineRule="auto"/>
        <w:ind w:left="859" w:leftChars="409"/>
        <w:rPr>
          <w:rFonts w:ascii="宋体" w:hAnsi="宋体" w:cs="宋体"/>
          <w:sz w:val="24"/>
          <w:highlight w:val="none"/>
          <w:u w:val="dotted"/>
        </w:rPr>
      </w:pPr>
      <w:r>
        <w:rPr>
          <w:rFonts w:hint="eastAsia" w:ascii="宋体" w:hAnsi="宋体" w:cs="宋体"/>
          <w:sz w:val="24"/>
          <w:highlight w:val="none"/>
        </w:rPr>
        <w:t>质疑事项1：</w:t>
      </w:r>
      <w:r>
        <w:rPr>
          <w:rFonts w:hint="eastAsia" w:ascii="宋体" w:hAnsi="宋体" w:cs="宋体"/>
          <w:sz w:val="24"/>
          <w:highlight w:val="none"/>
          <w:u w:val="single"/>
        </w:rPr>
        <w:t xml:space="preserve">                         </w:t>
      </w:r>
    </w:p>
    <w:p>
      <w:pPr>
        <w:adjustRightInd w:val="0"/>
        <w:snapToGrid w:val="0"/>
        <w:spacing w:line="360" w:lineRule="auto"/>
        <w:ind w:left="859" w:leftChars="409"/>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adjustRightInd w:val="0"/>
        <w:snapToGrid w:val="0"/>
        <w:spacing w:line="360" w:lineRule="auto"/>
        <w:ind w:left="859" w:leftChars="409"/>
        <w:rPr>
          <w:rFonts w:ascii="宋体" w:hAnsi="宋体" w:cs="宋体"/>
          <w:sz w:val="24"/>
          <w:highlight w:val="none"/>
          <w:u w:val="dotted"/>
        </w:rPr>
      </w:pPr>
      <w:r>
        <w:rPr>
          <w:rFonts w:hint="eastAsia" w:ascii="宋体" w:hAnsi="宋体" w:cs="宋体"/>
          <w:sz w:val="24"/>
          <w:highlight w:val="none"/>
        </w:rPr>
        <w:t>法律依据：</w:t>
      </w:r>
      <w:r>
        <w:rPr>
          <w:rFonts w:hint="eastAsia" w:ascii="宋体" w:hAnsi="宋体" w:cs="宋体"/>
          <w:sz w:val="24"/>
          <w:highlight w:val="none"/>
          <w:u w:val="single"/>
        </w:rPr>
        <w:t xml:space="preserve">                                                                                                    </w:t>
      </w:r>
    </w:p>
    <w:p>
      <w:pPr>
        <w:adjustRightInd w:val="0"/>
        <w:snapToGrid w:val="0"/>
        <w:spacing w:line="360" w:lineRule="auto"/>
        <w:ind w:left="859" w:leftChars="409"/>
        <w:rPr>
          <w:rFonts w:ascii="宋体" w:hAnsi="宋体" w:cs="宋体"/>
          <w:sz w:val="24"/>
          <w:highlight w:val="none"/>
          <w:u w:val="single"/>
        </w:rPr>
      </w:pPr>
      <w:r>
        <w:rPr>
          <w:rFonts w:hint="eastAsia" w:ascii="宋体" w:hAnsi="宋体" w:cs="宋体"/>
          <w:sz w:val="24"/>
          <w:highlight w:val="none"/>
          <w:u w:val="single"/>
        </w:rPr>
        <w:t xml:space="preserve">                         </w:t>
      </w:r>
    </w:p>
    <w:p>
      <w:pPr>
        <w:adjustRightInd w:val="0"/>
        <w:snapToGrid w:val="0"/>
        <w:spacing w:line="360" w:lineRule="auto"/>
        <w:ind w:left="859" w:leftChars="409"/>
        <w:rPr>
          <w:rFonts w:ascii="宋体" w:hAnsi="宋体" w:cs="宋体"/>
          <w:sz w:val="24"/>
          <w:highlight w:val="none"/>
          <w:u w:val="dotted"/>
        </w:rPr>
      </w:pPr>
      <w:r>
        <w:rPr>
          <w:rFonts w:hint="eastAsia" w:ascii="宋体" w:hAnsi="宋体" w:cs="宋体"/>
          <w:sz w:val="24"/>
          <w:highlight w:val="none"/>
        </w:rPr>
        <w:t>质疑事项2</w:t>
      </w:r>
    </w:p>
    <w:p>
      <w:pPr>
        <w:adjustRightInd w:val="0"/>
        <w:snapToGrid w:val="0"/>
        <w:spacing w:line="360" w:lineRule="auto"/>
        <w:ind w:left="859" w:leftChars="409"/>
        <w:rPr>
          <w:rFonts w:ascii="宋体" w:hAnsi="宋体" w:cs="宋体"/>
          <w:sz w:val="24"/>
          <w:highlight w:val="none"/>
        </w:rPr>
      </w:pPr>
      <w:r>
        <w:rPr>
          <w:rFonts w:hint="eastAsia" w:ascii="宋体" w:hAnsi="宋体" w:cs="宋体"/>
          <w:sz w:val="24"/>
          <w:highlight w:val="none"/>
        </w:rPr>
        <w:t>……</w:t>
      </w:r>
    </w:p>
    <w:p>
      <w:pPr>
        <w:numPr>
          <w:ilvl w:val="0"/>
          <w:numId w:val="183"/>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与质疑事项相关的质疑请求</w:t>
      </w:r>
    </w:p>
    <w:p>
      <w:pPr>
        <w:adjustRightInd w:val="0"/>
        <w:snapToGrid w:val="0"/>
        <w:spacing w:line="360" w:lineRule="auto"/>
        <w:ind w:left="840" w:leftChars="400"/>
        <w:rPr>
          <w:rFonts w:ascii="宋体" w:hAnsi="宋体" w:cs="宋体"/>
          <w:sz w:val="24"/>
          <w:highlight w:val="none"/>
          <w:u w:val="dotted"/>
        </w:rPr>
      </w:pPr>
      <w:r>
        <w:rPr>
          <w:rFonts w:hint="eastAsia" w:ascii="宋体" w:hAnsi="宋体" w:cs="宋体"/>
          <w:sz w:val="24"/>
          <w:highlight w:val="none"/>
        </w:rPr>
        <w:t>请求：</w:t>
      </w:r>
      <w:r>
        <w:rPr>
          <w:rFonts w:hint="eastAsia" w:ascii="宋体" w:hAnsi="宋体" w:cs="宋体"/>
          <w:sz w:val="24"/>
          <w:highlight w:val="none"/>
          <w:u w:val="single"/>
        </w:rPr>
        <w:t xml:space="preserve">                                                  </w:t>
      </w:r>
    </w:p>
    <w:p>
      <w:pPr>
        <w:adjustRightInd w:val="0"/>
        <w:snapToGrid w:val="0"/>
        <w:spacing w:line="360" w:lineRule="auto"/>
        <w:ind w:left="840" w:leftChars="400"/>
        <w:rPr>
          <w:rFonts w:ascii="宋体" w:hAnsi="宋体" w:cs="宋体"/>
          <w:sz w:val="24"/>
          <w:highlight w:val="none"/>
        </w:rPr>
      </w:pPr>
      <w:r>
        <w:rPr>
          <w:rFonts w:hint="eastAsia" w:ascii="宋体" w:hAnsi="宋体" w:cs="宋体"/>
          <w:sz w:val="24"/>
          <w:highlight w:val="none"/>
        </w:rPr>
        <w:t xml:space="preserve">签字(签章)：                   公章：                      </w:t>
      </w:r>
    </w:p>
    <w:p>
      <w:pPr>
        <w:adjustRightInd w:val="0"/>
        <w:snapToGrid w:val="0"/>
        <w:spacing w:line="360" w:lineRule="auto"/>
        <w:ind w:left="840" w:leftChars="400"/>
        <w:rPr>
          <w:rFonts w:ascii="宋体" w:hAnsi="宋体" w:cs="宋体"/>
          <w:sz w:val="24"/>
          <w:highlight w:val="none"/>
        </w:rPr>
      </w:pPr>
      <w:r>
        <w:rPr>
          <w:rFonts w:hint="eastAsia" w:ascii="宋体" w:hAnsi="宋体" w:cs="宋体"/>
          <w:sz w:val="24"/>
          <w:highlight w:val="none"/>
        </w:rPr>
        <w:t xml:space="preserve">日期：    </w:t>
      </w:r>
    </w:p>
    <w:p>
      <w:pPr>
        <w:adjustRightInd w:val="0"/>
        <w:snapToGrid w:val="0"/>
        <w:spacing w:line="360" w:lineRule="auto"/>
        <w:rPr>
          <w:rFonts w:ascii="宋体" w:hAnsi="宋体" w:cs="宋体"/>
          <w:sz w:val="24"/>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质疑函制作说明：</w:t>
      </w:r>
    </w:p>
    <w:p>
      <w:pPr>
        <w:widowControl/>
        <w:numPr>
          <w:ilvl w:val="0"/>
          <w:numId w:val="184"/>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供应商提出质疑时，应提交质疑函和必要的证明材料。</w:t>
      </w:r>
    </w:p>
    <w:p>
      <w:pPr>
        <w:widowControl/>
        <w:numPr>
          <w:ilvl w:val="0"/>
          <w:numId w:val="184"/>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widowControl/>
        <w:numPr>
          <w:ilvl w:val="0"/>
          <w:numId w:val="184"/>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质疑供应商若对项目的某一分包进行质疑，质疑函中应列明具体分包号。</w:t>
      </w:r>
    </w:p>
    <w:p>
      <w:pPr>
        <w:widowControl/>
        <w:numPr>
          <w:ilvl w:val="0"/>
          <w:numId w:val="184"/>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质疑函的质疑事项应具体、明确，并有必要的事实依据和法律依据。</w:t>
      </w:r>
    </w:p>
    <w:p>
      <w:pPr>
        <w:widowControl/>
        <w:numPr>
          <w:ilvl w:val="0"/>
          <w:numId w:val="184"/>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质疑函的质疑请求应与质疑事项相关。</w:t>
      </w:r>
    </w:p>
    <w:p>
      <w:pPr>
        <w:widowControl/>
        <w:numPr>
          <w:ilvl w:val="0"/>
          <w:numId w:val="184"/>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质疑供应商为自然人的，质疑函应由本人签字；质疑供应商为法人或者其他组织的，质疑函应由法定代表人、主要负责人，或者其授权代表签字或者盖章，并加盖公章。</w:t>
      </w:r>
    </w:p>
    <w:p>
      <w:pPr>
        <w:widowControl/>
        <w:snapToGrid w:val="0"/>
        <w:spacing w:line="360" w:lineRule="auto"/>
        <w:ind w:right="960"/>
        <w:rPr>
          <w:rFonts w:ascii="仿宋_GB2312" w:hAnsi="仿宋" w:eastAsia="仿宋_GB2312"/>
          <w:sz w:val="24"/>
          <w:highlight w:val="none"/>
        </w:rPr>
      </w:pPr>
    </w:p>
    <w:p>
      <w:pPr>
        <w:adjustRightInd w:val="0"/>
        <w:snapToGrid w:val="0"/>
        <w:spacing w:line="360" w:lineRule="auto"/>
        <w:jc w:val="left"/>
        <w:rPr>
          <w:rFonts w:ascii="宋体" w:hAnsi="宋体" w:cs="宋体"/>
          <w:bCs/>
          <w:sz w:val="24"/>
          <w:highlight w:val="none"/>
        </w:rPr>
      </w:pPr>
      <w:r>
        <w:rPr>
          <w:rFonts w:hint="eastAsia" w:ascii="宋体"/>
          <w:b/>
          <w:kern w:val="0"/>
          <w:sz w:val="24"/>
          <w:highlight w:val="none"/>
        </w:rPr>
        <w:br w:type="page"/>
      </w:r>
      <w:r>
        <w:rPr>
          <w:rFonts w:hint="eastAsia" w:ascii="宋体" w:hAnsi="宋体" w:cs="宋体"/>
          <w:b/>
          <w:bCs/>
          <w:kern w:val="0"/>
          <w:sz w:val="24"/>
          <w:highlight w:val="none"/>
        </w:rPr>
        <w:t>3、投诉书格式</w:t>
      </w:r>
    </w:p>
    <w:p>
      <w:pPr>
        <w:pStyle w:val="24"/>
        <w:adjustRightInd w:val="0"/>
        <w:snapToGrid w:val="0"/>
        <w:spacing w:before="0" w:beforeAutospacing="0" w:after="0" w:afterAutospacing="0" w:line="360" w:lineRule="auto"/>
        <w:jc w:val="center"/>
        <w:rPr>
          <w:rStyle w:val="32"/>
          <w:rFonts w:ascii="宋体" w:hAnsi="宋体" w:cs="宋体"/>
          <w:bCs w:val="0"/>
          <w:highlight w:val="none"/>
        </w:rPr>
      </w:pPr>
      <w:r>
        <w:rPr>
          <w:rStyle w:val="32"/>
          <w:rFonts w:hint="eastAsia" w:ascii="宋体" w:hAnsi="宋体" w:cs="宋体"/>
          <w:bCs w:val="0"/>
          <w:highlight w:val="none"/>
        </w:rPr>
        <w:t>投诉书</w:t>
      </w:r>
    </w:p>
    <w:p>
      <w:pPr>
        <w:numPr>
          <w:ilvl w:val="0"/>
          <w:numId w:val="185"/>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投诉相关主体基本情况</w:t>
      </w:r>
    </w:p>
    <w:p>
      <w:pPr>
        <w:adjustRightInd w:val="0"/>
        <w:snapToGrid w:val="0"/>
        <w:spacing w:line="360" w:lineRule="auto"/>
        <w:ind w:firstLine="900" w:firstLineChars="375"/>
        <w:rPr>
          <w:rFonts w:ascii="宋体" w:hAnsi="宋体" w:cs="宋体"/>
          <w:sz w:val="24"/>
          <w:highlight w:val="none"/>
          <w:u w:val="dotted"/>
        </w:rPr>
      </w:pPr>
      <w:r>
        <w:rPr>
          <w:rFonts w:hint="eastAsia" w:ascii="宋体" w:hAnsi="宋体" w:cs="宋体"/>
          <w:sz w:val="24"/>
          <w:highlight w:val="none"/>
        </w:rPr>
        <w:t>投诉人：</w:t>
      </w:r>
      <w:r>
        <w:rPr>
          <w:rFonts w:hint="eastAsia" w:ascii="宋体" w:hAnsi="宋体" w:cs="宋体"/>
          <w:sz w:val="24"/>
          <w:highlight w:val="none"/>
          <w:u w:val="single"/>
        </w:rPr>
        <w:t xml:space="preserve">                                               </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pPr>
        <w:tabs>
          <w:tab w:val="left" w:pos="6510"/>
        </w:tabs>
        <w:adjustRightInd w:val="0"/>
        <w:snapToGrid w:val="0"/>
        <w:spacing w:line="360" w:lineRule="auto"/>
        <w:ind w:firstLine="900" w:firstLineChars="375"/>
        <w:jc w:val="left"/>
        <w:rPr>
          <w:rFonts w:ascii="宋体" w:hAnsi="宋体" w:cs="宋体"/>
          <w:sz w:val="24"/>
          <w:highlight w:val="none"/>
        </w:rPr>
      </w:pPr>
      <w:r>
        <w:rPr>
          <w:rFonts w:hint="eastAsia" w:ascii="宋体" w:hAnsi="宋体" w:cs="宋体"/>
          <w:sz w:val="24"/>
          <w:highlight w:val="none"/>
        </w:rPr>
        <w:t>法定代表人/主要负责人：</w:t>
      </w:r>
      <w:r>
        <w:rPr>
          <w:rFonts w:hint="eastAsia" w:ascii="宋体" w:hAnsi="宋体" w:cs="宋体"/>
          <w:sz w:val="24"/>
          <w:highlight w:val="none"/>
          <w:u w:val="single"/>
        </w:rPr>
        <w:t xml:space="preserve">                                  </w:t>
      </w:r>
    </w:p>
    <w:p>
      <w:pPr>
        <w:tabs>
          <w:tab w:val="left" w:pos="6510"/>
        </w:tabs>
        <w:adjustRightInd w:val="0"/>
        <w:snapToGrid w:val="0"/>
        <w:spacing w:line="360" w:lineRule="auto"/>
        <w:ind w:firstLine="900" w:firstLineChars="375"/>
        <w:rPr>
          <w:rFonts w:ascii="宋体" w:hAnsi="宋体" w:cs="宋体"/>
          <w:sz w:val="24"/>
          <w:highlight w:val="none"/>
          <w:u w:val="dotted"/>
        </w:rPr>
      </w:pPr>
      <w:r>
        <w:rPr>
          <w:rFonts w:hint="eastAsia" w:ascii="宋体" w:hAnsi="宋体" w:cs="宋体"/>
          <w:sz w:val="24"/>
          <w:highlight w:val="none"/>
        </w:rPr>
        <w:t>联系电话：</w:t>
      </w:r>
      <w:r>
        <w:rPr>
          <w:rFonts w:hint="eastAsia" w:ascii="宋体" w:hAnsi="宋体" w:cs="宋体"/>
          <w:sz w:val="24"/>
          <w:highlight w:val="none"/>
          <w:u w:val="single"/>
        </w:rPr>
        <w:t xml:space="preserve">                                  </w:t>
      </w:r>
    </w:p>
    <w:p>
      <w:pPr>
        <w:adjustRightInd w:val="0"/>
        <w:snapToGrid w:val="0"/>
        <w:spacing w:line="360" w:lineRule="auto"/>
        <w:ind w:firstLine="900" w:firstLineChars="375"/>
        <w:rPr>
          <w:rFonts w:ascii="宋体" w:hAnsi="宋体" w:cs="宋体"/>
          <w:sz w:val="24"/>
          <w:highlight w:val="none"/>
          <w:u w:val="dotted"/>
        </w:rPr>
      </w:pPr>
      <w:r>
        <w:rPr>
          <w:rFonts w:hint="eastAsia" w:ascii="宋体" w:hAnsi="宋体" w:cs="宋体"/>
          <w:sz w:val="24"/>
          <w:highlight w:val="none"/>
        </w:rPr>
        <w:t>授权代表：</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adjustRightInd w:val="0"/>
        <w:snapToGrid w:val="0"/>
        <w:spacing w:line="360" w:lineRule="auto"/>
        <w:ind w:firstLine="900" w:firstLineChars="375"/>
        <w:rPr>
          <w:rFonts w:ascii="宋体" w:hAnsi="宋体" w:cs="宋体"/>
          <w:sz w:val="24"/>
          <w:highlight w:val="none"/>
          <w:u w:val="dotted"/>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被投诉人1：</w:t>
      </w:r>
      <w:r>
        <w:rPr>
          <w:rFonts w:hint="eastAsia" w:ascii="宋体" w:hAnsi="宋体" w:cs="宋体"/>
          <w:sz w:val="24"/>
          <w:highlight w:val="none"/>
          <w:u w:val="single"/>
        </w:rPr>
        <w:t xml:space="preserve">                                  </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p>
    <w:p>
      <w:pPr>
        <w:adjustRightInd w:val="0"/>
        <w:snapToGrid w:val="0"/>
        <w:spacing w:line="360" w:lineRule="auto"/>
        <w:ind w:firstLine="900" w:firstLineChars="375"/>
        <w:rPr>
          <w:rFonts w:ascii="宋体" w:hAnsi="宋体" w:cs="宋体"/>
          <w:sz w:val="24"/>
          <w:highlight w:val="none"/>
        </w:rPr>
      </w:pPr>
      <w:r>
        <w:rPr>
          <w:rFonts w:hint="eastAsia" w:ascii="宋体" w:hAnsi="宋体" w:cs="宋体"/>
          <w:sz w:val="24"/>
          <w:highlight w:val="none"/>
        </w:rPr>
        <w:t>被投诉人2</w:t>
      </w:r>
    </w:p>
    <w:p>
      <w:pPr>
        <w:adjustRightInd w:val="0"/>
        <w:snapToGrid w:val="0"/>
        <w:spacing w:line="360" w:lineRule="auto"/>
        <w:ind w:firstLine="900" w:firstLineChars="375"/>
        <w:rPr>
          <w:rFonts w:ascii="宋体" w:hAnsi="宋体" w:cs="宋体"/>
          <w:sz w:val="24"/>
          <w:highlight w:val="none"/>
          <w:u w:val="dotted"/>
        </w:rPr>
      </w:pPr>
      <w:r>
        <w:rPr>
          <w:rFonts w:hint="eastAsia" w:ascii="宋体" w:hAnsi="宋体" w:cs="宋体"/>
          <w:sz w:val="24"/>
          <w:highlight w:val="none"/>
        </w:rPr>
        <w:t>……</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相关供应商：</w:t>
      </w:r>
      <w:r>
        <w:rPr>
          <w:rFonts w:hint="eastAsia" w:ascii="宋体" w:hAnsi="宋体" w:cs="宋体"/>
          <w:sz w:val="24"/>
          <w:highlight w:val="none"/>
          <w:u w:val="single"/>
        </w:rPr>
        <w:t xml:space="preserve">                                  </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地     址：</w:t>
      </w:r>
      <w:r>
        <w:rPr>
          <w:rFonts w:hint="eastAsia" w:ascii="宋体" w:hAnsi="宋体" w:cs="宋体"/>
          <w:sz w:val="24"/>
          <w:highlight w:val="none"/>
          <w:u w:val="single"/>
        </w:rPr>
        <w:t xml:space="preserve">                                  </w:t>
      </w:r>
      <w:r>
        <w:rPr>
          <w:rFonts w:hint="eastAsia" w:ascii="宋体" w:hAnsi="宋体" w:cs="宋体"/>
          <w:sz w:val="24"/>
          <w:highlight w:val="none"/>
        </w:rPr>
        <w:t>邮编：</w:t>
      </w:r>
      <w:r>
        <w:rPr>
          <w:rFonts w:hint="eastAsia" w:ascii="宋体" w:hAnsi="宋体" w:cs="宋体"/>
          <w:sz w:val="24"/>
          <w:highlight w:val="none"/>
          <w:u w:val="single"/>
        </w:rPr>
        <w:t xml:space="preserve">                                  </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联系人：</w:t>
      </w:r>
      <w:r>
        <w:rPr>
          <w:rFonts w:hint="eastAsia" w:ascii="宋体" w:hAnsi="宋体" w:cs="宋体"/>
          <w:sz w:val="24"/>
          <w:highlight w:val="none"/>
          <w:u w:val="single"/>
        </w:rPr>
        <w:t xml:space="preserve">                                  </w:t>
      </w:r>
      <w:r>
        <w:rPr>
          <w:rFonts w:hint="eastAsia" w:ascii="宋体" w:hAnsi="宋体" w:cs="宋体"/>
          <w:sz w:val="24"/>
          <w:highlight w:val="none"/>
        </w:rPr>
        <w:t>联系电话：</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r>
        <w:rPr>
          <w:rFonts w:hint="eastAsia" w:ascii="宋体" w:hAnsi="宋体" w:cs="宋体"/>
          <w:sz w:val="24"/>
          <w:highlight w:val="none"/>
          <w:u w:val="single"/>
        </w:rPr>
        <w:t xml:space="preserve">      </w:t>
      </w:r>
    </w:p>
    <w:p>
      <w:pPr>
        <w:numPr>
          <w:ilvl w:val="0"/>
          <w:numId w:val="185"/>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投诉项目基本情况</w:t>
      </w:r>
    </w:p>
    <w:p>
      <w:pPr>
        <w:adjustRightInd w:val="0"/>
        <w:snapToGrid w:val="0"/>
        <w:spacing w:line="360" w:lineRule="auto"/>
        <w:ind w:left="920" w:leftChars="438"/>
        <w:rPr>
          <w:rFonts w:ascii="宋体" w:hAnsi="宋体" w:cs="宋体"/>
          <w:sz w:val="24"/>
          <w:highlight w:val="none"/>
          <w:u w:val="dotted"/>
        </w:rPr>
      </w:pPr>
      <w:r>
        <w:rPr>
          <w:rFonts w:hint="eastAsia" w:ascii="宋体" w:hAnsi="宋体" w:cs="宋体"/>
          <w:sz w:val="24"/>
          <w:highlight w:val="none"/>
        </w:rPr>
        <w:t>采购项目名称：</w:t>
      </w:r>
      <w:r>
        <w:rPr>
          <w:rFonts w:hint="eastAsia" w:ascii="宋体" w:hAnsi="宋体" w:cs="宋体"/>
          <w:sz w:val="24"/>
          <w:highlight w:val="none"/>
          <w:u w:val="single"/>
        </w:rPr>
        <w:t xml:space="preserve">                                  </w:t>
      </w:r>
    </w:p>
    <w:p>
      <w:pPr>
        <w:adjustRightInd w:val="0"/>
        <w:snapToGrid w:val="0"/>
        <w:spacing w:line="360" w:lineRule="auto"/>
        <w:ind w:left="920" w:leftChars="438"/>
        <w:rPr>
          <w:rFonts w:ascii="宋体" w:hAnsi="宋体" w:cs="宋体"/>
          <w:sz w:val="24"/>
          <w:highlight w:val="none"/>
          <w:u w:val="single"/>
        </w:rPr>
      </w:pPr>
      <w:r>
        <w:rPr>
          <w:rFonts w:hint="eastAsia" w:ascii="宋体" w:hAnsi="宋体" w:cs="宋体"/>
          <w:sz w:val="24"/>
          <w:highlight w:val="none"/>
        </w:rPr>
        <w:t>采购项目编号：</w:t>
      </w:r>
      <w:r>
        <w:rPr>
          <w:rFonts w:hint="eastAsia" w:ascii="宋体" w:hAnsi="宋体" w:cs="宋体"/>
          <w:sz w:val="24"/>
          <w:highlight w:val="none"/>
          <w:u w:val="single"/>
        </w:rPr>
        <w:t xml:space="preserve">                                  </w:t>
      </w:r>
      <w:r>
        <w:rPr>
          <w:rFonts w:hint="eastAsia" w:ascii="宋体" w:hAnsi="宋体" w:cs="宋体"/>
          <w:sz w:val="24"/>
          <w:highlight w:val="none"/>
        </w:rPr>
        <w:t>包号：</w:t>
      </w:r>
      <w:r>
        <w:rPr>
          <w:rFonts w:hint="eastAsia" w:ascii="宋体" w:hAnsi="宋体" w:cs="宋体"/>
          <w:sz w:val="24"/>
          <w:highlight w:val="none"/>
          <w:u w:val="single"/>
        </w:rPr>
        <w:t xml:space="preserve">                                  </w:t>
      </w:r>
      <w:r>
        <w:rPr>
          <w:rFonts w:hint="eastAsia" w:ascii="宋体" w:hAnsi="宋体" w:cs="宋体"/>
          <w:sz w:val="24"/>
          <w:highlight w:val="none"/>
          <w:u w:val="dotted"/>
        </w:rPr>
        <w:t xml:space="preserve">       </w:t>
      </w:r>
    </w:p>
    <w:p>
      <w:pPr>
        <w:adjustRightInd w:val="0"/>
        <w:snapToGrid w:val="0"/>
        <w:spacing w:line="360" w:lineRule="auto"/>
        <w:ind w:left="920" w:leftChars="438"/>
        <w:rPr>
          <w:rFonts w:ascii="宋体" w:hAnsi="宋体" w:cs="宋体"/>
          <w:sz w:val="24"/>
          <w:highlight w:val="none"/>
        </w:rPr>
      </w:pPr>
      <w:r>
        <w:rPr>
          <w:rFonts w:hint="eastAsia" w:ascii="宋体" w:hAnsi="宋体" w:cs="宋体"/>
          <w:sz w:val="24"/>
          <w:highlight w:val="none"/>
        </w:rPr>
        <w:t>采购人名称：</w:t>
      </w:r>
      <w:r>
        <w:rPr>
          <w:rFonts w:hint="eastAsia" w:ascii="宋体" w:hAnsi="宋体" w:cs="宋体"/>
          <w:sz w:val="24"/>
          <w:highlight w:val="none"/>
          <w:u w:val="single"/>
        </w:rPr>
        <w:t xml:space="preserve">                                  </w:t>
      </w:r>
    </w:p>
    <w:p>
      <w:pPr>
        <w:adjustRightInd w:val="0"/>
        <w:snapToGrid w:val="0"/>
        <w:spacing w:line="360" w:lineRule="auto"/>
        <w:ind w:left="920" w:leftChars="438"/>
        <w:rPr>
          <w:rFonts w:ascii="宋体" w:hAnsi="宋体" w:cs="宋体"/>
          <w:sz w:val="24"/>
          <w:highlight w:val="none"/>
          <w:u w:val="single"/>
        </w:rPr>
      </w:pPr>
      <w:r>
        <w:rPr>
          <w:rFonts w:hint="eastAsia" w:ascii="宋体" w:hAnsi="宋体" w:cs="宋体"/>
          <w:sz w:val="24"/>
          <w:highlight w:val="none"/>
        </w:rPr>
        <w:t>代理机构名称：</w:t>
      </w:r>
      <w:r>
        <w:rPr>
          <w:rFonts w:hint="eastAsia" w:ascii="宋体" w:hAnsi="宋体" w:cs="宋体"/>
          <w:sz w:val="24"/>
          <w:highlight w:val="none"/>
          <w:u w:val="single"/>
        </w:rPr>
        <w:t xml:space="preserve">                                  </w:t>
      </w:r>
    </w:p>
    <w:p>
      <w:pPr>
        <w:adjustRightInd w:val="0"/>
        <w:snapToGrid w:val="0"/>
        <w:spacing w:line="360" w:lineRule="auto"/>
        <w:ind w:left="920" w:leftChars="438"/>
        <w:rPr>
          <w:rFonts w:ascii="宋体" w:hAnsi="宋体" w:cs="宋体"/>
          <w:sz w:val="24"/>
          <w:highlight w:val="none"/>
          <w:u w:val="dotted"/>
        </w:rPr>
      </w:pPr>
      <w:r>
        <w:rPr>
          <w:rFonts w:hint="eastAsia" w:ascii="宋体" w:hAnsi="宋体" w:cs="宋体"/>
          <w:sz w:val="24"/>
          <w:highlight w:val="none"/>
        </w:rPr>
        <w:t>采购文件公告:</w:t>
      </w:r>
      <w:r>
        <w:rPr>
          <w:rFonts w:hint="eastAsia" w:ascii="宋体" w:hAnsi="宋体" w:cs="宋体"/>
          <w:sz w:val="24"/>
          <w:highlight w:val="none"/>
          <w:u w:val="single"/>
        </w:rPr>
        <w:t xml:space="preserve">是/否 </w:t>
      </w:r>
      <w:r>
        <w:rPr>
          <w:rFonts w:hint="eastAsia" w:ascii="宋体" w:hAnsi="宋体" w:cs="宋体"/>
          <w:sz w:val="24"/>
          <w:highlight w:val="none"/>
        </w:rPr>
        <w:t>公告期限：</w:t>
      </w:r>
      <w:r>
        <w:rPr>
          <w:rFonts w:hint="eastAsia" w:ascii="宋体" w:hAnsi="宋体" w:cs="宋体"/>
          <w:sz w:val="24"/>
          <w:highlight w:val="none"/>
          <w:u w:val="single"/>
        </w:rPr>
        <w:t xml:space="preserve">                                  </w:t>
      </w:r>
    </w:p>
    <w:p>
      <w:pPr>
        <w:adjustRightInd w:val="0"/>
        <w:snapToGrid w:val="0"/>
        <w:spacing w:line="360" w:lineRule="auto"/>
        <w:ind w:left="920" w:leftChars="438"/>
        <w:rPr>
          <w:rFonts w:ascii="宋体" w:hAnsi="宋体" w:cs="宋体"/>
          <w:sz w:val="24"/>
          <w:highlight w:val="none"/>
          <w:u w:val="single"/>
        </w:rPr>
      </w:pPr>
      <w:r>
        <w:rPr>
          <w:rFonts w:hint="eastAsia" w:ascii="宋体" w:hAnsi="宋体" w:cs="宋体"/>
          <w:sz w:val="24"/>
          <w:highlight w:val="none"/>
        </w:rPr>
        <w:t>采购结果公告:</w:t>
      </w:r>
      <w:r>
        <w:rPr>
          <w:rFonts w:hint="eastAsia" w:ascii="宋体" w:hAnsi="宋体" w:cs="宋体"/>
          <w:sz w:val="24"/>
          <w:highlight w:val="none"/>
          <w:u w:val="single"/>
        </w:rPr>
        <w:t xml:space="preserve">是/否 </w:t>
      </w:r>
      <w:r>
        <w:rPr>
          <w:rFonts w:hint="eastAsia" w:ascii="宋体" w:hAnsi="宋体" w:cs="宋体"/>
          <w:sz w:val="24"/>
          <w:highlight w:val="none"/>
        </w:rPr>
        <w:t>公告期限：</w:t>
      </w:r>
      <w:r>
        <w:rPr>
          <w:rFonts w:hint="eastAsia" w:ascii="宋体" w:hAnsi="宋体" w:cs="宋体"/>
          <w:sz w:val="24"/>
          <w:highlight w:val="none"/>
          <w:u w:val="single"/>
        </w:rPr>
        <w:t xml:space="preserve">                                  </w:t>
      </w:r>
    </w:p>
    <w:p>
      <w:pPr>
        <w:numPr>
          <w:ilvl w:val="0"/>
          <w:numId w:val="185"/>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质疑基本情况</w:t>
      </w:r>
    </w:p>
    <w:p>
      <w:pPr>
        <w:adjustRightInd w:val="0"/>
        <w:snapToGrid w:val="0"/>
        <w:spacing w:line="360" w:lineRule="auto"/>
        <w:ind w:firstLine="938" w:firstLineChars="391"/>
        <w:rPr>
          <w:rFonts w:ascii="宋体" w:hAnsi="宋体" w:cs="宋体"/>
          <w:sz w:val="24"/>
          <w:highlight w:val="none"/>
          <w:u w:val="dotted"/>
        </w:rPr>
      </w:pPr>
      <w:r>
        <w:rPr>
          <w:rFonts w:hint="eastAsia" w:ascii="宋体" w:hAnsi="宋体" w:cs="宋体"/>
          <w:sz w:val="24"/>
          <w:highlight w:val="none"/>
        </w:rPr>
        <w:t>投诉人于</w:t>
      </w:r>
      <w:r>
        <w:rPr>
          <w:rFonts w:hint="eastAsia" w:ascii="宋体" w:hAnsi="宋体" w:cs="宋体"/>
          <w:sz w:val="24"/>
          <w:highlight w:val="none"/>
          <w:u w:val="dotted"/>
        </w:rPr>
        <w:t xml:space="preserve">   </w:t>
      </w:r>
      <w:r>
        <w:rPr>
          <w:rFonts w:hint="eastAsia" w:ascii="宋体" w:hAnsi="宋体" w:cs="宋体"/>
          <w:sz w:val="24"/>
          <w:highlight w:val="none"/>
        </w:rPr>
        <w:t>年</w:t>
      </w:r>
      <w:r>
        <w:rPr>
          <w:rFonts w:hint="eastAsia" w:ascii="宋体" w:hAnsi="宋体" w:cs="宋体"/>
          <w:sz w:val="24"/>
          <w:highlight w:val="none"/>
          <w:u w:val="dotted"/>
        </w:rPr>
        <w:t xml:space="preserve">   </w:t>
      </w:r>
      <w:r>
        <w:rPr>
          <w:rFonts w:hint="eastAsia" w:ascii="宋体" w:hAnsi="宋体" w:cs="宋体"/>
          <w:sz w:val="24"/>
          <w:highlight w:val="none"/>
        </w:rPr>
        <w:t>月</w:t>
      </w:r>
      <w:r>
        <w:rPr>
          <w:rFonts w:hint="eastAsia" w:ascii="宋体" w:hAnsi="宋体" w:cs="宋体"/>
          <w:sz w:val="24"/>
          <w:highlight w:val="none"/>
          <w:u w:val="dotted"/>
        </w:rPr>
        <w:t xml:space="preserve">  </w:t>
      </w:r>
      <w:r>
        <w:rPr>
          <w:rFonts w:hint="eastAsia" w:ascii="宋体" w:hAnsi="宋体" w:cs="宋体"/>
          <w:sz w:val="24"/>
          <w:highlight w:val="none"/>
        </w:rPr>
        <w:t>日,向</w:t>
      </w:r>
      <w:r>
        <w:rPr>
          <w:rFonts w:hint="eastAsia" w:ascii="宋体" w:hAnsi="宋体" w:cs="宋体"/>
          <w:sz w:val="24"/>
          <w:highlight w:val="none"/>
          <w:u w:val="single"/>
        </w:rPr>
        <w:t xml:space="preserve">                                  </w:t>
      </w:r>
      <w:r>
        <w:rPr>
          <w:rFonts w:hint="eastAsia" w:ascii="宋体" w:hAnsi="宋体" w:cs="宋体"/>
          <w:sz w:val="24"/>
          <w:highlight w:val="none"/>
        </w:rPr>
        <w:t>提出质疑，质疑事项为：</w:t>
      </w:r>
      <w:r>
        <w:rPr>
          <w:rFonts w:hint="eastAsia" w:ascii="宋体" w:hAnsi="宋体" w:cs="宋体"/>
          <w:sz w:val="24"/>
          <w:highlight w:val="none"/>
          <w:u w:val="single"/>
        </w:rPr>
        <w:t xml:space="preserve">                                                                    </w:t>
      </w:r>
    </w:p>
    <w:p>
      <w:pPr>
        <w:adjustRightInd w:val="0"/>
        <w:snapToGrid w:val="0"/>
        <w:spacing w:line="360" w:lineRule="auto"/>
        <w:ind w:firstLine="938" w:firstLineChars="391"/>
        <w:rPr>
          <w:rFonts w:ascii="宋体" w:hAnsi="宋体" w:cs="宋体"/>
          <w:sz w:val="24"/>
          <w:highlight w:val="none"/>
        </w:rPr>
      </w:pPr>
      <w:r>
        <w:rPr>
          <w:rFonts w:hint="eastAsia" w:ascii="宋体" w:hAnsi="宋体" w:cs="宋体"/>
          <w:sz w:val="24"/>
          <w:highlight w:val="none"/>
        </w:rPr>
        <w:t>采购人/代理机构于</w:t>
      </w:r>
      <w:r>
        <w:rPr>
          <w:rFonts w:hint="eastAsia" w:ascii="宋体" w:hAnsi="宋体" w:cs="宋体"/>
          <w:sz w:val="24"/>
          <w:highlight w:val="none"/>
          <w:u w:val="single"/>
        </w:rPr>
        <w:t xml:space="preserve">   </w:t>
      </w:r>
      <w:r>
        <w:rPr>
          <w:rFonts w:hint="eastAsia" w:ascii="宋体" w:hAnsi="宋体" w:cs="宋体"/>
          <w:sz w:val="24"/>
          <w:highlight w:val="none"/>
        </w:rPr>
        <w:t>年</w:t>
      </w:r>
      <w:r>
        <w:rPr>
          <w:rFonts w:hint="eastAsia" w:ascii="宋体" w:hAnsi="宋体" w:cs="宋体"/>
          <w:sz w:val="24"/>
          <w:highlight w:val="none"/>
          <w:u w:val="single"/>
        </w:rPr>
        <w:t xml:space="preserve">   </w:t>
      </w:r>
      <w:r>
        <w:rPr>
          <w:rFonts w:hint="eastAsia" w:ascii="宋体" w:hAnsi="宋体" w:cs="宋体"/>
          <w:sz w:val="24"/>
          <w:highlight w:val="none"/>
        </w:rPr>
        <w:t>月</w:t>
      </w:r>
      <w:r>
        <w:rPr>
          <w:rFonts w:hint="eastAsia" w:ascii="宋体" w:hAnsi="宋体" w:cs="宋体"/>
          <w:sz w:val="24"/>
          <w:highlight w:val="none"/>
          <w:u w:val="single"/>
        </w:rPr>
        <w:t xml:space="preserve">   </w:t>
      </w:r>
      <w:r>
        <w:rPr>
          <w:rFonts w:hint="eastAsia" w:ascii="宋体" w:hAnsi="宋体" w:cs="宋体"/>
          <w:sz w:val="24"/>
          <w:highlight w:val="none"/>
        </w:rPr>
        <w:t>日,就质疑事项作出了答复/没有在法定期限内作出答复。</w:t>
      </w:r>
    </w:p>
    <w:p>
      <w:pPr>
        <w:numPr>
          <w:ilvl w:val="0"/>
          <w:numId w:val="185"/>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投诉事项具体内容</w:t>
      </w:r>
    </w:p>
    <w:p>
      <w:pPr>
        <w:adjustRightInd w:val="0"/>
        <w:snapToGrid w:val="0"/>
        <w:spacing w:line="360" w:lineRule="auto"/>
        <w:ind w:left="899" w:leftChars="428"/>
        <w:rPr>
          <w:rFonts w:ascii="宋体" w:hAnsi="宋体" w:cs="宋体"/>
          <w:sz w:val="24"/>
          <w:highlight w:val="none"/>
          <w:u w:val="single"/>
        </w:rPr>
      </w:pPr>
      <w:r>
        <w:rPr>
          <w:rFonts w:hint="eastAsia" w:ascii="宋体" w:hAnsi="宋体" w:cs="宋体"/>
          <w:sz w:val="24"/>
          <w:highlight w:val="none"/>
        </w:rPr>
        <w:t>投诉事项 1：</w:t>
      </w:r>
      <w:r>
        <w:rPr>
          <w:rFonts w:hint="eastAsia" w:ascii="宋体" w:hAnsi="宋体" w:cs="宋体"/>
          <w:sz w:val="24"/>
          <w:highlight w:val="none"/>
          <w:u w:val="single"/>
        </w:rPr>
        <w:t xml:space="preserve">                                  </w:t>
      </w:r>
    </w:p>
    <w:p>
      <w:pPr>
        <w:adjustRightInd w:val="0"/>
        <w:snapToGrid w:val="0"/>
        <w:spacing w:line="360" w:lineRule="auto"/>
        <w:ind w:left="899" w:leftChars="428"/>
        <w:rPr>
          <w:rFonts w:ascii="宋体" w:hAnsi="宋体" w:cs="宋体"/>
          <w:sz w:val="24"/>
          <w:highlight w:val="none"/>
        </w:rPr>
      </w:pPr>
      <w:r>
        <w:rPr>
          <w:rFonts w:hint="eastAsia" w:ascii="宋体" w:hAnsi="宋体" w:cs="宋体"/>
          <w:sz w:val="24"/>
          <w:highlight w:val="none"/>
        </w:rPr>
        <w:t>事实依据：</w:t>
      </w:r>
      <w:r>
        <w:rPr>
          <w:rFonts w:hint="eastAsia" w:ascii="宋体" w:hAnsi="宋体" w:cs="宋体"/>
          <w:sz w:val="24"/>
          <w:highlight w:val="none"/>
          <w:u w:val="single"/>
        </w:rPr>
        <w:t xml:space="preserve">                                  </w:t>
      </w:r>
    </w:p>
    <w:p>
      <w:pPr>
        <w:adjustRightInd w:val="0"/>
        <w:snapToGrid w:val="0"/>
        <w:spacing w:line="360" w:lineRule="auto"/>
        <w:ind w:left="899" w:leftChars="428"/>
        <w:rPr>
          <w:rFonts w:ascii="宋体" w:hAnsi="宋体" w:cs="宋体"/>
          <w:sz w:val="24"/>
          <w:highlight w:val="none"/>
          <w:u w:val="single"/>
        </w:rPr>
      </w:pPr>
      <w:r>
        <w:rPr>
          <w:rFonts w:hint="eastAsia" w:ascii="宋体" w:hAnsi="宋体" w:cs="宋体"/>
          <w:sz w:val="24"/>
          <w:highlight w:val="none"/>
          <w:u w:val="single"/>
        </w:rPr>
        <w:t xml:space="preserve">                                                                    </w:t>
      </w:r>
    </w:p>
    <w:p>
      <w:pPr>
        <w:adjustRightInd w:val="0"/>
        <w:snapToGrid w:val="0"/>
        <w:spacing w:line="360" w:lineRule="auto"/>
        <w:ind w:left="899" w:leftChars="428"/>
        <w:rPr>
          <w:rFonts w:ascii="宋体" w:hAnsi="宋体" w:cs="宋体"/>
          <w:sz w:val="24"/>
          <w:highlight w:val="none"/>
          <w:u w:val="single"/>
        </w:rPr>
      </w:pPr>
      <w:r>
        <w:rPr>
          <w:rFonts w:hint="eastAsia" w:ascii="宋体" w:hAnsi="宋体" w:cs="宋体"/>
          <w:sz w:val="24"/>
          <w:highlight w:val="none"/>
        </w:rPr>
        <w:t>法律依据：</w:t>
      </w:r>
      <w:r>
        <w:rPr>
          <w:rFonts w:hint="eastAsia" w:ascii="宋体" w:hAnsi="宋体" w:cs="宋体"/>
          <w:sz w:val="24"/>
          <w:highlight w:val="none"/>
          <w:u w:val="single"/>
        </w:rPr>
        <w:t xml:space="preserve">                                  </w:t>
      </w:r>
    </w:p>
    <w:p>
      <w:pPr>
        <w:adjustRightInd w:val="0"/>
        <w:snapToGrid w:val="0"/>
        <w:spacing w:line="360" w:lineRule="auto"/>
        <w:ind w:left="899" w:leftChars="428"/>
        <w:rPr>
          <w:rFonts w:ascii="宋体" w:hAnsi="宋体" w:cs="宋体"/>
          <w:sz w:val="24"/>
          <w:highlight w:val="none"/>
          <w:u w:val="single"/>
        </w:rPr>
      </w:pPr>
      <w:r>
        <w:rPr>
          <w:rFonts w:hint="eastAsia" w:ascii="宋体" w:hAnsi="宋体" w:cs="宋体"/>
          <w:sz w:val="24"/>
          <w:highlight w:val="none"/>
          <w:u w:val="single"/>
        </w:rPr>
        <w:t xml:space="preserve">                                                                    </w:t>
      </w:r>
    </w:p>
    <w:p>
      <w:pPr>
        <w:adjustRightInd w:val="0"/>
        <w:snapToGrid w:val="0"/>
        <w:spacing w:line="360" w:lineRule="auto"/>
        <w:ind w:left="899" w:leftChars="428"/>
        <w:rPr>
          <w:rFonts w:ascii="宋体" w:hAnsi="宋体" w:cs="宋体"/>
          <w:sz w:val="24"/>
          <w:highlight w:val="none"/>
        </w:rPr>
      </w:pPr>
      <w:r>
        <w:rPr>
          <w:rFonts w:hint="eastAsia" w:ascii="宋体" w:hAnsi="宋体" w:cs="宋体"/>
          <w:sz w:val="24"/>
          <w:highlight w:val="none"/>
        </w:rPr>
        <w:t>投诉事项2</w:t>
      </w:r>
    </w:p>
    <w:p>
      <w:pPr>
        <w:adjustRightInd w:val="0"/>
        <w:snapToGrid w:val="0"/>
        <w:spacing w:line="360" w:lineRule="auto"/>
        <w:ind w:left="899" w:leftChars="428"/>
        <w:rPr>
          <w:rFonts w:ascii="宋体" w:hAnsi="宋体" w:cs="宋体"/>
          <w:sz w:val="24"/>
          <w:highlight w:val="none"/>
          <w:u w:val="dotted"/>
        </w:rPr>
      </w:pPr>
      <w:r>
        <w:rPr>
          <w:rFonts w:hint="eastAsia" w:ascii="宋体" w:hAnsi="宋体" w:cs="宋体"/>
          <w:sz w:val="24"/>
          <w:highlight w:val="none"/>
        </w:rPr>
        <w:t>……</w:t>
      </w:r>
    </w:p>
    <w:p>
      <w:pPr>
        <w:numPr>
          <w:ilvl w:val="0"/>
          <w:numId w:val="185"/>
        </w:numPr>
        <w:adjustRightInd w:val="0"/>
        <w:snapToGrid w:val="0"/>
        <w:spacing w:before="240" w:beforeLines="100" w:line="360" w:lineRule="auto"/>
        <w:rPr>
          <w:rFonts w:ascii="宋体" w:hAnsi="宋体" w:cs="宋体"/>
          <w:b/>
          <w:sz w:val="24"/>
          <w:highlight w:val="none"/>
        </w:rPr>
      </w:pPr>
      <w:r>
        <w:rPr>
          <w:rFonts w:hint="eastAsia" w:ascii="宋体" w:hAnsi="宋体" w:cs="宋体"/>
          <w:b/>
          <w:sz w:val="24"/>
          <w:highlight w:val="none"/>
        </w:rPr>
        <w:t>与投诉事项相关的投诉请求</w:t>
      </w:r>
    </w:p>
    <w:p>
      <w:pPr>
        <w:adjustRightInd w:val="0"/>
        <w:snapToGrid w:val="0"/>
        <w:spacing w:line="360" w:lineRule="auto"/>
        <w:ind w:firstLine="900" w:firstLineChars="375"/>
        <w:rPr>
          <w:rFonts w:ascii="宋体" w:hAnsi="宋体" w:cs="宋体"/>
          <w:sz w:val="24"/>
          <w:highlight w:val="none"/>
        </w:rPr>
      </w:pPr>
      <w:r>
        <w:rPr>
          <w:rFonts w:hint="eastAsia" w:ascii="宋体" w:hAnsi="宋体" w:cs="宋体"/>
          <w:sz w:val="24"/>
          <w:highlight w:val="none"/>
        </w:rPr>
        <w:t>请求：</w:t>
      </w:r>
      <w:r>
        <w:rPr>
          <w:rFonts w:hint="eastAsia" w:ascii="宋体" w:hAnsi="宋体" w:cs="宋体"/>
          <w:sz w:val="24"/>
          <w:highlight w:val="none"/>
          <w:u w:val="single"/>
        </w:rPr>
        <w:t xml:space="preserve">                                                                    </w:t>
      </w:r>
      <w:r>
        <w:rPr>
          <w:rFonts w:hint="eastAsia" w:ascii="宋体" w:hAnsi="宋体" w:cs="宋体"/>
          <w:sz w:val="24"/>
          <w:highlight w:val="none"/>
        </w:rPr>
        <w:t xml:space="preserve"> </w:t>
      </w:r>
    </w:p>
    <w:p>
      <w:pPr>
        <w:adjustRightInd w:val="0"/>
        <w:snapToGrid w:val="0"/>
        <w:spacing w:line="360" w:lineRule="auto"/>
        <w:ind w:firstLine="900" w:firstLineChars="375"/>
        <w:rPr>
          <w:rFonts w:ascii="宋体" w:hAnsi="宋体" w:cs="宋体"/>
          <w:sz w:val="24"/>
          <w:highlight w:val="none"/>
          <w:u w:val="single"/>
        </w:rPr>
      </w:pPr>
      <w:r>
        <w:rPr>
          <w:rFonts w:hint="eastAsia" w:ascii="宋体" w:hAnsi="宋体" w:cs="宋体"/>
          <w:sz w:val="24"/>
          <w:highlight w:val="none"/>
        </w:rPr>
        <w:t xml:space="preserve">                                                                                                    </w:t>
      </w:r>
    </w:p>
    <w:p>
      <w:pPr>
        <w:adjustRightInd w:val="0"/>
        <w:snapToGrid w:val="0"/>
        <w:spacing w:line="360" w:lineRule="auto"/>
        <w:ind w:firstLine="900" w:firstLineChars="375"/>
        <w:rPr>
          <w:rFonts w:ascii="宋体" w:hAnsi="宋体" w:cs="宋体"/>
          <w:sz w:val="24"/>
          <w:highlight w:val="none"/>
        </w:rPr>
      </w:pPr>
      <w:r>
        <w:rPr>
          <w:rFonts w:hint="eastAsia" w:ascii="宋体" w:hAnsi="宋体" w:cs="宋体"/>
          <w:sz w:val="24"/>
          <w:highlight w:val="none"/>
        </w:rPr>
        <w:t xml:space="preserve">签字(签章)：                   公章：                      </w:t>
      </w:r>
    </w:p>
    <w:p>
      <w:pPr>
        <w:adjustRightInd w:val="0"/>
        <w:snapToGrid w:val="0"/>
        <w:spacing w:line="360" w:lineRule="auto"/>
        <w:ind w:firstLine="900" w:firstLineChars="375"/>
        <w:rPr>
          <w:rFonts w:ascii="宋体" w:hAnsi="宋体" w:cs="宋体"/>
          <w:sz w:val="24"/>
          <w:highlight w:val="none"/>
        </w:rPr>
      </w:pPr>
      <w:r>
        <w:rPr>
          <w:rFonts w:hint="eastAsia" w:ascii="宋体" w:hAnsi="宋体" w:cs="宋体"/>
          <w:sz w:val="24"/>
          <w:highlight w:val="none"/>
        </w:rPr>
        <w:t xml:space="preserve">日期：    </w:t>
      </w:r>
    </w:p>
    <w:p>
      <w:pPr>
        <w:adjustRightInd w:val="0"/>
        <w:snapToGrid w:val="0"/>
        <w:spacing w:line="360" w:lineRule="auto"/>
        <w:rPr>
          <w:rFonts w:ascii="宋体" w:hAnsi="宋体" w:cs="宋体"/>
          <w:b/>
          <w:sz w:val="24"/>
          <w:highlight w:val="none"/>
        </w:rPr>
      </w:pPr>
    </w:p>
    <w:p>
      <w:pPr>
        <w:adjustRightInd w:val="0"/>
        <w:snapToGrid w:val="0"/>
        <w:spacing w:line="360" w:lineRule="auto"/>
        <w:rPr>
          <w:rFonts w:ascii="宋体" w:hAnsi="宋体" w:cs="宋体"/>
          <w:b/>
          <w:sz w:val="24"/>
          <w:highlight w:val="none"/>
        </w:rPr>
      </w:pPr>
      <w:r>
        <w:rPr>
          <w:rFonts w:hint="eastAsia" w:ascii="宋体" w:hAnsi="宋体" w:cs="宋体"/>
          <w:b/>
          <w:sz w:val="24"/>
          <w:highlight w:val="none"/>
        </w:rPr>
        <w:t>投诉书制作说明：</w:t>
      </w:r>
    </w:p>
    <w:p>
      <w:pPr>
        <w:widowControl/>
        <w:numPr>
          <w:ilvl w:val="0"/>
          <w:numId w:val="186"/>
        </w:numPr>
        <w:adjustRightInd w:val="0"/>
        <w:snapToGrid w:val="0"/>
        <w:spacing w:line="360" w:lineRule="auto"/>
        <w:rPr>
          <w:rFonts w:ascii="宋体" w:hAnsi="宋体" w:cs="宋体"/>
          <w:kern w:val="0"/>
          <w:sz w:val="24"/>
          <w:highlight w:val="none"/>
        </w:rPr>
      </w:pPr>
      <w:r>
        <w:rPr>
          <w:rFonts w:hint="eastAsia" w:ascii="宋体" w:hAnsi="宋体" w:cs="宋体"/>
          <w:sz w:val="24"/>
          <w:highlight w:val="none"/>
        </w:rPr>
        <w:t>投诉人提起投诉时，应当提交投诉书和必要的证明材料，并按照被投诉人和与投诉事项有关的供应商数量提供投诉书副本。</w:t>
      </w:r>
    </w:p>
    <w:p>
      <w:pPr>
        <w:widowControl/>
        <w:numPr>
          <w:ilvl w:val="0"/>
          <w:numId w:val="186"/>
        </w:numPr>
        <w:adjustRightInd w:val="0"/>
        <w:snapToGrid w:val="0"/>
        <w:spacing w:line="360" w:lineRule="auto"/>
        <w:jc w:val="left"/>
        <w:rPr>
          <w:rFonts w:ascii="宋体" w:hAnsi="宋体" w:cs="宋体"/>
          <w:kern w:val="0"/>
          <w:sz w:val="24"/>
          <w:highlight w:val="none"/>
        </w:rPr>
      </w:pPr>
      <w:r>
        <w:rPr>
          <w:rFonts w:hint="eastAsia" w:ascii="宋体" w:hAnsi="宋体" w:cs="宋体"/>
          <w:sz w:val="24"/>
          <w:highlight w:val="none"/>
        </w:rPr>
        <w:t>投诉人若委托代理人进行投诉的，投诉书应按照要求列明“授权代表”的有关内容，并在附件中提交由</w:t>
      </w:r>
      <w:r>
        <w:rPr>
          <w:rFonts w:hint="eastAsia" w:ascii="宋体" w:hAnsi="宋体" w:cs="宋体"/>
          <w:kern w:val="0"/>
          <w:sz w:val="24"/>
          <w:highlight w:val="none"/>
        </w:rPr>
        <w:t>投诉人签署的授权委托书。授权委托书应当载明代理人的姓名或者名称、代理事项、具体权限、期限和相关事项。</w:t>
      </w:r>
    </w:p>
    <w:p>
      <w:pPr>
        <w:widowControl/>
        <w:numPr>
          <w:ilvl w:val="0"/>
          <w:numId w:val="186"/>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投诉人若对项目的某一分包进行投诉，投诉书应列明具体分包号。</w:t>
      </w:r>
    </w:p>
    <w:p>
      <w:pPr>
        <w:widowControl/>
        <w:numPr>
          <w:ilvl w:val="0"/>
          <w:numId w:val="186"/>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投诉书应简要列明质疑事项，质疑函、质疑答复等作为附件材料提供。</w:t>
      </w:r>
    </w:p>
    <w:p>
      <w:pPr>
        <w:widowControl/>
        <w:numPr>
          <w:ilvl w:val="0"/>
          <w:numId w:val="186"/>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投诉书的投诉事项应具体、明确，并有必要的事实依据和法律依据。</w:t>
      </w:r>
    </w:p>
    <w:p>
      <w:pPr>
        <w:widowControl/>
        <w:numPr>
          <w:ilvl w:val="0"/>
          <w:numId w:val="186"/>
        </w:numPr>
        <w:adjustRightInd w:val="0"/>
        <w:snapToGrid w:val="0"/>
        <w:spacing w:line="360" w:lineRule="auto"/>
        <w:jc w:val="left"/>
        <w:rPr>
          <w:rFonts w:ascii="宋体" w:hAnsi="宋体" w:cs="宋体"/>
          <w:sz w:val="24"/>
          <w:highlight w:val="none"/>
        </w:rPr>
      </w:pPr>
      <w:r>
        <w:rPr>
          <w:rFonts w:hint="eastAsia" w:ascii="宋体" w:hAnsi="宋体" w:cs="宋体"/>
          <w:sz w:val="24"/>
          <w:highlight w:val="none"/>
        </w:rPr>
        <w:t>投诉书的投诉请求应与投诉事项相关。</w:t>
      </w:r>
    </w:p>
    <w:p>
      <w:pPr>
        <w:widowControl/>
        <w:numPr>
          <w:ilvl w:val="0"/>
          <w:numId w:val="186"/>
        </w:numPr>
        <w:adjustRightInd w:val="0"/>
        <w:snapToGrid w:val="0"/>
        <w:spacing w:line="360" w:lineRule="auto"/>
        <w:jc w:val="left"/>
        <w:rPr>
          <w:rFonts w:ascii="宋体" w:hAnsi="宋体" w:cs="宋体"/>
          <w:kern w:val="0"/>
          <w:sz w:val="24"/>
          <w:highlight w:val="none"/>
        </w:rPr>
      </w:pPr>
      <w:r>
        <w:rPr>
          <w:rFonts w:hint="eastAsia" w:ascii="宋体" w:hAnsi="宋体" w:cs="宋体"/>
          <w:sz w:val="24"/>
          <w:highlight w:val="none"/>
        </w:rPr>
        <w:t>投诉人为自然人的，投诉书应当由本人签字；投诉人为法人或者其他组织的，投诉书应当由法定代表人、主要负责人，或者其授权代表签字或者盖章，并加盖公章。</w:t>
      </w:r>
    </w:p>
    <w:sectPr>
      <w:headerReference r:id="rId10" w:type="default"/>
      <w:footerReference r:id="rId11" w:type="default"/>
      <w:pgSz w:w="11905" w:h="16838"/>
      <w:pgMar w:top="1803" w:right="1440" w:bottom="1803" w:left="1440" w:header="850" w:footer="822"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隶书_GB2312">
    <w:altName w:val="宋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hakuyoxingshu7000">
    <w:altName w:val="宋体"/>
    <w:panose1 w:val="00000000000000000000"/>
    <w:charset w:val="86"/>
    <w:family w:val="auto"/>
    <w:pitch w:val="default"/>
    <w:sig w:usb0="00000000" w:usb1="00000000" w:usb2="0000003F" w:usb3="00000000" w:csb0="003F00F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rPr>
        <w:sz w:val="18"/>
        <w:szCs w:val="18"/>
      </w:rPr>
    </w:pPr>
    <w:r>
      <w:rPr>
        <w:rFonts w:hint="eastAsia"/>
        <w:sz w:val="18"/>
        <w:lang w:eastAsia="zh-Hans"/>
      </w:rPr>
      <w:t>项目编号：</w:t>
    </w:r>
    <w:r>
      <w:rPr>
        <w:rFonts w:hint="eastAsia"/>
        <w:sz w:val="18"/>
        <w:szCs w:val="18"/>
      </w:rPr>
      <w:t>1210-2441YDZB7762</w:t>
    </w:r>
    <w:r>
      <w:rPr>
        <w:rFonts w:hint="eastAsia" w:ascii="宋体" w:hAnsi="宋体" w:cs="宋体"/>
        <w:sz w:val="18"/>
        <w:szCs w:val="18"/>
      </w:rPr>
      <w:t xml:space="preserve">    </w:t>
    </w:r>
    <w:r>
      <w:rPr>
        <w:rFonts w:hint="eastAsia"/>
        <w:sz w:val="18"/>
        <w:szCs w:val="18"/>
      </w:rPr>
      <w:t xml:space="preserve">                                        广东有德招标采购有限公司 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rPr>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76</w:t>
                    </w:r>
                    <w:r>
                      <w:fldChar w:fldCharType="end"/>
                    </w:r>
                  </w:p>
                </w:txbxContent>
              </v:textbox>
            </v:shape>
          </w:pict>
        </mc:Fallback>
      </mc:AlternateContent>
    </w:r>
    <w:r>
      <w:rPr>
        <w:rFonts w:hint="eastAsia"/>
        <w:sz w:val="18"/>
        <w:lang w:eastAsia="zh-Hans"/>
      </w:rPr>
      <w:t>项目编号：</w:t>
    </w:r>
    <w:r>
      <w:rPr>
        <w:rFonts w:hint="eastAsia"/>
        <w:sz w:val="18"/>
        <w:szCs w:val="18"/>
      </w:rPr>
      <w:t>1210-2441YDZB7762</w:t>
    </w:r>
    <w:r>
      <w:rPr>
        <w:rFonts w:hint="eastAsia" w:ascii="宋体" w:hAnsi="宋体" w:cs="宋体"/>
        <w:sz w:val="18"/>
        <w:szCs w:val="18"/>
      </w:rPr>
      <w:t xml:space="preserve">    </w:t>
    </w:r>
    <w:r>
      <w:rPr>
        <w:rFonts w:hint="eastAsia"/>
        <w:sz w:val="18"/>
        <w:szCs w:val="18"/>
      </w:rPr>
      <w:t xml:space="preserve">                                        广东有德招标采购有限公司 编制</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3"/>
      </w:rPr>
    </w:pPr>
    <w:r>
      <w:rPr>
        <w:rStyle w:val="33"/>
      </w:rPr>
      <w:fldChar w:fldCharType="begin"/>
    </w:r>
    <w:r>
      <w:rPr>
        <w:rStyle w:val="33"/>
      </w:rPr>
      <w:instrText xml:space="preserve">PAGE  </w:instrText>
    </w:r>
    <w:r>
      <w:rPr>
        <w:rStyle w:val="33"/>
      </w:rPr>
      <w:fldChar w:fldCharType="separate"/>
    </w:r>
    <w:r>
      <w:rPr>
        <w:rStyle w:val="33"/>
      </w:rPr>
      <w:t>46</w:t>
    </w:r>
    <w:r>
      <w:rPr>
        <w:rStyle w:val="33"/>
      </w:rPr>
      <w:fldChar w:fldCharType="end"/>
    </w:r>
  </w:p>
  <w:p>
    <w:pPr>
      <w:pStyle w:val="89"/>
      <w:ind w:left="64" w:hanging="64"/>
      <w:jc w:val="both"/>
      <w:rPr>
        <w:rFonts w:cs="Tahoma"/>
      </w:rPr>
    </w:pPr>
    <w:r>
      <w:rPr>
        <w:rFonts w:hint="eastAsia" w:cs="Tahoma"/>
      </w:rPr>
      <w:t>网址：</w:t>
    </w:r>
    <w:r>
      <w:fldChar w:fldCharType="begin"/>
    </w:r>
    <w:r>
      <w:instrText xml:space="preserve">HYPERLINK "http://www.gzcqc.com"</w:instrText>
    </w:r>
    <w:r>
      <w:fldChar w:fldCharType="separate"/>
    </w:r>
    <w:r>
      <w:rPr>
        <w:rStyle w:val="35"/>
        <w:rFonts w:cs="Tahoma"/>
      </w:rPr>
      <w:t>http://www.gzcqc.com</w:t>
    </w:r>
    <w:r>
      <w:fldChar w:fldCharType="end"/>
    </w:r>
    <w:r>
      <w:rPr>
        <w:rFonts w:cs="Tahoma"/>
      </w:rPr>
      <w:t xml:space="preserve">                                              E-mail: </w:t>
    </w:r>
    <w:r>
      <w:fldChar w:fldCharType="begin"/>
    </w:r>
    <w:r>
      <w:instrText xml:space="preserve">HYPERLINK "mailto:gdgpc@yahoo.com.cn"</w:instrText>
    </w:r>
    <w:r>
      <w:fldChar w:fldCharType="separate"/>
    </w:r>
    <w:r>
      <w:fldChar w:fldCharType="end"/>
    </w:r>
    <w:r>
      <w:fldChar w:fldCharType="begin"/>
    </w:r>
    <w:r>
      <w:instrText xml:space="preserve">HYPERLINK "mailto:gzcqc2006@163.com"</w:instrText>
    </w:r>
    <w:r>
      <w:fldChar w:fldCharType="separate"/>
    </w:r>
    <w:r>
      <w:t>gzcqc2006@163.com</w:t>
    </w:r>
    <w:r>
      <w:fldChar w:fldCharType="end"/>
    </w:r>
  </w:p>
  <w:p>
    <w:pPr>
      <w:pStyle w:val="89"/>
      <w:ind w:left="64" w:hanging="64"/>
      <w:jc w:val="both"/>
      <w:rPr>
        <w:rFonts w:cs="Tahoma"/>
      </w:rPr>
    </w:pPr>
    <w:r>
      <w:rPr>
        <w:rFonts w:hint="eastAsia" w:cs="Tahoma"/>
      </w:rPr>
      <w:t>联系电话：</w:t>
    </w:r>
    <w:r>
      <w:rPr>
        <w:rFonts w:cs="Tahoma"/>
      </w:rPr>
      <w:t xml:space="preserve">020-83576900                                                  </w:t>
    </w:r>
    <w:r>
      <w:rPr>
        <w:rFonts w:hint="eastAsia" w:cs="Tahoma"/>
      </w:rPr>
      <w:t>传真：</w:t>
    </w:r>
    <w:r>
      <w:rPr>
        <w:rFonts w:cs="Tahoma"/>
      </w:rPr>
      <w:t>020-83499619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right" w:y="1"/>
      <w:rPr>
        <w:rStyle w:val="33"/>
      </w:rPr>
    </w:pPr>
    <w:r>
      <w:rPr>
        <w:rStyle w:val="33"/>
      </w:rPr>
      <w:fldChar w:fldCharType="begin"/>
    </w:r>
    <w:r>
      <w:rPr>
        <w:rStyle w:val="33"/>
      </w:rPr>
      <w:instrText xml:space="preserve">PAGE  </w:instrText>
    </w:r>
    <w:r>
      <w:rPr>
        <w:rStyle w:val="33"/>
      </w:rPr>
      <w:fldChar w:fldCharType="separate"/>
    </w:r>
    <w:r>
      <w:rPr>
        <w:rStyle w:val="33"/>
      </w:rPr>
      <w:t>42</w:t>
    </w:r>
    <w:r>
      <w:rPr>
        <w:rStyle w:val="33"/>
      </w:rPr>
      <w:fldChar w:fldCharType="end"/>
    </w:r>
  </w:p>
  <w:p>
    <w:pPr>
      <w:pStyle w:val="89"/>
      <w:ind w:left="-2" w:right="360"/>
      <w:jc w:val="center"/>
    </w:pPr>
    <w:r>
      <w:rPr>
        <w:rFonts w:hint="eastAsia"/>
      </w:rPr>
      <w:t>第五章投标文件格式</w:t>
    </w:r>
    <w:r>
      <w:t xml:space="preserve">                                               - -*****************</w:t>
    </w:r>
    <w:r>
      <w:rPr>
        <w:rFonts w:hint="eastAsia"/>
      </w:rPr>
      <w:t>代理有限公司编制</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JScb8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QRDOFil++f7v8&#10;+HX5+ZXgDAI11s8Rt7OIDO1b06JthnOPw8i7LZ2KXzAi8APrfJVXtIHweGk2nc3GcHH4hg3ws8fr&#10;1vnwThhFopFTh/olWdlp60MXOoTEbNpsailTDaUmTU5vXr8ZpwtXD8ClRo5IontstEK7b3tme1Oc&#10;QcyZrje85ZsaybfMhwfm0Ax4MMYl3GMppUES01uUVMZ9+dd5jEeN4KWkQXPlVGOWKJHvNWoHwDAY&#10;bjD2g6GP6s6gWycYQ8uTiQsuyMEsnVGfMUOrmAMupjky5TQM5l3oGhwzyMVqlYLQbZaFrd5ZHqGj&#10;eN6ujgECJl2jKJ0SvVbot1SZfjZiQ/+5T1GP/4P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yUnG/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134</w:t>
                    </w:r>
                    <w:r>
                      <w:fldChar w:fldCharType="end"/>
                    </w:r>
                  </w:p>
                </w:txbxContent>
              </v:textbox>
            </v:shape>
          </w:pict>
        </mc:Fallback>
      </mc:AlternateContent>
    </w:r>
    <w:r>
      <w:rPr>
        <w:rFonts w:hint="eastAsia" w:ascii="宋体" w:hAnsi="宋体" w:cs="宋体"/>
        <w:sz w:val="18"/>
        <w:szCs w:val="18"/>
      </w:rPr>
      <w:t xml:space="preserve">1210-2441YDZB7762                                            </w:t>
    </w:r>
    <w:r>
      <w:rPr>
        <w:rFonts w:ascii="宋体" w:hAnsi="宋体" w:cs="宋体"/>
        <w:sz w:val="18"/>
        <w:szCs w:val="18"/>
      </w:rPr>
      <w:t xml:space="preserve">          </w:t>
    </w:r>
    <w:r>
      <w:rPr>
        <w:rFonts w:hint="eastAsia" w:ascii="宋体" w:hAnsi="宋体" w:cs="宋体"/>
        <w:sz w:val="18"/>
        <w:szCs w:val="18"/>
      </w:rPr>
      <w:t>广东有德招标采购有限公司 编制</w:t>
    </w:r>
  </w:p>
  <w:p>
    <w:pPr>
      <w:spacing w:line="14" w:lineRule="auto"/>
      <w:rPr>
        <w:sz w:val="20"/>
        <w:szCs w:val="20"/>
      </w:rPr>
    </w:pPr>
    <w:r>
      <w:rPr>
        <w:rFonts w:hint="eastAsia"/>
        <w:sz w:val="20"/>
        <w:szCs w:val="20"/>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0"/>
      </w:pBdr>
      <w:rPr>
        <w:rFonts w:ascii="宋体" w:hAnsi="宋体" w:cs="宋体"/>
        <w:sz w:val="18"/>
        <w:szCs w:val="18"/>
      </w:rPr>
    </w:pPr>
    <w:r>
      <w:rPr>
        <w:rFonts w:hint="eastAsia" w:ascii="宋体" w:hAnsi="宋体" w:cs="宋体"/>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7"/>
                          </w:pPr>
                          <w:r>
                            <w:fldChar w:fldCharType="begin"/>
                          </w:r>
                          <w:r>
                            <w:instrText xml:space="preserve"> PAGE  \* MERGEFORMAT </w:instrText>
                          </w:r>
                          <w:r>
                            <w:fldChar w:fldCharType="separate"/>
                          </w:r>
                          <w:r>
                            <w:t>140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pPr>
                      <w:pStyle w:val="17"/>
                    </w:pPr>
                    <w:r>
                      <w:fldChar w:fldCharType="begin"/>
                    </w:r>
                    <w:r>
                      <w:instrText xml:space="preserve"> PAGE  \* MERGEFORMAT </w:instrText>
                    </w:r>
                    <w:r>
                      <w:fldChar w:fldCharType="separate"/>
                    </w:r>
                    <w:r>
                      <w:t>140</w:t>
                    </w:r>
                    <w:r>
                      <w:fldChar w:fldCharType="end"/>
                    </w:r>
                  </w:p>
                </w:txbxContent>
              </v:textbox>
            </v:shape>
          </w:pict>
        </mc:Fallback>
      </mc:AlternateContent>
    </w:r>
    <w:r>
      <w:rPr>
        <w:rFonts w:hint="eastAsia" w:ascii="宋体" w:hAnsi="宋体" w:cs="宋体"/>
        <w:sz w:val="18"/>
        <w:szCs w:val="18"/>
      </w:rPr>
      <w:t>项目编号：1210-2441YDZB7762</w:t>
    </w:r>
    <w:r>
      <w:rPr>
        <w:rFonts w:hint="eastAsia" w:ascii="宋体" w:hAnsi="宋体" w:cs="宋体"/>
        <w:color w:val="FF0000"/>
        <w:sz w:val="18"/>
        <w:szCs w:val="18"/>
      </w:rPr>
      <w:t xml:space="preserve"> </w:t>
    </w:r>
    <w:r>
      <w:rPr>
        <w:rFonts w:hint="eastAsia" w:ascii="宋体" w:hAnsi="宋体" w:cs="宋体"/>
        <w:sz w:val="18"/>
        <w:szCs w:val="18"/>
      </w:rPr>
      <w:t xml:space="preserve">                                           广东有德招标采购有限公司 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pPr>
    <w:r>
      <w:drawing>
        <wp:inline distT="0" distB="0" distL="0" distR="0">
          <wp:extent cx="800100" cy="238125"/>
          <wp:effectExtent l="19050" t="0" r="0" b="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noChangeArrowheads="1"/>
                  </pic:cNvPicPr>
                </pic:nvPicPr>
                <pic:blipFill>
                  <a:blip r:embed="rId1"/>
                  <a:srcRect/>
                  <a:stretch>
                    <a:fillRect/>
                  </a:stretch>
                </pic:blipFill>
                <pic:spPr>
                  <a:xfrm>
                    <a:off x="0" y="0"/>
                    <a:ext cx="800100" cy="238125"/>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rPr>
      <w:t xml:space="preserve">  农业农村部木薯种质资源保护与利用重点实验室建设项目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single" w:color="auto" w:sz="4" w:space="1"/>
      </w:pBdr>
      <w:spacing w:before="72" w:after="72"/>
      <w:jc w:val="both"/>
      <w:rPr>
        <w:rFonts w:ascii="仿宋_GB2312"/>
        <w:color w:val="FF0000"/>
        <w:sz w:val="21"/>
      </w:rPr>
    </w:pPr>
    <w:r>
      <w:drawing>
        <wp:inline distT="0" distB="0" distL="0" distR="0">
          <wp:extent cx="800100" cy="238125"/>
          <wp:effectExtent l="19050" t="0" r="0" b="0"/>
          <wp:docPr id="3" name="图片 4" descr="说明: 有德招标logo横式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说明: 有德招标logo横式改"/>
                  <pic:cNvPicPr>
                    <a:picLocks noChangeAspect="1" noChangeArrowheads="1"/>
                  </pic:cNvPicPr>
                </pic:nvPicPr>
                <pic:blipFill>
                  <a:blip r:embed="rId1"/>
                  <a:srcRect/>
                  <a:stretch>
                    <a:fillRect/>
                  </a:stretch>
                </pic:blipFill>
                <pic:spPr>
                  <a:xfrm>
                    <a:off x="0" y="0"/>
                    <a:ext cx="800100" cy="238125"/>
                  </a:xfrm>
                  <a:prstGeom prst="rect">
                    <a:avLst/>
                  </a:prstGeom>
                  <a:noFill/>
                  <a:ln w="9525" cmpd="sng">
                    <a:noFill/>
                    <a:miter lim="800000"/>
                    <a:headEnd/>
                    <a:tailEnd/>
                  </a:ln>
                </pic:spPr>
              </pic:pic>
            </a:graphicData>
          </a:graphic>
        </wp:inline>
      </w:drawing>
    </w:r>
    <w:r>
      <w:t xml:space="preserve">        </w:t>
    </w:r>
    <w:r>
      <w:rPr>
        <w:rFonts w:hint="eastAsia"/>
      </w:rPr>
      <w:t xml:space="preserve">                      农业农村部木薯种质资源保护与利用重点实验室建设项目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40B530"/>
    <w:multiLevelType w:val="singleLevel"/>
    <w:tmpl w:val="8240B530"/>
    <w:lvl w:ilvl="0" w:tentative="0">
      <w:start w:val="1"/>
      <w:numFmt w:val="decimal"/>
      <w:lvlText w:val="%1、"/>
      <w:lvlJc w:val="left"/>
      <w:pPr>
        <w:tabs>
          <w:tab w:val="left" w:pos="420"/>
        </w:tabs>
        <w:ind w:left="425" w:hanging="425"/>
      </w:pPr>
      <w:rPr>
        <w:rFonts w:hint="default" w:cs="Times New Roman"/>
      </w:rPr>
    </w:lvl>
  </w:abstractNum>
  <w:abstractNum w:abstractNumId="1">
    <w:nsid w:val="833815D4"/>
    <w:multiLevelType w:val="singleLevel"/>
    <w:tmpl w:val="833815D4"/>
    <w:lvl w:ilvl="0" w:tentative="0">
      <w:start w:val="1"/>
      <w:numFmt w:val="decimal"/>
      <w:suff w:val="nothing"/>
      <w:lvlText w:val="(%1)"/>
      <w:lvlJc w:val="left"/>
      <w:pPr>
        <w:ind w:left="454" w:leftChars="0" w:hanging="454" w:firstLineChars="0"/>
      </w:pPr>
      <w:rPr>
        <w:rFonts w:hint="default"/>
      </w:rPr>
    </w:lvl>
  </w:abstractNum>
  <w:abstractNum w:abstractNumId="2">
    <w:nsid w:val="86A6BDBC"/>
    <w:multiLevelType w:val="singleLevel"/>
    <w:tmpl w:val="86A6BDBC"/>
    <w:lvl w:ilvl="0" w:tentative="0">
      <w:start w:val="1"/>
      <w:numFmt w:val="decimal"/>
      <w:suff w:val="nothing"/>
      <w:lvlText w:val="%1、"/>
      <w:lvlJc w:val="left"/>
      <w:pPr>
        <w:ind w:left="425" w:hanging="425"/>
      </w:pPr>
      <w:rPr>
        <w:rFonts w:hint="default"/>
      </w:rPr>
    </w:lvl>
  </w:abstractNum>
  <w:abstractNum w:abstractNumId="3">
    <w:nsid w:val="882467DB"/>
    <w:multiLevelType w:val="singleLevel"/>
    <w:tmpl w:val="882467DB"/>
    <w:lvl w:ilvl="0" w:tentative="0">
      <w:start w:val="1"/>
      <w:numFmt w:val="decimal"/>
      <w:suff w:val="nothing"/>
      <w:lvlText w:val="%1、"/>
      <w:lvlJc w:val="left"/>
      <w:pPr>
        <w:ind w:left="0" w:firstLine="420"/>
      </w:pPr>
      <w:rPr>
        <w:rFonts w:hint="default"/>
      </w:rPr>
    </w:lvl>
  </w:abstractNum>
  <w:abstractNum w:abstractNumId="4">
    <w:nsid w:val="8D1DC4DE"/>
    <w:multiLevelType w:val="singleLevel"/>
    <w:tmpl w:val="8D1DC4DE"/>
    <w:lvl w:ilvl="0" w:tentative="0">
      <w:start w:val="1"/>
      <w:numFmt w:val="decimal"/>
      <w:suff w:val="nothing"/>
      <w:lvlText w:val="(%1)"/>
      <w:lvlJc w:val="left"/>
      <w:pPr>
        <w:ind w:left="454" w:leftChars="0" w:hanging="454" w:firstLineChars="0"/>
      </w:pPr>
      <w:rPr>
        <w:rFonts w:hint="default"/>
      </w:rPr>
    </w:lvl>
  </w:abstractNum>
  <w:abstractNum w:abstractNumId="5">
    <w:nsid w:val="93442C0D"/>
    <w:multiLevelType w:val="singleLevel"/>
    <w:tmpl w:val="93442C0D"/>
    <w:lvl w:ilvl="0" w:tentative="0">
      <w:start w:val="1"/>
      <w:numFmt w:val="decimal"/>
      <w:suff w:val="nothing"/>
      <w:lvlText w:val="(%1)"/>
      <w:lvlJc w:val="left"/>
      <w:pPr>
        <w:ind w:left="454" w:leftChars="0" w:hanging="454" w:firstLineChars="0"/>
      </w:pPr>
      <w:rPr>
        <w:rFonts w:hint="default"/>
      </w:rPr>
    </w:lvl>
  </w:abstractNum>
  <w:abstractNum w:abstractNumId="6">
    <w:nsid w:val="946DD06E"/>
    <w:multiLevelType w:val="singleLevel"/>
    <w:tmpl w:val="946DD06E"/>
    <w:lvl w:ilvl="0" w:tentative="0">
      <w:start w:val="1"/>
      <w:numFmt w:val="decimal"/>
      <w:suff w:val="nothing"/>
      <w:lvlText w:val="（%1）"/>
      <w:lvlJc w:val="left"/>
      <w:pPr>
        <w:ind w:left="0" w:firstLine="420"/>
      </w:pPr>
      <w:rPr>
        <w:rFonts w:hint="default"/>
      </w:rPr>
    </w:lvl>
  </w:abstractNum>
  <w:abstractNum w:abstractNumId="7">
    <w:nsid w:val="984C005B"/>
    <w:multiLevelType w:val="multilevel"/>
    <w:tmpl w:val="984C005B"/>
    <w:lvl w:ilvl="0" w:tentative="0">
      <w:start w:val="1"/>
      <w:numFmt w:val="decimal"/>
      <w:suff w:val="nothing"/>
      <w:lvlText w:val="%1、"/>
      <w:lvlJc w:val="left"/>
      <w:pPr>
        <w:ind w:left="0" w:firstLine="42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
    <w:nsid w:val="9AA95DB5"/>
    <w:multiLevelType w:val="singleLevel"/>
    <w:tmpl w:val="9AA95DB5"/>
    <w:lvl w:ilvl="0" w:tentative="0">
      <w:start w:val="1"/>
      <w:numFmt w:val="decimal"/>
      <w:suff w:val="nothing"/>
      <w:lvlText w:val="%1"/>
      <w:lvlJc w:val="left"/>
      <w:pPr>
        <w:ind w:left="425" w:hanging="425"/>
      </w:pPr>
      <w:rPr>
        <w:rFonts w:hint="default"/>
      </w:rPr>
    </w:lvl>
  </w:abstractNum>
  <w:abstractNum w:abstractNumId="9">
    <w:nsid w:val="9B639A74"/>
    <w:multiLevelType w:val="singleLevel"/>
    <w:tmpl w:val="9B639A74"/>
    <w:lvl w:ilvl="0" w:tentative="0">
      <w:start w:val="1"/>
      <w:numFmt w:val="chineseCounting"/>
      <w:suff w:val="nothing"/>
      <w:lvlText w:val="（%1）"/>
      <w:lvlJc w:val="left"/>
      <w:pPr>
        <w:ind w:left="0" w:firstLine="420"/>
      </w:pPr>
      <w:rPr>
        <w:rFonts w:hint="eastAsia"/>
      </w:rPr>
    </w:lvl>
  </w:abstractNum>
  <w:abstractNum w:abstractNumId="10">
    <w:nsid w:val="A008F766"/>
    <w:multiLevelType w:val="singleLevel"/>
    <w:tmpl w:val="A008F766"/>
    <w:lvl w:ilvl="0" w:tentative="0">
      <w:start w:val="1"/>
      <w:numFmt w:val="chineseCounting"/>
      <w:suff w:val="nothing"/>
      <w:lvlText w:val="%1、"/>
      <w:lvlJc w:val="left"/>
      <w:pPr>
        <w:ind w:left="0" w:firstLine="420"/>
      </w:pPr>
      <w:rPr>
        <w:rFonts w:hint="eastAsia"/>
      </w:rPr>
    </w:lvl>
  </w:abstractNum>
  <w:abstractNum w:abstractNumId="11">
    <w:nsid w:val="A3EFB2AF"/>
    <w:multiLevelType w:val="singleLevel"/>
    <w:tmpl w:val="A3EFB2AF"/>
    <w:lvl w:ilvl="0" w:tentative="0">
      <w:start w:val="1"/>
      <w:numFmt w:val="decimal"/>
      <w:suff w:val="nothing"/>
      <w:lvlText w:val="%1"/>
      <w:lvlJc w:val="left"/>
      <w:pPr>
        <w:ind w:left="425" w:hanging="425"/>
      </w:pPr>
      <w:rPr>
        <w:rFonts w:hint="default"/>
      </w:rPr>
    </w:lvl>
  </w:abstractNum>
  <w:abstractNum w:abstractNumId="12">
    <w:nsid w:val="A9F37228"/>
    <w:multiLevelType w:val="singleLevel"/>
    <w:tmpl w:val="A9F37228"/>
    <w:lvl w:ilvl="0" w:tentative="0">
      <w:start w:val="1"/>
      <w:numFmt w:val="decimal"/>
      <w:lvlText w:val="(%1)"/>
      <w:lvlJc w:val="left"/>
      <w:pPr>
        <w:ind w:left="425" w:hanging="425"/>
      </w:pPr>
      <w:rPr>
        <w:rFonts w:hint="default"/>
      </w:rPr>
    </w:lvl>
  </w:abstractNum>
  <w:abstractNum w:abstractNumId="13">
    <w:nsid w:val="AB72CC9D"/>
    <w:multiLevelType w:val="singleLevel"/>
    <w:tmpl w:val="AB72CC9D"/>
    <w:lvl w:ilvl="0" w:tentative="0">
      <w:start w:val="1"/>
      <w:numFmt w:val="decimal"/>
      <w:suff w:val="nothing"/>
      <w:lvlText w:val="%1、"/>
      <w:lvlJc w:val="left"/>
      <w:pPr>
        <w:ind w:left="0" w:firstLine="420"/>
      </w:pPr>
      <w:rPr>
        <w:rFonts w:hint="default"/>
      </w:rPr>
    </w:lvl>
  </w:abstractNum>
  <w:abstractNum w:abstractNumId="14">
    <w:nsid w:val="ACAAB060"/>
    <w:multiLevelType w:val="singleLevel"/>
    <w:tmpl w:val="ACAAB060"/>
    <w:lvl w:ilvl="0" w:tentative="0">
      <w:start w:val="1"/>
      <w:numFmt w:val="decimal"/>
      <w:suff w:val="nothing"/>
      <w:lvlText w:val="%1、"/>
      <w:lvlJc w:val="left"/>
      <w:pPr>
        <w:ind w:left="0" w:firstLine="420"/>
      </w:pPr>
      <w:rPr>
        <w:rFonts w:hint="default"/>
      </w:rPr>
    </w:lvl>
  </w:abstractNum>
  <w:abstractNum w:abstractNumId="15">
    <w:nsid w:val="AD34626C"/>
    <w:multiLevelType w:val="singleLevel"/>
    <w:tmpl w:val="AD34626C"/>
    <w:lvl w:ilvl="0" w:tentative="0">
      <w:start w:val="1"/>
      <w:numFmt w:val="decimal"/>
      <w:suff w:val="nothing"/>
      <w:lvlText w:val="%1、"/>
      <w:lvlJc w:val="left"/>
      <w:pPr>
        <w:ind w:left="0" w:firstLine="420"/>
      </w:pPr>
      <w:rPr>
        <w:rFonts w:hint="default"/>
      </w:rPr>
    </w:lvl>
  </w:abstractNum>
  <w:abstractNum w:abstractNumId="16">
    <w:nsid w:val="AE75D53C"/>
    <w:multiLevelType w:val="singleLevel"/>
    <w:tmpl w:val="AE75D53C"/>
    <w:lvl w:ilvl="0" w:tentative="0">
      <w:start w:val="1"/>
      <w:numFmt w:val="decimal"/>
      <w:suff w:val="nothing"/>
      <w:lvlText w:val="%1、"/>
      <w:lvlJc w:val="left"/>
      <w:pPr>
        <w:ind w:left="425" w:hanging="425"/>
      </w:pPr>
      <w:rPr>
        <w:rFonts w:hint="default"/>
      </w:rPr>
    </w:lvl>
  </w:abstractNum>
  <w:abstractNum w:abstractNumId="17">
    <w:nsid w:val="AE95694A"/>
    <w:multiLevelType w:val="singleLevel"/>
    <w:tmpl w:val="AE95694A"/>
    <w:lvl w:ilvl="0" w:tentative="0">
      <w:start w:val="1"/>
      <w:numFmt w:val="decimal"/>
      <w:suff w:val="nothing"/>
      <w:lvlText w:val="%1、"/>
      <w:lvlJc w:val="left"/>
      <w:pPr>
        <w:ind w:left="0" w:firstLine="420"/>
      </w:pPr>
      <w:rPr>
        <w:rFonts w:hint="default"/>
      </w:rPr>
    </w:lvl>
  </w:abstractNum>
  <w:abstractNum w:abstractNumId="18">
    <w:nsid w:val="B73D65C9"/>
    <w:multiLevelType w:val="singleLevel"/>
    <w:tmpl w:val="B73D65C9"/>
    <w:lvl w:ilvl="0" w:tentative="0">
      <w:start w:val="1"/>
      <w:numFmt w:val="decimal"/>
      <w:suff w:val="nothing"/>
      <w:lvlText w:val="%1、"/>
      <w:lvlJc w:val="left"/>
      <w:pPr>
        <w:ind w:left="425" w:hanging="425"/>
      </w:pPr>
      <w:rPr>
        <w:rFonts w:hint="default" w:cs="Times New Roman"/>
      </w:rPr>
    </w:lvl>
  </w:abstractNum>
  <w:abstractNum w:abstractNumId="19">
    <w:nsid w:val="BD66ECEA"/>
    <w:multiLevelType w:val="singleLevel"/>
    <w:tmpl w:val="BD66ECEA"/>
    <w:lvl w:ilvl="0" w:tentative="0">
      <w:start w:val="1"/>
      <w:numFmt w:val="decimal"/>
      <w:suff w:val="nothing"/>
      <w:lvlText w:val="%1"/>
      <w:lvlJc w:val="left"/>
      <w:pPr>
        <w:ind w:left="425" w:hanging="425"/>
      </w:pPr>
      <w:rPr>
        <w:rFonts w:hint="default"/>
      </w:rPr>
    </w:lvl>
  </w:abstractNum>
  <w:abstractNum w:abstractNumId="20">
    <w:nsid w:val="BE0993A3"/>
    <w:multiLevelType w:val="singleLevel"/>
    <w:tmpl w:val="BE0993A3"/>
    <w:lvl w:ilvl="0" w:tentative="0">
      <w:start w:val="1"/>
      <w:numFmt w:val="decimal"/>
      <w:suff w:val="nothing"/>
      <w:lvlText w:val="%1、"/>
      <w:lvlJc w:val="left"/>
    </w:lvl>
  </w:abstractNum>
  <w:abstractNum w:abstractNumId="21">
    <w:nsid w:val="BF7A401C"/>
    <w:multiLevelType w:val="multilevel"/>
    <w:tmpl w:val="BF7A401C"/>
    <w:lvl w:ilvl="0" w:tentative="0">
      <w:start w:val="1"/>
      <w:numFmt w:val="chineseCountingThousand"/>
      <w:suff w:val="nothing"/>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2">
    <w:nsid w:val="BFDBA557"/>
    <w:multiLevelType w:val="singleLevel"/>
    <w:tmpl w:val="BFDBA557"/>
    <w:lvl w:ilvl="0" w:tentative="0">
      <w:start w:val="1"/>
      <w:numFmt w:val="decimal"/>
      <w:suff w:val="nothing"/>
      <w:lvlText w:val="(%1)"/>
      <w:lvlJc w:val="left"/>
      <w:pPr>
        <w:ind w:left="454" w:hanging="454"/>
      </w:pPr>
      <w:rPr>
        <w:rFonts w:hint="default"/>
      </w:rPr>
    </w:lvl>
  </w:abstractNum>
  <w:abstractNum w:abstractNumId="23">
    <w:nsid w:val="C02BB702"/>
    <w:multiLevelType w:val="singleLevel"/>
    <w:tmpl w:val="C02BB702"/>
    <w:lvl w:ilvl="0" w:tentative="0">
      <w:start w:val="1"/>
      <w:numFmt w:val="decimal"/>
      <w:lvlText w:val="%1、"/>
      <w:lvlJc w:val="left"/>
      <w:pPr>
        <w:tabs>
          <w:tab w:val="left" w:pos="420"/>
        </w:tabs>
        <w:ind w:left="425" w:hanging="425"/>
      </w:pPr>
      <w:rPr>
        <w:rFonts w:hint="default" w:cs="Times New Roman"/>
      </w:rPr>
    </w:lvl>
  </w:abstractNum>
  <w:abstractNum w:abstractNumId="24">
    <w:nsid w:val="C0590677"/>
    <w:multiLevelType w:val="singleLevel"/>
    <w:tmpl w:val="C0590677"/>
    <w:lvl w:ilvl="0" w:tentative="0">
      <w:start w:val="1"/>
      <w:numFmt w:val="decimal"/>
      <w:suff w:val="nothing"/>
      <w:lvlText w:val="%1、"/>
      <w:lvlJc w:val="left"/>
      <w:pPr>
        <w:ind w:left="425" w:hanging="425"/>
      </w:pPr>
      <w:rPr>
        <w:rFonts w:hint="default"/>
      </w:rPr>
    </w:lvl>
  </w:abstractNum>
  <w:abstractNum w:abstractNumId="25">
    <w:nsid w:val="C096F52A"/>
    <w:multiLevelType w:val="singleLevel"/>
    <w:tmpl w:val="C096F52A"/>
    <w:lvl w:ilvl="0" w:tentative="0">
      <w:start w:val="1"/>
      <w:numFmt w:val="decimal"/>
      <w:lvlText w:val="(%1)"/>
      <w:lvlJc w:val="left"/>
      <w:pPr>
        <w:ind w:left="425" w:hanging="425"/>
      </w:pPr>
      <w:rPr>
        <w:rFonts w:hint="default"/>
      </w:rPr>
    </w:lvl>
  </w:abstractNum>
  <w:abstractNum w:abstractNumId="26">
    <w:nsid w:val="C8A309BC"/>
    <w:multiLevelType w:val="singleLevel"/>
    <w:tmpl w:val="C8A309BC"/>
    <w:lvl w:ilvl="0" w:tentative="0">
      <w:start w:val="1"/>
      <w:numFmt w:val="decimal"/>
      <w:suff w:val="nothing"/>
      <w:lvlText w:val="%1"/>
      <w:lvlJc w:val="left"/>
      <w:pPr>
        <w:ind w:left="425" w:hanging="425"/>
      </w:pPr>
      <w:rPr>
        <w:rFonts w:hint="default"/>
      </w:rPr>
    </w:lvl>
  </w:abstractNum>
  <w:abstractNum w:abstractNumId="27">
    <w:nsid w:val="CE9CF67A"/>
    <w:multiLevelType w:val="singleLevel"/>
    <w:tmpl w:val="CE9CF67A"/>
    <w:lvl w:ilvl="0" w:tentative="0">
      <w:start w:val="1"/>
      <w:numFmt w:val="decimal"/>
      <w:suff w:val="nothing"/>
      <w:lvlText w:val="%1、"/>
      <w:lvlJc w:val="left"/>
      <w:pPr>
        <w:ind w:left="0" w:firstLine="420"/>
      </w:pPr>
      <w:rPr>
        <w:rFonts w:hint="default" w:ascii="宋体" w:hAnsi="宋体" w:eastAsia="宋体" w:cs="宋体"/>
        <w:sz w:val="24"/>
        <w:szCs w:val="24"/>
      </w:rPr>
    </w:lvl>
  </w:abstractNum>
  <w:abstractNum w:abstractNumId="28">
    <w:nsid w:val="D01505CD"/>
    <w:multiLevelType w:val="singleLevel"/>
    <w:tmpl w:val="D01505CD"/>
    <w:lvl w:ilvl="0" w:tentative="0">
      <w:start w:val="1"/>
      <w:numFmt w:val="decimal"/>
      <w:suff w:val="nothing"/>
      <w:lvlText w:val="(%1)"/>
      <w:lvlJc w:val="left"/>
      <w:pPr>
        <w:ind w:left="454" w:leftChars="0" w:hanging="454" w:firstLineChars="0"/>
      </w:pPr>
      <w:rPr>
        <w:rFonts w:hint="default"/>
      </w:rPr>
    </w:lvl>
  </w:abstractNum>
  <w:abstractNum w:abstractNumId="29">
    <w:nsid w:val="D381D468"/>
    <w:multiLevelType w:val="singleLevel"/>
    <w:tmpl w:val="D381D468"/>
    <w:lvl w:ilvl="0" w:tentative="0">
      <w:start w:val="1"/>
      <w:numFmt w:val="decimal"/>
      <w:suff w:val="nothing"/>
      <w:lvlText w:val="%1．"/>
      <w:lvlJc w:val="left"/>
      <w:pPr>
        <w:ind w:left="0" w:firstLine="400"/>
      </w:pPr>
      <w:rPr>
        <w:rFonts w:hint="default"/>
      </w:rPr>
    </w:lvl>
  </w:abstractNum>
  <w:abstractNum w:abstractNumId="30">
    <w:nsid w:val="DB5CB723"/>
    <w:multiLevelType w:val="singleLevel"/>
    <w:tmpl w:val="DB5CB723"/>
    <w:lvl w:ilvl="0" w:tentative="0">
      <w:start w:val="1"/>
      <w:numFmt w:val="decimal"/>
      <w:suff w:val="nothing"/>
      <w:lvlText w:val="(%1)"/>
      <w:lvlJc w:val="left"/>
      <w:pPr>
        <w:ind w:left="454" w:hanging="454"/>
      </w:pPr>
      <w:rPr>
        <w:rFonts w:hint="default"/>
      </w:rPr>
    </w:lvl>
  </w:abstractNum>
  <w:abstractNum w:abstractNumId="31">
    <w:nsid w:val="DC9B75EB"/>
    <w:multiLevelType w:val="singleLevel"/>
    <w:tmpl w:val="DC9B75EB"/>
    <w:lvl w:ilvl="0" w:tentative="0">
      <w:start w:val="1"/>
      <w:numFmt w:val="chineseCounting"/>
      <w:suff w:val="nothing"/>
      <w:lvlText w:val="%1、"/>
      <w:lvlJc w:val="left"/>
      <w:pPr>
        <w:ind w:left="0" w:firstLine="420"/>
      </w:pPr>
      <w:rPr>
        <w:rFonts w:hint="eastAsia"/>
      </w:rPr>
    </w:lvl>
  </w:abstractNum>
  <w:abstractNum w:abstractNumId="32">
    <w:nsid w:val="E0AD0112"/>
    <w:multiLevelType w:val="singleLevel"/>
    <w:tmpl w:val="E0AD0112"/>
    <w:lvl w:ilvl="0" w:tentative="0">
      <w:start w:val="1"/>
      <w:numFmt w:val="decimal"/>
      <w:suff w:val="nothing"/>
      <w:lvlText w:val="(%1)"/>
      <w:lvlJc w:val="left"/>
      <w:pPr>
        <w:ind w:left="454" w:leftChars="0" w:hanging="454" w:firstLineChars="0"/>
      </w:pPr>
      <w:rPr>
        <w:rFonts w:hint="default"/>
      </w:rPr>
    </w:lvl>
  </w:abstractNum>
  <w:abstractNum w:abstractNumId="33">
    <w:nsid w:val="E24A77B8"/>
    <w:multiLevelType w:val="singleLevel"/>
    <w:tmpl w:val="E24A77B8"/>
    <w:lvl w:ilvl="0" w:tentative="0">
      <w:start w:val="1"/>
      <w:numFmt w:val="lowerLetter"/>
      <w:suff w:val="nothing"/>
      <w:lvlText w:val="%1、"/>
      <w:lvlJc w:val="left"/>
      <w:pPr>
        <w:ind w:left="0" w:firstLine="420"/>
      </w:pPr>
      <w:rPr>
        <w:rFonts w:hint="default"/>
      </w:rPr>
    </w:lvl>
  </w:abstractNum>
  <w:abstractNum w:abstractNumId="34">
    <w:nsid w:val="E2CB93A7"/>
    <w:multiLevelType w:val="singleLevel"/>
    <w:tmpl w:val="E2CB93A7"/>
    <w:lvl w:ilvl="0" w:tentative="0">
      <w:start w:val="1"/>
      <w:numFmt w:val="decimal"/>
      <w:suff w:val="nothing"/>
      <w:lvlText w:val="%1、"/>
      <w:lvlJc w:val="left"/>
      <w:pPr>
        <w:ind w:left="425" w:hanging="425"/>
      </w:pPr>
      <w:rPr>
        <w:rFonts w:hint="default" w:cs="Times New Roman"/>
      </w:rPr>
    </w:lvl>
  </w:abstractNum>
  <w:abstractNum w:abstractNumId="35">
    <w:nsid w:val="E4499A7D"/>
    <w:multiLevelType w:val="singleLevel"/>
    <w:tmpl w:val="E4499A7D"/>
    <w:lvl w:ilvl="0" w:tentative="0">
      <w:start w:val="1"/>
      <w:numFmt w:val="decimal"/>
      <w:lvlText w:val="(%1)"/>
      <w:lvlJc w:val="left"/>
      <w:pPr>
        <w:ind w:left="425" w:hanging="425"/>
      </w:pPr>
      <w:rPr>
        <w:rFonts w:hint="default"/>
      </w:rPr>
    </w:lvl>
  </w:abstractNum>
  <w:abstractNum w:abstractNumId="36">
    <w:nsid w:val="E6243597"/>
    <w:multiLevelType w:val="singleLevel"/>
    <w:tmpl w:val="E6243597"/>
    <w:lvl w:ilvl="0" w:tentative="0">
      <w:start w:val="1"/>
      <w:numFmt w:val="decimal"/>
      <w:lvlText w:val="%1、"/>
      <w:lvlJc w:val="left"/>
      <w:pPr>
        <w:tabs>
          <w:tab w:val="left" w:pos="420"/>
        </w:tabs>
        <w:ind w:left="425" w:hanging="425"/>
      </w:pPr>
      <w:rPr>
        <w:rFonts w:hint="default" w:cs="Times New Roman"/>
      </w:rPr>
    </w:lvl>
  </w:abstractNum>
  <w:abstractNum w:abstractNumId="37">
    <w:nsid w:val="E884AA7F"/>
    <w:multiLevelType w:val="singleLevel"/>
    <w:tmpl w:val="E884AA7F"/>
    <w:lvl w:ilvl="0" w:tentative="0">
      <w:start w:val="1"/>
      <w:numFmt w:val="decimal"/>
      <w:lvlText w:val="(%1)"/>
      <w:lvlJc w:val="left"/>
      <w:pPr>
        <w:ind w:left="425" w:hanging="425"/>
      </w:pPr>
      <w:rPr>
        <w:rFonts w:hint="default"/>
      </w:rPr>
    </w:lvl>
  </w:abstractNum>
  <w:abstractNum w:abstractNumId="38">
    <w:nsid w:val="E9516671"/>
    <w:multiLevelType w:val="singleLevel"/>
    <w:tmpl w:val="E9516671"/>
    <w:lvl w:ilvl="0" w:tentative="0">
      <w:start w:val="1"/>
      <w:numFmt w:val="decimal"/>
      <w:suff w:val="nothing"/>
      <w:lvlText w:val="（%1）"/>
      <w:lvlJc w:val="left"/>
      <w:pPr>
        <w:ind w:left="0" w:firstLine="420"/>
      </w:pPr>
      <w:rPr>
        <w:rFonts w:hint="default"/>
      </w:rPr>
    </w:lvl>
  </w:abstractNum>
  <w:abstractNum w:abstractNumId="39">
    <w:nsid w:val="EBB06CD1"/>
    <w:multiLevelType w:val="singleLevel"/>
    <w:tmpl w:val="EBB06CD1"/>
    <w:lvl w:ilvl="0" w:tentative="0">
      <w:start w:val="1"/>
      <w:numFmt w:val="decimal"/>
      <w:suff w:val="nothing"/>
      <w:lvlText w:val="%1、"/>
      <w:lvlJc w:val="left"/>
      <w:pPr>
        <w:ind w:left="0" w:firstLine="420"/>
      </w:pPr>
      <w:rPr>
        <w:rFonts w:hint="default"/>
      </w:rPr>
    </w:lvl>
  </w:abstractNum>
  <w:abstractNum w:abstractNumId="40">
    <w:nsid w:val="ED51006B"/>
    <w:multiLevelType w:val="singleLevel"/>
    <w:tmpl w:val="ED51006B"/>
    <w:lvl w:ilvl="0" w:tentative="0">
      <w:start w:val="1"/>
      <w:numFmt w:val="decimal"/>
      <w:suff w:val="nothing"/>
      <w:lvlText w:val="%1"/>
      <w:lvlJc w:val="left"/>
      <w:pPr>
        <w:ind w:left="425" w:hanging="425"/>
      </w:pPr>
      <w:rPr>
        <w:rFonts w:hint="default"/>
      </w:rPr>
    </w:lvl>
  </w:abstractNum>
  <w:abstractNum w:abstractNumId="41">
    <w:nsid w:val="EE0BF5A1"/>
    <w:multiLevelType w:val="singleLevel"/>
    <w:tmpl w:val="EE0BF5A1"/>
    <w:lvl w:ilvl="0" w:tentative="0">
      <w:start w:val="1"/>
      <w:numFmt w:val="decimal"/>
      <w:suff w:val="nothing"/>
      <w:lvlText w:val="(%1)"/>
      <w:lvlJc w:val="left"/>
      <w:pPr>
        <w:ind w:left="454" w:leftChars="0" w:hanging="454" w:firstLineChars="0"/>
      </w:pPr>
      <w:rPr>
        <w:rFonts w:hint="default"/>
      </w:rPr>
    </w:lvl>
  </w:abstractNum>
  <w:abstractNum w:abstractNumId="42">
    <w:nsid w:val="F2351E92"/>
    <w:multiLevelType w:val="singleLevel"/>
    <w:tmpl w:val="F2351E92"/>
    <w:lvl w:ilvl="0" w:tentative="0">
      <w:start w:val="1"/>
      <w:numFmt w:val="decimal"/>
      <w:suff w:val="nothing"/>
      <w:lvlText w:val="(%1)"/>
      <w:lvlJc w:val="left"/>
      <w:pPr>
        <w:ind w:left="454" w:leftChars="0" w:hanging="454" w:firstLineChars="0"/>
      </w:pPr>
      <w:rPr>
        <w:rFonts w:hint="default"/>
      </w:rPr>
    </w:lvl>
  </w:abstractNum>
  <w:abstractNum w:abstractNumId="43">
    <w:nsid w:val="F3556922"/>
    <w:multiLevelType w:val="singleLevel"/>
    <w:tmpl w:val="F3556922"/>
    <w:lvl w:ilvl="0" w:tentative="0">
      <w:start w:val="1"/>
      <w:numFmt w:val="decimal"/>
      <w:suff w:val="nothing"/>
      <w:lvlText w:val="%1"/>
      <w:lvlJc w:val="left"/>
      <w:pPr>
        <w:ind w:left="425" w:hanging="425"/>
      </w:pPr>
      <w:rPr>
        <w:rFonts w:hint="default"/>
      </w:rPr>
    </w:lvl>
  </w:abstractNum>
  <w:abstractNum w:abstractNumId="44">
    <w:nsid w:val="F3A711FA"/>
    <w:multiLevelType w:val="singleLevel"/>
    <w:tmpl w:val="F3A711FA"/>
    <w:lvl w:ilvl="0" w:tentative="0">
      <w:start w:val="1"/>
      <w:numFmt w:val="decimal"/>
      <w:suff w:val="nothing"/>
      <w:lvlText w:val="%1、"/>
      <w:lvlJc w:val="left"/>
      <w:pPr>
        <w:ind w:left="425" w:hanging="425"/>
      </w:pPr>
      <w:rPr>
        <w:rFonts w:hint="default" w:cs="Times New Roman"/>
      </w:rPr>
    </w:lvl>
  </w:abstractNum>
  <w:abstractNum w:abstractNumId="45">
    <w:nsid w:val="F564FC0C"/>
    <w:multiLevelType w:val="singleLevel"/>
    <w:tmpl w:val="F564FC0C"/>
    <w:lvl w:ilvl="0" w:tentative="0">
      <w:start w:val="1"/>
      <w:numFmt w:val="decimal"/>
      <w:suff w:val="nothing"/>
      <w:lvlText w:val="%1、"/>
      <w:lvlJc w:val="left"/>
      <w:pPr>
        <w:ind w:left="425" w:leftChars="0" w:hanging="425" w:firstLineChars="0"/>
      </w:pPr>
      <w:rPr>
        <w:rFonts w:hint="default"/>
      </w:rPr>
    </w:lvl>
  </w:abstractNum>
  <w:abstractNum w:abstractNumId="46">
    <w:nsid w:val="F99EFB2C"/>
    <w:multiLevelType w:val="singleLevel"/>
    <w:tmpl w:val="F99EFB2C"/>
    <w:lvl w:ilvl="0" w:tentative="0">
      <w:start w:val="1"/>
      <w:numFmt w:val="decimal"/>
      <w:suff w:val="nothing"/>
      <w:lvlText w:val="%1、"/>
      <w:lvlJc w:val="left"/>
      <w:pPr>
        <w:ind w:left="425" w:hanging="425"/>
      </w:pPr>
      <w:rPr>
        <w:rFonts w:hint="default"/>
      </w:rPr>
    </w:lvl>
  </w:abstractNum>
  <w:abstractNum w:abstractNumId="47">
    <w:nsid w:val="F9E90765"/>
    <w:multiLevelType w:val="singleLevel"/>
    <w:tmpl w:val="F9E90765"/>
    <w:lvl w:ilvl="0" w:tentative="0">
      <w:start w:val="1"/>
      <w:numFmt w:val="decimal"/>
      <w:suff w:val="nothing"/>
      <w:lvlText w:val="(%1)"/>
      <w:lvlJc w:val="left"/>
      <w:pPr>
        <w:ind w:left="454" w:leftChars="0" w:hanging="454" w:firstLineChars="0"/>
      </w:pPr>
      <w:rPr>
        <w:rFonts w:hint="default"/>
      </w:rPr>
    </w:lvl>
  </w:abstractNum>
  <w:abstractNum w:abstractNumId="48">
    <w:nsid w:val="FC73AE8F"/>
    <w:multiLevelType w:val="singleLevel"/>
    <w:tmpl w:val="FC73AE8F"/>
    <w:lvl w:ilvl="0" w:tentative="0">
      <w:start w:val="1"/>
      <w:numFmt w:val="decimal"/>
      <w:suff w:val="nothing"/>
      <w:lvlText w:val="%1、"/>
      <w:lvlJc w:val="left"/>
      <w:pPr>
        <w:ind w:left="425" w:hanging="425"/>
      </w:pPr>
      <w:rPr>
        <w:rFonts w:hint="default"/>
      </w:rPr>
    </w:lvl>
  </w:abstractNum>
  <w:abstractNum w:abstractNumId="49">
    <w:nsid w:val="FCC189D6"/>
    <w:multiLevelType w:val="singleLevel"/>
    <w:tmpl w:val="FCC189D6"/>
    <w:lvl w:ilvl="0" w:tentative="0">
      <w:start w:val="1"/>
      <w:numFmt w:val="decimal"/>
      <w:suff w:val="nothing"/>
      <w:lvlText w:val="(%1)"/>
      <w:lvlJc w:val="left"/>
      <w:pPr>
        <w:ind w:left="454" w:leftChars="0" w:hanging="454" w:firstLineChars="0"/>
      </w:pPr>
      <w:rPr>
        <w:rFonts w:hint="default"/>
      </w:rPr>
    </w:lvl>
  </w:abstractNum>
  <w:abstractNum w:abstractNumId="50">
    <w:nsid w:val="FEF1B20F"/>
    <w:multiLevelType w:val="singleLevel"/>
    <w:tmpl w:val="FEF1B20F"/>
    <w:lvl w:ilvl="0" w:tentative="0">
      <w:start w:val="1"/>
      <w:numFmt w:val="decimal"/>
      <w:suff w:val="nothing"/>
      <w:lvlText w:val="%1"/>
      <w:lvlJc w:val="left"/>
      <w:pPr>
        <w:ind w:left="425" w:hanging="425"/>
      </w:pPr>
      <w:rPr>
        <w:rFonts w:hint="default"/>
      </w:rPr>
    </w:lvl>
  </w:abstractNum>
  <w:abstractNum w:abstractNumId="51">
    <w:nsid w:val="FFE27502"/>
    <w:multiLevelType w:val="multilevel"/>
    <w:tmpl w:val="FFE27502"/>
    <w:lvl w:ilvl="0" w:tentative="0">
      <w:start w:val="1"/>
      <w:numFmt w:val="decimal"/>
      <w:lvlText w:val="%1."/>
      <w:lvlJc w:val="left"/>
      <w:pPr>
        <w:tabs>
          <w:tab w:val="left" w:pos="907"/>
        </w:tabs>
        <w:ind w:left="907" w:hanging="907"/>
      </w:pPr>
      <w:rPr>
        <w:rFonts w:hint="eastAsia"/>
        <w:b/>
      </w:rPr>
    </w:lvl>
    <w:lvl w:ilvl="1" w:tentative="0">
      <w:start w:val="1"/>
      <w:numFmt w:val="decimal"/>
      <w:lvlText w:val="39.%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2">
    <w:nsid w:val="0000002A"/>
    <w:multiLevelType w:val="multilevel"/>
    <w:tmpl w:val="0000002A"/>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3">
    <w:nsid w:val="002D8183"/>
    <w:multiLevelType w:val="singleLevel"/>
    <w:tmpl w:val="002D8183"/>
    <w:lvl w:ilvl="0" w:tentative="0">
      <w:start w:val="1"/>
      <w:numFmt w:val="decimal"/>
      <w:suff w:val="nothing"/>
      <w:lvlText w:val="%1、"/>
      <w:lvlJc w:val="left"/>
      <w:pPr>
        <w:ind w:left="0" w:firstLine="420"/>
      </w:pPr>
      <w:rPr>
        <w:rFonts w:hint="default"/>
      </w:rPr>
    </w:lvl>
  </w:abstractNum>
  <w:abstractNum w:abstractNumId="54">
    <w:nsid w:val="01B06E5D"/>
    <w:multiLevelType w:val="singleLevel"/>
    <w:tmpl w:val="01B06E5D"/>
    <w:lvl w:ilvl="0" w:tentative="0">
      <w:start w:val="1"/>
      <w:numFmt w:val="decimal"/>
      <w:suff w:val="nothing"/>
      <w:lvlText w:val="(%1)"/>
      <w:lvlJc w:val="left"/>
      <w:pPr>
        <w:ind w:left="454" w:leftChars="0" w:hanging="454" w:firstLineChars="0"/>
      </w:pPr>
      <w:rPr>
        <w:rFonts w:hint="default"/>
      </w:rPr>
    </w:lvl>
  </w:abstractNum>
  <w:abstractNum w:abstractNumId="55">
    <w:nsid w:val="08DB8372"/>
    <w:multiLevelType w:val="singleLevel"/>
    <w:tmpl w:val="08DB8372"/>
    <w:lvl w:ilvl="0" w:tentative="0">
      <w:start w:val="1"/>
      <w:numFmt w:val="decimal"/>
      <w:suff w:val="nothing"/>
      <w:lvlText w:val="%1、"/>
      <w:lvlJc w:val="left"/>
      <w:pPr>
        <w:ind w:left="425" w:hanging="425"/>
      </w:pPr>
      <w:rPr>
        <w:rFonts w:hint="default" w:cs="Times New Roman"/>
      </w:rPr>
    </w:lvl>
  </w:abstractNum>
  <w:abstractNum w:abstractNumId="56">
    <w:nsid w:val="08E7CA82"/>
    <w:multiLevelType w:val="singleLevel"/>
    <w:tmpl w:val="08E7CA82"/>
    <w:lvl w:ilvl="0" w:tentative="0">
      <w:start w:val="1"/>
      <w:numFmt w:val="decimal"/>
      <w:suff w:val="nothing"/>
      <w:lvlText w:val="%1、"/>
      <w:lvlJc w:val="left"/>
      <w:pPr>
        <w:ind w:left="0" w:firstLine="420"/>
      </w:pPr>
      <w:rPr>
        <w:rFonts w:hint="default"/>
      </w:rPr>
    </w:lvl>
  </w:abstractNum>
  <w:abstractNum w:abstractNumId="57">
    <w:nsid w:val="097FFAB3"/>
    <w:multiLevelType w:val="singleLevel"/>
    <w:tmpl w:val="097FFAB3"/>
    <w:lvl w:ilvl="0" w:tentative="0">
      <w:start w:val="1"/>
      <w:numFmt w:val="decimal"/>
      <w:suff w:val="nothing"/>
      <w:lvlText w:val="%1"/>
      <w:lvlJc w:val="left"/>
      <w:pPr>
        <w:ind w:left="425" w:hanging="425"/>
      </w:pPr>
      <w:rPr>
        <w:rFonts w:hint="default"/>
      </w:rPr>
    </w:lvl>
  </w:abstractNum>
  <w:abstractNum w:abstractNumId="58">
    <w:nsid w:val="098B5B8C"/>
    <w:multiLevelType w:val="multilevel"/>
    <w:tmpl w:val="098B5B8C"/>
    <w:lvl w:ilvl="0" w:tentative="0">
      <w:start w:val="1"/>
      <w:numFmt w:val="decimal"/>
      <w:lvlText w:val="%1"/>
      <w:lvlJc w:val="center"/>
      <w:pPr>
        <w:tabs>
          <w:tab w:val="left" w:pos="142"/>
        </w:tabs>
        <w:ind w:left="142" w:firstLine="38"/>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9">
    <w:nsid w:val="0D376AA5"/>
    <w:multiLevelType w:val="singleLevel"/>
    <w:tmpl w:val="0D376AA5"/>
    <w:lvl w:ilvl="0" w:tentative="0">
      <w:start w:val="1"/>
      <w:numFmt w:val="decimal"/>
      <w:suff w:val="nothing"/>
      <w:lvlText w:val="%1、"/>
      <w:lvlJc w:val="left"/>
      <w:pPr>
        <w:ind w:left="425" w:hanging="425"/>
      </w:pPr>
      <w:rPr>
        <w:rFonts w:hint="default"/>
      </w:rPr>
    </w:lvl>
  </w:abstractNum>
  <w:abstractNum w:abstractNumId="60">
    <w:nsid w:val="0DB35C45"/>
    <w:multiLevelType w:val="singleLevel"/>
    <w:tmpl w:val="0DB35C45"/>
    <w:lvl w:ilvl="0" w:tentative="0">
      <w:start w:val="1"/>
      <w:numFmt w:val="decimal"/>
      <w:suff w:val="nothing"/>
      <w:lvlText w:val="%1"/>
      <w:lvlJc w:val="left"/>
      <w:pPr>
        <w:ind w:left="425" w:hanging="425"/>
      </w:pPr>
      <w:rPr>
        <w:rFonts w:hint="default"/>
      </w:rPr>
    </w:lvl>
  </w:abstractNum>
  <w:abstractNum w:abstractNumId="61">
    <w:nsid w:val="0ED5EFE9"/>
    <w:multiLevelType w:val="singleLevel"/>
    <w:tmpl w:val="0ED5EFE9"/>
    <w:lvl w:ilvl="0" w:tentative="0">
      <w:start w:val="1"/>
      <w:numFmt w:val="decimal"/>
      <w:suff w:val="nothing"/>
      <w:lvlText w:val="%1、"/>
      <w:lvlJc w:val="left"/>
      <w:pPr>
        <w:ind w:left="425" w:hanging="425"/>
      </w:pPr>
      <w:rPr>
        <w:rFonts w:hint="default"/>
      </w:rPr>
    </w:lvl>
  </w:abstractNum>
  <w:abstractNum w:abstractNumId="62">
    <w:nsid w:val="104CF46A"/>
    <w:multiLevelType w:val="singleLevel"/>
    <w:tmpl w:val="104CF46A"/>
    <w:lvl w:ilvl="0" w:tentative="0">
      <w:start w:val="1"/>
      <w:numFmt w:val="decimal"/>
      <w:suff w:val="nothing"/>
      <w:lvlText w:val="（%1）"/>
      <w:lvlJc w:val="left"/>
      <w:pPr>
        <w:ind w:left="6" w:firstLine="420"/>
      </w:pPr>
      <w:rPr>
        <w:rFonts w:hint="default"/>
      </w:rPr>
    </w:lvl>
  </w:abstractNum>
  <w:abstractNum w:abstractNumId="63">
    <w:nsid w:val="11DCA1E4"/>
    <w:multiLevelType w:val="singleLevel"/>
    <w:tmpl w:val="11DCA1E4"/>
    <w:lvl w:ilvl="0" w:tentative="0">
      <w:start w:val="1"/>
      <w:numFmt w:val="decimal"/>
      <w:suff w:val="nothing"/>
      <w:lvlText w:val="%1"/>
      <w:lvlJc w:val="left"/>
      <w:pPr>
        <w:ind w:left="425" w:hanging="425"/>
      </w:pPr>
      <w:rPr>
        <w:rFonts w:hint="default"/>
      </w:rPr>
    </w:lvl>
  </w:abstractNum>
  <w:abstractNum w:abstractNumId="64">
    <w:nsid w:val="14A8E3EB"/>
    <w:multiLevelType w:val="singleLevel"/>
    <w:tmpl w:val="14A8E3EB"/>
    <w:lvl w:ilvl="0" w:tentative="0">
      <w:start w:val="1"/>
      <w:numFmt w:val="decimal"/>
      <w:suff w:val="nothing"/>
      <w:lvlText w:val="%1"/>
      <w:lvlJc w:val="left"/>
      <w:pPr>
        <w:ind w:left="425" w:hanging="425"/>
      </w:pPr>
      <w:rPr>
        <w:rFonts w:hint="default"/>
      </w:rPr>
    </w:lvl>
  </w:abstractNum>
  <w:abstractNum w:abstractNumId="65">
    <w:nsid w:val="16CF876E"/>
    <w:multiLevelType w:val="singleLevel"/>
    <w:tmpl w:val="16CF876E"/>
    <w:lvl w:ilvl="0" w:tentative="0">
      <w:start w:val="1"/>
      <w:numFmt w:val="decimal"/>
      <w:suff w:val="nothing"/>
      <w:lvlText w:val="%1、"/>
      <w:lvlJc w:val="left"/>
      <w:pPr>
        <w:ind w:left="365" w:hanging="425"/>
      </w:pPr>
      <w:rPr>
        <w:rFonts w:hint="default"/>
      </w:rPr>
    </w:lvl>
  </w:abstractNum>
  <w:abstractNum w:abstractNumId="66">
    <w:nsid w:val="1B19D885"/>
    <w:multiLevelType w:val="singleLevel"/>
    <w:tmpl w:val="1B19D885"/>
    <w:lvl w:ilvl="0" w:tentative="0">
      <w:start w:val="1"/>
      <w:numFmt w:val="decimal"/>
      <w:suff w:val="nothing"/>
      <w:lvlText w:val="%1、"/>
      <w:lvlJc w:val="left"/>
      <w:pPr>
        <w:ind w:left="0" w:firstLine="420"/>
      </w:pPr>
      <w:rPr>
        <w:rFonts w:hint="default"/>
      </w:rPr>
    </w:lvl>
  </w:abstractNum>
  <w:abstractNum w:abstractNumId="67">
    <w:nsid w:val="1E70F54B"/>
    <w:multiLevelType w:val="singleLevel"/>
    <w:tmpl w:val="1E70F54B"/>
    <w:lvl w:ilvl="0" w:tentative="0">
      <w:start w:val="1"/>
      <w:numFmt w:val="decimal"/>
      <w:suff w:val="nothing"/>
      <w:lvlText w:val="%1、"/>
      <w:lvlJc w:val="left"/>
      <w:pPr>
        <w:ind w:left="0" w:firstLine="420"/>
      </w:pPr>
      <w:rPr>
        <w:rFonts w:hint="default"/>
      </w:rPr>
    </w:lvl>
  </w:abstractNum>
  <w:abstractNum w:abstractNumId="68">
    <w:nsid w:val="2499B55B"/>
    <w:multiLevelType w:val="singleLevel"/>
    <w:tmpl w:val="2499B55B"/>
    <w:lvl w:ilvl="0" w:tentative="0">
      <w:start w:val="1"/>
      <w:numFmt w:val="chineseCounting"/>
      <w:suff w:val="nothing"/>
      <w:lvlText w:val="%1、"/>
      <w:lvlJc w:val="left"/>
      <w:pPr>
        <w:ind w:left="0" w:firstLine="420"/>
      </w:pPr>
      <w:rPr>
        <w:rFonts w:hint="eastAsia"/>
      </w:rPr>
    </w:lvl>
  </w:abstractNum>
  <w:abstractNum w:abstractNumId="69">
    <w:nsid w:val="24D7B37B"/>
    <w:multiLevelType w:val="singleLevel"/>
    <w:tmpl w:val="24D7B37B"/>
    <w:lvl w:ilvl="0" w:tentative="0">
      <w:start w:val="1"/>
      <w:numFmt w:val="decimal"/>
      <w:lvlText w:val="(%1)"/>
      <w:lvlJc w:val="left"/>
      <w:pPr>
        <w:ind w:left="425" w:hanging="425"/>
      </w:pPr>
      <w:rPr>
        <w:rFonts w:hint="default"/>
      </w:rPr>
    </w:lvl>
  </w:abstractNum>
  <w:abstractNum w:abstractNumId="70">
    <w:nsid w:val="24EBDC10"/>
    <w:multiLevelType w:val="singleLevel"/>
    <w:tmpl w:val="24EBDC10"/>
    <w:lvl w:ilvl="0" w:tentative="0">
      <w:start w:val="1"/>
      <w:numFmt w:val="decimal"/>
      <w:suff w:val="nothing"/>
      <w:lvlText w:val="%1、"/>
      <w:lvlJc w:val="left"/>
      <w:pPr>
        <w:ind w:left="0" w:firstLine="420"/>
      </w:pPr>
      <w:rPr>
        <w:rFonts w:hint="default"/>
      </w:rPr>
    </w:lvl>
  </w:abstractNum>
  <w:abstractNum w:abstractNumId="71">
    <w:nsid w:val="2521A152"/>
    <w:multiLevelType w:val="singleLevel"/>
    <w:tmpl w:val="2521A152"/>
    <w:lvl w:ilvl="0" w:tentative="0">
      <w:start w:val="1"/>
      <w:numFmt w:val="decimal"/>
      <w:suff w:val="nothing"/>
      <w:lvlText w:val="(%1)"/>
      <w:lvlJc w:val="left"/>
      <w:pPr>
        <w:ind w:left="454" w:leftChars="0" w:hanging="454" w:firstLineChars="0"/>
      </w:pPr>
      <w:rPr>
        <w:rFonts w:hint="default"/>
      </w:rPr>
    </w:lvl>
  </w:abstractNum>
  <w:abstractNum w:abstractNumId="72">
    <w:nsid w:val="283B5547"/>
    <w:multiLevelType w:val="singleLevel"/>
    <w:tmpl w:val="283B5547"/>
    <w:lvl w:ilvl="0" w:tentative="0">
      <w:start w:val="1"/>
      <w:numFmt w:val="decimal"/>
      <w:suff w:val="nothing"/>
      <w:lvlText w:val="%1"/>
      <w:lvlJc w:val="left"/>
      <w:pPr>
        <w:ind w:left="635" w:hanging="425"/>
      </w:pPr>
      <w:rPr>
        <w:rFonts w:hint="default"/>
      </w:rPr>
    </w:lvl>
  </w:abstractNum>
  <w:abstractNum w:abstractNumId="73">
    <w:nsid w:val="31BD7C8A"/>
    <w:multiLevelType w:val="singleLevel"/>
    <w:tmpl w:val="31BD7C8A"/>
    <w:lvl w:ilvl="0" w:tentative="0">
      <w:start w:val="1"/>
      <w:numFmt w:val="decimal"/>
      <w:suff w:val="nothing"/>
      <w:lvlText w:val="(%1)"/>
      <w:lvlJc w:val="left"/>
      <w:pPr>
        <w:ind w:left="454" w:leftChars="0" w:hanging="454" w:firstLineChars="0"/>
      </w:pPr>
      <w:rPr>
        <w:rFonts w:hint="default"/>
      </w:rPr>
    </w:lvl>
  </w:abstractNum>
  <w:abstractNum w:abstractNumId="74">
    <w:nsid w:val="332B3F8C"/>
    <w:multiLevelType w:val="singleLevel"/>
    <w:tmpl w:val="332B3F8C"/>
    <w:lvl w:ilvl="0" w:tentative="0">
      <w:start w:val="1"/>
      <w:numFmt w:val="decimal"/>
      <w:suff w:val="nothing"/>
      <w:lvlText w:val="(%1)"/>
      <w:lvlJc w:val="left"/>
      <w:pPr>
        <w:ind w:left="454" w:leftChars="0" w:hanging="454" w:firstLineChars="0"/>
      </w:pPr>
      <w:rPr>
        <w:rFonts w:hint="default"/>
      </w:rPr>
    </w:lvl>
  </w:abstractNum>
  <w:abstractNum w:abstractNumId="75">
    <w:nsid w:val="365B095A"/>
    <w:multiLevelType w:val="singleLevel"/>
    <w:tmpl w:val="365B095A"/>
    <w:lvl w:ilvl="0" w:tentative="0">
      <w:start w:val="1"/>
      <w:numFmt w:val="decimal"/>
      <w:suff w:val="nothing"/>
      <w:lvlText w:val="%1、"/>
      <w:lvlJc w:val="left"/>
      <w:pPr>
        <w:ind w:left="425" w:hanging="425"/>
      </w:pPr>
      <w:rPr>
        <w:rFonts w:hint="default"/>
      </w:rPr>
    </w:lvl>
  </w:abstractNum>
  <w:abstractNum w:abstractNumId="76">
    <w:nsid w:val="3935E3E9"/>
    <w:multiLevelType w:val="singleLevel"/>
    <w:tmpl w:val="3935E3E9"/>
    <w:lvl w:ilvl="0" w:tentative="0">
      <w:start w:val="1"/>
      <w:numFmt w:val="decimal"/>
      <w:suff w:val="nothing"/>
      <w:lvlText w:val="%1、"/>
      <w:lvlJc w:val="left"/>
      <w:pPr>
        <w:ind w:left="425" w:hanging="425"/>
      </w:pPr>
      <w:rPr>
        <w:rFonts w:hint="default"/>
      </w:rPr>
    </w:lvl>
  </w:abstractNum>
  <w:abstractNum w:abstractNumId="77">
    <w:nsid w:val="3FEE0D3A"/>
    <w:multiLevelType w:val="singleLevel"/>
    <w:tmpl w:val="3FEE0D3A"/>
    <w:lvl w:ilvl="0" w:tentative="0">
      <w:start w:val="1"/>
      <w:numFmt w:val="decimal"/>
      <w:suff w:val="nothing"/>
      <w:lvlText w:val="%1"/>
      <w:lvlJc w:val="left"/>
      <w:pPr>
        <w:ind w:left="567" w:hanging="425"/>
      </w:pPr>
      <w:rPr>
        <w:rFonts w:hint="default"/>
      </w:rPr>
    </w:lvl>
  </w:abstractNum>
  <w:abstractNum w:abstractNumId="78">
    <w:nsid w:val="419AAC6D"/>
    <w:multiLevelType w:val="singleLevel"/>
    <w:tmpl w:val="419AAC6D"/>
    <w:lvl w:ilvl="0" w:tentative="0">
      <w:start w:val="2"/>
      <w:numFmt w:val="decimal"/>
      <w:suff w:val="nothing"/>
      <w:lvlText w:val="%1、"/>
      <w:lvlJc w:val="left"/>
      <w:pPr>
        <w:tabs>
          <w:tab w:val="left" w:pos="0"/>
        </w:tabs>
        <w:ind w:left="0" w:firstLine="420"/>
      </w:pPr>
      <w:rPr>
        <w:rFonts w:hint="default"/>
        <w:b/>
      </w:rPr>
    </w:lvl>
  </w:abstractNum>
  <w:abstractNum w:abstractNumId="79">
    <w:nsid w:val="448F3799"/>
    <w:multiLevelType w:val="singleLevel"/>
    <w:tmpl w:val="448F3799"/>
    <w:lvl w:ilvl="0" w:tentative="0">
      <w:start w:val="1"/>
      <w:numFmt w:val="decimal"/>
      <w:lvlText w:val="%1、"/>
      <w:lvlJc w:val="left"/>
      <w:pPr>
        <w:tabs>
          <w:tab w:val="left" w:pos="420"/>
        </w:tabs>
        <w:ind w:left="425" w:hanging="425"/>
      </w:pPr>
      <w:rPr>
        <w:rFonts w:hint="default" w:cs="Times New Roman"/>
      </w:rPr>
    </w:lvl>
  </w:abstractNum>
  <w:abstractNum w:abstractNumId="80">
    <w:nsid w:val="45D12BA4"/>
    <w:multiLevelType w:val="singleLevel"/>
    <w:tmpl w:val="45D12BA4"/>
    <w:lvl w:ilvl="0" w:tentative="0">
      <w:start w:val="1"/>
      <w:numFmt w:val="decimal"/>
      <w:suff w:val="nothing"/>
      <w:lvlText w:val="(%1)"/>
      <w:lvlJc w:val="left"/>
      <w:pPr>
        <w:ind w:left="454" w:hanging="454"/>
      </w:pPr>
      <w:rPr>
        <w:rFonts w:hint="default"/>
      </w:rPr>
    </w:lvl>
  </w:abstractNum>
  <w:abstractNum w:abstractNumId="81">
    <w:nsid w:val="4B2A3F78"/>
    <w:multiLevelType w:val="singleLevel"/>
    <w:tmpl w:val="4B2A3F78"/>
    <w:lvl w:ilvl="0" w:tentative="0">
      <w:start w:val="1"/>
      <w:numFmt w:val="decimal"/>
      <w:suff w:val="nothing"/>
      <w:lvlText w:val="%1、"/>
      <w:lvlJc w:val="left"/>
      <w:pPr>
        <w:ind w:left="425" w:hanging="425"/>
      </w:pPr>
      <w:rPr>
        <w:rFonts w:hint="default" w:cs="Times New Roman"/>
      </w:rPr>
    </w:lvl>
  </w:abstractNum>
  <w:abstractNum w:abstractNumId="82">
    <w:nsid w:val="4B64F78C"/>
    <w:multiLevelType w:val="singleLevel"/>
    <w:tmpl w:val="4B64F78C"/>
    <w:lvl w:ilvl="0" w:tentative="0">
      <w:start w:val="1"/>
      <w:numFmt w:val="decimal"/>
      <w:suff w:val="nothing"/>
      <w:lvlText w:val="%1、"/>
      <w:lvlJc w:val="left"/>
      <w:pPr>
        <w:ind w:left="425" w:hanging="425"/>
      </w:pPr>
      <w:rPr>
        <w:rFonts w:hint="default"/>
      </w:rPr>
    </w:lvl>
  </w:abstractNum>
  <w:abstractNum w:abstractNumId="83">
    <w:nsid w:val="4CD5CB26"/>
    <w:multiLevelType w:val="singleLevel"/>
    <w:tmpl w:val="4CD5CB26"/>
    <w:lvl w:ilvl="0" w:tentative="0">
      <w:start w:val="1"/>
      <w:numFmt w:val="decimal"/>
      <w:suff w:val="nothing"/>
      <w:lvlText w:val="(%1)"/>
      <w:lvlJc w:val="left"/>
      <w:pPr>
        <w:ind w:left="454" w:leftChars="0" w:hanging="454" w:firstLineChars="0"/>
      </w:pPr>
      <w:rPr>
        <w:rFonts w:hint="default"/>
      </w:rPr>
    </w:lvl>
  </w:abstractNum>
  <w:abstractNum w:abstractNumId="84">
    <w:nsid w:val="53E54678"/>
    <w:multiLevelType w:val="singleLevel"/>
    <w:tmpl w:val="53E54678"/>
    <w:lvl w:ilvl="0" w:tentative="0">
      <w:start w:val="1"/>
      <w:numFmt w:val="decimal"/>
      <w:suff w:val="nothing"/>
      <w:lvlText w:val="%1、"/>
      <w:lvlJc w:val="left"/>
      <w:pPr>
        <w:ind w:left="0" w:firstLine="420"/>
      </w:pPr>
      <w:rPr>
        <w:rFonts w:hint="default"/>
      </w:rPr>
    </w:lvl>
  </w:abstractNum>
  <w:abstractNum w:abstractNumId="85">
    <w:nsid w:val="58B64150"/>
    <w:multiLevelType w:val="singleLevel"/>
    <w:tmpl w:val="58B64150"/>
    <w:lvl w:ilvl="0" w:tentative="0">
      <w:start w:val="1"/>
      <w:numFmt w:val="chineseCounting"/>
      <w:suff w:val="nothing"/>
      <w:lvlText w:val="（%1）"/>
      <w:lvlJc w:val="left"/>
      <w:pPr>
        <w:ind w:left="0" w:firstLine="420"/>
      </w:pPr>
      <w:rPr>
        <w:rFonts w:hint="eastAsia"/>
      </w:rPr>
    </w:lvl>
  </w:abstractNum>
  <w:abstractNum w:abstractNumId="86">
    <w:nsid w:val="58B67566"/>
    <w:multiLevelType w:val="singleLevel"/>
    <w:tmpl w:val="58B67566"/>
    <w:lvl w:ilvl="0" w:tentative="0">
      <w:start w:val="1"/>
      <w:numFmt w:val="chineseCounting"/>
      <w:suff w:val="nothing"/>
      <w:lvlText w:val="（%1）"/>
      <w:lvlJc w:val="left"/>
      <w:pPr>
        <w:ind w:left="0" w:firstLine="420"/>
      </w:pPr>
      <w:rPr>
        <w:rFonts w:hint="eastAsia"/>
      </w:rPr>
    </w:lvl>
  </w:abstractNum>
  <w:abstractNum w:abstractNumId="87">
    <w:nsid w:val="58B6B5E5"/>
    <w:multiLevelType w:val="singleLevel"/>
    <w:tmpl w:val="58B6B5E5"/>
    <w:lvl w:ilvl="0" w:tentative="0">
      <w:start w:val="1"/>
      <w:numFmt w:val="decimal"/>
      <w:suff w:val="nothing"/>
      <w:lvlText w:val="%1、"/>
      <w:lvlJc w:val="left"/>
      <w:pPr>
        <w:ind w:firstLine="420"/>
      </w:pPr>
      <w:rPr>
        <w:rFonts w:hint="default" w:cs="Times New Roman"/>
      </w:rPr>
    </w:lvl>
  </w:abstractNum>
  <w:abstractNum w:abstractNumId="88">
    <w:nsid w:val="58B6B628"/>
    <w:multiLevelType w:val="multilevel"/>
    <w:tmpl w:val="58B6B628"/>
    <w:lvl w:ilvl="0" w:tentative="0">
      <w:start w:val="1"/>
      <w:numFmt w:val="decimal"/>
      <w:suff w:val="nothing"/>
      <w:lvlText w:val="%1、"/>
      <w:lvlJc w:val="left"/>
      <w:pPr>
        <w:ind w:left="0" w:firstLine="42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89">
    <w:nsid w:val="58B6B67C"/>
    <w:multiLevelType w:val="multilevel"/>
    <w:tmpl w:val="58B6B67C"/>
    <w:lvl w:ilvl="0" w:tentative="0">
      <w:start w:val="1"/>
      <w:numFmt w:val="decimal"/>
      <w:suff w:val="nothing"/>
      <w:lvlText w:val="%1、"/>
      <w:lvlJc w:val="left"/>
      <w:pPr>
        <w:ind w:left="0" w:firstLine="420"/>
      </w:pPr>
      <w:rPr>
        <w:rFonts w:hint="default"/>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90">
    <w:nsid w:val="58B6B721"/>
    <w:multiLevelType w:val="singleLevel"/>
    <w:tmpl w:val="58B6B721"/>
    <w:lvl w:ilvl="0" w:tentative="0">
      <w:start w:val="1"/>
      <w:numFmt w:val="decimal"/>
      <w:suff w:val="nothing"/>
      <w:lvlText w:val="%1、"/>
      <w:lvlJc w:val="left"/>
      <w:pPr>
        <w:ind w:left="0" w:firstLine="420"/>
      </w:pPr>
      <w:rPr>
        <w:rFonts w:hint="default"/>
      </w:rPr>
    </w:lvl>
  </w:abstractNum>
  <w:abstractNum w:abstractNumId="91">
    <w:nsid w:val="58BAC2E9"/>
    <w:multiLevelType w:val="singleLevel"/>
    <w:tmpl w:val="58BAC2E9"/>
    <w:lvl w:ilvl="0" w:tentative="0">
      <w:start w:val="1"/>
      <w:numFmt w:val="decimal"/>
      <w:lvlText w:val="%1."/>
      <w:lvlJc w:val="left"/>
      <w:pPr>
        <w:ind w:left="425" w:hanging="425"/>
      </w:pPr>
      <w:rPr>
        <w:rFonts w:hint="default"/>
      </w:rPr>
    </w:lvl>
  </w:abstractNum>
  <w:abstractNum w:abstractNumId="92">
    <w:nsid w:val="58BAC30E"/>
    <w:multiLevelType w:val="singleLevel"/>
    <w:tmpl w:val="58BAC30E"/>
    <w:lvl w:ilvl="0" w:tentative="0">
      <w:start w:val="1"/>
      <w:numFmt w:val="decimal"/>
      <w:lvlText w:val="%1."/>
      <w:lvlJc w:val="left"/>
      <w:pPr>
        <w:ind w:left="425" w:hanging="425"/>
      </w:pPr>
      <w:rPr>
        <w:rFonts w:hint="default"/>
      </w:rPr>
    </w:lvl>
  </w:abstractNum>
  <w:abstractNum w:abstractNumId="93">
    <w:nsid w:val="58BAC327"/>
    <w:multiLevelType w:val="multilevel"/>
    <w:tmpl w:val="58BAC327"/>
    <w:lvl w:ilvl="0" w:tentative="0">
      <w:start w:val="2"/>
      <w:numFmt w:val="decimal"/>
      <w:lvlText w:val="%1."/>
      <w:lvlJc w:val="left"/>
      <w:pPr>
        <w:tabs>
          <w:tab w:val="left" w:pos="425"/>
        </w:tabs>
        <w:ind w:left="425" w:hanging="425"/>
      </w:pPr>
      <w:rPr>
        <w:rFonts w:hint="default"/>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4">
    <w:nsid w:val="58BAC34E"/>
    <w:multiLevelType w:val="singleLevel"/>
    <w:tmpl w:val="58BAC34E"/>
    <w:lvl w:ilvl="0" w:tentative="0">
      <w:start w:val="1"/>
      <w:numFmt w:val="decimal"/>
      <w:lvlText w:val="（%1）"/>
      <w:lvlJc w:val="left"/>
      <w:pPr>
        <w:tabs>
          <w:tab w:val="left" w:pos="420"/>
        </w:tabs>
        <w:ind w:left="425" w:hanging="425"/>
      </w:pPr>
      <w:rPr>
        <w:rFonts w:hint="default" w:ascii="宋体" w:hAnsi="宋体" w:eastAsia="宋体" w:cs="宋体"/>
        <w:sz w:val="24"/>
        <w:szCs w:val="24"/>
      </w:rPr>
    </w:lvl>
  </w:abstractNum>
  <w:abstractNum w:abstractNumId="95">
    <w:nsid w:val="58BACF60"/>
    <w:multiLevelType w:val="singleLevel"/>
    <w:tmpl w:val="58BACF60"/>
    <w:lvl w:ilvl="0" w:tentative="0">
      <w:start w:val="1"/>
      <w:numFmt w:val="chineseCounting"/>
      <w:suff w:val="nothing"/>
      <w:lvlText w:val="%1、"/>
      <w:lvlJc w:val="left"/>
      <w:pPr>
        <w:ind w:left="0" w:firstLine="420"/>
      </w:pPr>
      <w:rPr>
        <w:rFonts w:hint="eastAsia"/>
        <w:b/>
      </w:rPr>
    </w:lvl>
  </w:abstractNum>
  <w:abstractNum w:abstractNumId="96">
    <w:nsid w:val="58BADF6B"/>
    <w:multiLevelType w:val="singleLevel"/>
    <w:tmpl w:val="58BADF6B"/>
    <w:lvl w:ilvl="0" w:tentative="0">
      <w:start w:val="1"/>
      <w:numFmt w:val="decimal"/>
      <w:suff w:val="nothing"/>
      <w:lvlText w:val="%1、"/>
      <w:lvlJc w:val="left"/>
      <w:pPr>
        <w:ind w:left="0" w:firstLine="420"/>
      </w:pPr>
      <w:rPr>
        <w:rFonts w:hint="default"/>
      </w:rPr>
    </w:lvl>
  </w:abstractNum>
  <w:abstractNum w:abstractNumId="97">
    <w:nsid w:val="58BADFDF"/>
    <w:multiLevelType w:val="singleLevel"/>
    <w:tmpl w:val="58BADFDF"/>
    <w:lvl w:ilvl="0" w:tentative="0">
      <w:start w:val="1"/>
      <w:numFmt w:val="decimal"/>
      <w:suff w:val="nothing"/>
      <w:lvlText w:val="（%1）"/>
      <w:lvlJc w:val="left"/>
      <w:pPr>
        <w:tabs>
          <w:tab w:val="left" w:pos="0"/>
        </w:tabs>
        <w:ind w:left="0" w:firstLine="420"/>
      </w:pPr>
      <w:rPr>
        <w:rFonts w:hint="default"/>
        <w:b/>
      </w:rPr>
    </w:lvl>
  </w:abstractNum>
  <w:abstractNum w:abstractNumId="98">
    <w:nsid w:val="58BAE00C"/>
    <w:multiLevelType w:val="singleLevel"/>
    <w:tmpl w:val="58BAE00C"/>
    <w:lvl w:ilvl="0" w:tentative="0">
      <w:start w:val="1"/>
      <w:numFmt w:val="decimal"/>
      <w:suff w:val="nothing"/>
      <w:lvlText w:val="%1、"/>
      <w:lvlJc w:val="left"/>
      <w:pPr>
        <w:ind w:left="0" w:firstLine="420"/>
      </w:pPr>
      <w:rPr>
        <w:rFonts w:hint="default"/>
      </w:rPr>
    </w:lvl>
  </w:abstractNum>
  <w:abstractNum w:abstractNumId="99">
    <w:nsid w:val="58BAE0E9"/>
    <w:multiLevelType w:val="multilevel"/>
    <w:tmpl w:val="58BAE0E9"/>
    <w:lvl w:ilvl="0" w:tentative="0">
      <w:start w:val="1"/>
      <w:numFmt w:val="decimal"/>
      <w:suff w:val="nothing"/>
      <w:lvlText w:val="（%1）"/>
      <w:lvlJc w:val="left"/>
      <w:pPr>
        <w:ind w:left="0" w:firstLine="420"/>
      </w:pPr>
      <w:rPr>
        <w:rFonts w:hint="default"/>
        <w:u w:val="none"/>
      </w:rPr>
    </w:lvl>
    <w:lvl w:ilvl="1" w:tentative="0">
      <w:start w:val="1"/>
      <w:numFmt w:val="decimal"/>
      <w:lvlText w:val=""/>
      <w:lvlJc w:val="left"/>
    </w:lvl>
    <w:lvl w:ilvl="2" w:tentative="0">
      <w:start w:val="1"/>
      <w:numFmt w:val="decimal"/>
      <w:lvlText w:val=""/>
      <w:lvlJc w:val="left"/>
    </w:lvl>
    <w:lvl w:ilvl="3" w:tentative="0">
      <w:start w:val="1"/>
      <w:numFmt w:val="decimal"/>
      <w:lvlText w:val=""/>
      <w:lvlJc w:val="left"/>
    </w:lvl>
    <w:lvl w:ilvl="4" w:tentative="0">
      <w:start w:val="1"/>
      <w:numFmt w:val="decimal"/>
      <w:lvlText w:val=""/>
      <w:lvlJc w:val="left"/>
    </w:lvl>
    <w:lvl w:ilvl="5" w:tentative="0">
      <w:start w:val="1"/>
      <w:numFmt w:val="decimal"/>
      <w:lvlText w:val=""/>
      <w:lvlJc w:val="left"/>
    </w:lvl>
    <w:lvl w:ilvl="6" w:tentative="0">
      <w:start w:val="1"/>
      <w:numFmt w:val="decimal"/>
      <w:lvlText w:val=""/>
      <w:lvlJc w:val="left"/>
    </w:lvl>
    <w:lvl w:ilvl="7" w:tentative="0">
      <w:start w:val="1"/>
      <w:numFmt w:val="decimal"/>
      <w:lvlText w:val=""/>
      <w:lvlJc w:val="left"/>
    </w:lvl>
    <w:lvl w:ilvl="8" w:tentative="0">
      <w:start w:val="1"/>
      <w:numFmt w:val="decimal"/>
      <w:lvlText w:val=""/>
      <w:lvlJc w:val="left"/>
    </w:lvl>
  </w:abstractNum>
  <w:abstractNum w:abstractNumId="100">
    <w:nsid w:val="58BAE36E"/>
    <w:multiLevelType w:val="singleLevel"/>
    <w:tmpl w:val="58BAE36E"/>
    <w:lvl w:ilvl="0" w:tentative="0">
      <w:start w:val="1"/>
      <w:numFmt w:val="chineseCounting"/>
      <w:suff w:val="nothing"/>
      <w:lvlText w:val="%1、"/>
      <w:lvlJc w:val="left"/>
      <w:pPr>
        <w:ind w:left="0" w:firstLine="420"/>
      </w:pPr>
      <w:rPr>
        <w:rFonts w:hint="eastAsia"/>
      </w:rPr>
    </w:lvl>
  </w:abstractNum>
  <w:abstractNum w:abstractNumId="101">
    <w:nsid w:val="58BAE3A4"/>
    <w:multiLevelType w:val="singleLevel"/>
    <w:tmpl w:val="58BAE3A4"/>
    <w:lvl w:ilvl="0" w:tentative="0">
      <w:start w:val="1"/>
      <w:numFmt w:val="chineseCounting"/>
      <w:suff w:val="nothing"/>
      <w:lvlText w:val="（%1）"/>
      <w:lvlJc w:val="left"/>
      <w:pPr>
        <w:ind w:left="0" w:firstLine="420"/>
      </w:pPr>
      <w:rPr>
        <w:rFonts w:hint="eastAsia"/>
      </w:rPr>
    </w:lvl>
  </w:abstractNum>
  <w:abstractNum w:abstractNumId="102">
    <w:nsid w:val="58BAE3CE"/>
    <w:multiLevelType w:val="singleLevel"/>
    <w:tmpl w:val="58BAE3CE"/>
    <w:lvl w:ilvl="0" w:tentative="0">
      <w:start w:val="1"/>
      <w:numFmt w:val="decimal"/>
      <w:suff w:val="nothing"/>
      <w:lvlText w:val="%1、"/>
      <w:lvlJc w:val="left"/>
      <w:pPr>
        <w:ind w:left="0" w:firstLine="420"/>
      </w:pPr>
      <w:rPr>
        <w:rFonts w:hint="default"/>
      </w:rPr>
    </w:lvl>
  </w:abstractNum>
  <w:abstractNum w:abstractNumId="103">
    <w:nsid w:val="58BAE3F3"/>
    <w:multiLevelType w:val="singleLevel"/>
    <w:tmpl w:val="58BAE3F3"/>
    <w:lvl w:ilvl="0" w:tentative="0">
      <w:start w:val="1"/>
      <w:numFmt w:val="decimal"/>
      <w:suff w:val="nothing"/>
      <w:lvlText w:val="%1、"/>
      <w:lvlJc w:val="left"/>
      <w:pPr>
        <w:ind w:left="0" w:firstLine="420"/>
      </w:pPr>
      <w:rPr>
        <w:rFonts w:hint="default"/>
      </w:rPr>
    </w:lvl>
  </w:abstractNum>
  <w:abstractNum w:abstractNumId="104">
    <w:nsid w:val="58BAE40D"/>
    <w:multiLevelType w:val="singleLevel"/>
    <w:tmpl w:val="58BAE40D"/>
    <w:lvl w:ilvl="0" w:tentative="0">
      <w:start w:val="1"/>
      <w:numFmt w:val="decimal"/>
      <w:suff w:val="nothing"/>
      <w:lvlText w:val="%1、"/>
      <w:lvlJc w:val="left"/>
      <w:pPr>
        <w:ind w:left="0" w:firstLine="420"/>
      </w:pPr>
      <w:rPr>
        <w:rFonts w:hint="default"/>
      </w:rPr>
    </w:lvl>
  </w:abstractNum>
  <w:abstractNum w:abstractNumId="105">
    <w:nsid w:val="58BAE41D"/>
    <w:multiLevelType w:val="singleLevel"/>
    <w:tmpl w:val="58BAE41D"/>
    <w:lvl w:ilvl="0" w:tentative="0">
      <w:start w:val="1"/>
      <w:numFmt w:val="decimal"/>
      <w:suff w:val="nothing"/>
      <w:lvlText w:val="%1、"/>
      <w:lvlJc w:val="left"/>
      <w:pPr>
        <w:ind w:left="0" w:firstLine="420"/>
      </w:pPr>
      <w:rPr>
        <w:rFonts w:hint="default"/>
      </w:rPr>
    </w:lvl>
  </w:abstractNum>
  <w:abstractNum w:abstractNumId="106">
    <w:nsid w:val="58C77C53"/>
    <w:multiLevelType w:val="multilevel"/>
    <w:tmpl w:val="58C77C53"/>
    <w:lvl w:ilvl="0" w:tentative="0">
      <w:start w:val="1"/>
      <w:numFmt w:val="decimal"/>
      <w:lvlText w:val="%1."/>
      <w:lvlJc w:val="left"/>
      <w:pPr>
        <w:tabs>
          <w:tab w:val="left" w:pos="907"/>
        </w:tabs>
        <w:ind w:left="907" w:hanging="907"/>
      </w:pPr>
      <w:rPr>
        <w:rFonts w:hint="eastAsia"/>
        <w:b/>
      </w:rPr>
    </w:lvl>
    <w:lvl w:ilvl="1" w:tentative="0">
      <w:start w:val="1"/>
      <w:numFmt w:val="decimal"/>
      <w:lvlText w:val="%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7">
    <w:nsid w:val="58C77C88"/>
    <w:multiLevelType w:val="singleLevel"/>
    <w:tmpl w:val="58C77C88"/>
    <w:lvl w:ilvl="0" w:tentative="0">
      <w:start w:val="1"/>
      <w:numFmt w:val="decimal"/>
      <w:lvlText w:val="%1."/>
      <w:lvlJc w:val="left"/>
      <w:pPr>
        <w:ind w:left="425" w:hanging="425"/>
      </w:pPr>
      <w:rPr>
        <w:rFonts w:hint="default"/>
      </w:rPr>
    </w:lvl>
  </w:abstractNum>
  <w:abstractNum w:abstractNumId="108">
    <w:nsid w:val="58C77CA7"/>
    <w:multiLevelType w:val="multilevel"/>
    <w:tmpl w:val="58C77CA7"/>
    <w:lvl w:ilvl="0" w:tentative="0">
      <w:start w:val="1"/>
      <w:numFmt w:val="decimal"/>
      <w:lvlText w:val="%1."/>
      <w:lvlJc w:val="left"/>
      <w:pPr>
        <w:tabs>
          <w:tab w:val="left" w:pos="907"/>
        </w:tabs>
        <w:ind w:left="907" w:hanging="907"/>
      </w:pPr>
      <w:rPr>
        <w:rFonts w:hint="eastAsia"/>
        <w:b/>
      </w:rPr>
    </w:lvl>
    <w:lvl w:ilvl="1" w:tentative="0">
      <w:start w:val="1"/>
      <w:numFmt w:val="decimal"/>
      <w:lvlText w:val="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9">
    <w:nsid w:val="58C77E10"/>
    <w:multiLevelType w:val="multilevel"/>
    <w:tmpl w:val="58C77E10"/>
    <w:lvl w:ilvl="0" w:tentative="0">
      <w:start w:val="1"/>
      <w:numFmt w:val="decimal"/>
      <w:lvlText w:val="%1."/>
      <w:lvlJc w:val="left"/>
      <w:pPr>
        <w:tabs>
          <w:tab w:val="left" w:pos="907"/>
        </w:tabs>
        <w:ind w:left="907" w:hanging="907"/>
      </w:pPr>
      <w:rPr>
        <w:rFonts w:hint="eastAsia"/>
        <w:b/>
      </w:rPr>
    </w:lvl>
    <w:lvl w:ilvl="1" w:tentative="0">
      <w:start w:val="1"/>
      <w:numFmt w:val="decimal"/>
      <w:lvlText w:val="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0">
    <w:nsid w:val="58C77ECE"/>
    <w:multiLevelType w:val="multilevel"/>
    <w:tmpl w:val="58C77ECE"/>
    <w:lvl w:ilvl="0" w:tentative="0">
      <w:start w:val="1"/>
      <w:numFmt w:val="decimal"/>
      <w:lvlText w:val="%1."/>
      <w:lvlJc w:val="left"/>
      <w:pPr>
        <w:tabs>
          <w:tab w:val="left" w:pos="907"/>
        </w:tabs>
        <w:ind w:left="907" w:hanging="907"/>
      </w:pPr>
      <w:rPr>
        <w:rFonts w:hint="eastAsia"/>
        <w:b/>
      </w:rPr>
    </w:lvl>
    <w:lvl w:ilvl="1" w:tentative="0">
      <w:start w:val="1"/>
      <w:numFmt w:val="decimal"/>
      <w:lvlText w:val="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1">
    <w:nsid w:val="58C77F14"/>
    <w:multiLevelType w:val="multilevel"/>
    <w:tmpl w:val="58C77F14"/>
    <w:lvl w:ilvl="0" w:tentative="0">
      <w:start w:val="1"/>
      <w:numFmt w:val="decimal"/>
      <w:lvlText w:val="%1."/>
      <w:lvlJc w:val="left"/>
      <w:pPr>
        <w:tabs>
          <w:tab w:val="left" w:pos="907"/>
        </w:tabs>
        <w:ind w:left="907" w:hanging="907"/>
      </w:pPr>
      <w:rPr>
        <w:rFonts w:hint="eastAsia"/>
        <w:b/>
      </w:rPr>
    </w:lvl>
    <w:lvl w:ilvl="1" w:tentative="0">
      <w:start w:val="1"/>
      <w:numFmt w:val="decimal"/>
      <w:lvlText w:val="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2">
    <w:nsid w:val="58C77F87"/>
    <w:multiLevelType w:val="multilevel"/>
    <w:tmpl w:val="58C77F87"/>
    <w:lvl w:ilvl="0" w:tentative="0">
      <w:start w:val="1"/>
      <w:numFmt w:val="decimal"/>
      <w:lvlText w:val="%1."/>
      <w:lvlJc w:val="left"/>
      <w:pPr>
        <w:tabs>
          <w:tab w:val="left" w:pos="907"/>
        </w:tabs>
        <w:ind w:left="907" w:hanging="907"/>
      </w:pPr>
      <w:rPr>
        <w:rFonts w:hint="eastAsia"/>
        <w:b/>
      </w:rPr>
    </w:lvl>
    <w:lvl w:ilvl="1" w:tentative="0">
      <w:start w:val="1"/>
      <w:numFmt w:val="decimal"/>
      <w:lvlText w:val="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3">
    <w:nsid w:val="58C78075"/>
    <w:multiLevelType w:val="multilevel"/>
    <w:tmpl w:val="58C78075"/>
    <w:lvl w:ilvl="0" w:tentative="0">
      <w:start w:val="1"/>
      <w:numFmt w:val="decimal"/>
      <w:lvlText w:val="%1."/>
      <w:lvlJc w:val="left"/>
      <w:pPr>
        <w:tabs>
          <w:tab w:val="left" w:pos="907"/>
        </w:tabs>
        <w:ind w:left="907" w:hanging="907"/>
      </w:pPr>
      <w:rPr>
        <w:rFonts w:hint="eastAsia"/>
        <w:b/>
      </w:rPr>
    </w:lvl>
    <w:lvl w:ilvl="1" w:tentative="0">
      <w:start w:val="1"/>
      <w:numFmt w:val="decimal"/>
      <w:lvlText w:val="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4">
    <w:nsid w:val="58C780ED"/>
    <w:multiLevelType w:val="multilevel"/>
    <w:tmpl w:val="58C780ED"/>
    <w:lvl w:ilvl="0" w:tentative="0">
      <w:start w:val="1"/>
      <w:numFmt w:val="decimal"/>
      <w:lvlText w:val="%1."/>
      <w:lvlJc w:val="left"/>
      <w:pPr>
        <w:tabs>
          <w:tab w:val="left" w:pos="907"/>
        </w:tabs>
        <w:ind w:left="907" w:hanging="907"/>
      </w:pPr>
      <w:rPr>
        <w:rFonts w:hint="eastAsia"/>
        <w:b/>
      </w:rPr>
    </w:lvl>
    <w:lvl w:ilvl="1" w:tentative="0">
      <w:start w:val="1"/>
      <w:numFmt w:val="decimal"/>
      <w:lvlText w:val="8.%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5">
    <w:nsid w:val="58C78143"/>
    <w:multiLevelType w:val="multilevel"/>
    <w:tmpl w:val="58C78143"/>
    <w:lvl w:ilvl="0" w:tentative="0">
      <w:start w:val="1"/>
      <w:numFmt w:val="decimal"/>
      <w:lvlText w:val="%1."/>
      <w:lvlJc w:val="left"/>
      <w:pPr>
        <w:tabs>
          <w:tab w:val="left" w:pos="907"/>
        </w:tabs>
        <w:ind w:left="907" w:hanging="907"/>
      </w:pPr>
      <w:rPr>
        <w:rFonts w:hint="eastAsia"/>
        <w:b/>
      </w:rPr>
    </w:lvl>
    <w:lvl w:ilvl="1" w:tentative="0">
      <w:start w:val="1"/>
      <w:numFmt w:val="decimal"/>
      <w:lvlText w:val="9.%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6">
    <w:nsid w:val="58C781A1"/>
    <w:multiLevelType w:val="multilevel"/>
    <w:tmpl w:val="58C781A1"/>
    <w:lvl w:ilvl="0" w:tentative="0">
      <w:start w:val="1"/>
      <w:numFmt w:val="decimal"/>
      <w:lvlText w:val="%1."/>
      <w:lvlJc w:val="left"/>
      <w:pPr>
        <w:tabs>
          <w:tab w:val="left" w:pos="907"/>
        </w:tabs>
        <w:ind w:left="907" w:hanging="907"/>
      </w:pPr>
      <w:rPr>
        <w:rFonts w:hint="eastAsia"/>
        <w:b/>
      </w:rPr>
    </w:lvl>
    <w:lvl w:ilvl="1" w:tentative="0">
      <w:start w:val="1"/>
      <w:numFmt w:val="decimal"/>
      <w:lvlText w:val="10.%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7">
    <w:nsid w:val="58C7825F"/>
    <w:multiLevelType w:val="multilevel"/>
    <w:tmpl w:val="58C7825F"/>
    <w:lvl w:ilvl="0" w:tentative="0">
      <w:start w:val="1"/>
      <w:numFmt w:val="decimal"/>
      <w:lvlText w:val="%1."/>
      <w:lvlJc w:val="left"/>
      <w:pPr>
        <w:tabs>
          <w:tab w:val="left" w:pos="907"/>
        </w:tabs>
        <w:ind w:left="907" w:hanging="907"/>
      </w:pPr>
      <w:rPr>
        <w:rFonts w:hint="eastAsia"/>
        <w:b/>
      </w:rPr>
    </w:lvl>
    <w:lvl w:ilvl="1" w:tentative="0">
      <w:start w:val="1"/>
      <w:numFmt w:val="decimal"/>
      <w:lvlText w:val="1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8">
    <w:nsid w:val="58C782A0"/>
    <w:multiLevelType w:val="multilevel"/>
    <w:tmpl w:val="58C782A0"/>
    <w:lvl w:ilvl="0" w:tentative="0">
      <w:start w:val="1"/>
      <w:numFmt w:val="decimal"/>
      <w:lvlText w:val="%1."/>
      <w:lvlJc w:val="left"/>
      <w:pPr>
        <w:tabs>
          <w:tab w:val="left" w:pos="907"/>
        </w:tabs>
        <w:ind w:left="907" w:hanging="907"/>
      </w:pPr>
      <w:rPr>
        <w:rFonts w:hint="eastAsia"/>
        <w:b/>
      </w:rPr>
    </w:lvl>
    <w:lvl w:ilvl="1" w:tentative="0">
      <w:start w:val="1"/>
      <w:numFmt w:val="decimal"/>
      <w:lvlText w:val="1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9">
    <w:nsid w:val="58C78482"/>
    <w:multiLevelType w:val="multilevel"/>
    <w:tmpl w:val="58C78482"/>
    <w:lvl w:ilvl="0" w:tentative="0">
      <w:start w:val="1"/>
      <w:numFmt w:val="decimal"/>
      <w:lvlText w:val="%1."/>
      <w:lvlJc w:val="left"/>
      <w:pPr>
        <w:tabs>
          <w:tab w:val="left" w:pos="907"/>
        </w:tabs>
        <w:ind w:left="907" w:hanging="907"/>
      </w:pPr>
      <w:rPr>
        <w:rFonts w:hint="eastAsia"/>
        <w:b/>
      </w:rPr>
    </w:lvl>
    <w:lvl w:ilvl="1" w:tentative="0">
      <w:start w:val="1"/>
      <w:numFmt w:val="decimal"/>
      <w:lvlText w:val="1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0">
    <w:nsid w:val="58C784B3"/>
    <w:multiLevelType w:val="multilevel"/>
    <w:tmpl w:val="58C784B3"/>
    <w:lvl w:ilvl="0" w:tentative="0">
      <w:start w:val="1"/>
      <w:numFmt w:val="decimal"/>
      <w:lvlText w:val="%1."/>
      <w:lvlJc w:val="left"/>
      <w:pPr>
        <w:tabs>
          <w:tab w:val="left" w:pos="907"/>
        </w:tabs>
        <w:ind w:left="907" w:hanging="907"/>
      </w:pPr>
      <w:rPr>
        <w:rFonts w:hint="eastAsia"/>
        <w:b/>
      </w:rPr>
    </w:lvl>
    <w:lvl w:ilvl="1" w:tentative="0">
      <w:start w:val="1"/>
      <w:numFmt w:val="decimal"/>
      <w:lvlText w:val="1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1">
    <w:nsid w:val="58C784E7"/>
    <w:multiLevelType w:val="multilevel"/>
    <w:tmpl w:val="58C784E7"/>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4.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2">
    <w:nsid w:val="58C78525"/>
    <w:multiLevelType w:val="multilevel"/>
    <w:tmpl w:val="58C78525"/>
    <w:lvl w:ilvl="0" w:tentative="0">
      <w:start w:val="1"/>
      <w:numFmt w:val="decimal"/>
      <w:lvlText w:val="%1."/>
      <w:lvlJc w:val="left"/>
      <w:pPr>
        <w:tabs>
          <w:tab w:val="left" w:pos="907"/>
        </w:tabs>
        <w:ind w:left="907" w:hanging="907"/>
      </w:pPr>
      <w:rPr>
        <w:rFonts w:hint="eastAsia"/>
        <w:b/>
      </w:rPr>
    </w:lvl>
    <w:lvl w:ilvl="1" w:tentative="0">
      <w:start w:val="1"/>
      <w:numFmt w:val="decimal"/>
      <w:lvlText w:val="15.%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3">
    <w:nsid w:val="58C78590"/>
    <w:multiLevelType w:val="multilevel"/>
    <w:tmpl w:val="58C78590"/>
    <w:lvl w:ilvl="0" w:tentative="0">
      <w:start w:val="1"/>
      <w:numFmt w:val="decimal"/>
      <w:lvlText w:val="%1."/>
      <w:lvlJc w:val="left"/>
      <w:pPr>
        <w:tabs>
          <w:tab w:val="left" w:pos="907"/>
        </w:tabs>
        <w:ind w:left="907" w:hanging="907"/>
      </w:pPr>
      <w:rPr>
        <w:rFonts w:hint="eastAsia"/>
        <w:b/>
      </w:rPr>
    </w:lvl>
    <w:lvl w:ilvl="1" w:tentative="0">
      <w:start w:val="1"/>
      <w:numFmt w:val="decimal"/>
      <w:lvlText w:val="1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4">
    <w:nsid w:val="58C78603"/>
    <w:multiLevelType w:val="multilevel"/>
    <w:tmpl w:val="58C78603"/>
    <w:lvl w:ilvl="0" w:tentative="0">
      <w:start w:val="1"/>
      <w:numFmt w:val="decimal"/>
      <w:lvlText w:val="%1."/>
      <w:lvlJc w:val="left"/>
      <w:pPr>
        <w:tabs>
          <w:tab w:val="left" w:pos="907"/>
        </w:tabs>
        <w:ind w:left="907" w:hanging="907"/>
      </w:pPr>
      <w:rPr>
        <w:rFonts w:hint="eastAsia"/>
        <w:b/>
      </w:rPr>
    </w:lvl>
    <w:lvl w:ilvl="1" w:tentative="0">
      <w:start w:val="1"/>
      <w:numFmt w:val="decimal"/>
      <w:lvlText w:val="1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5">
    <w:nsid w:val="58C7868A"/>
    <w:multiLevelType w:val="multilevel"/>
    <w:tmpl w:val="58C7868A"/>
    <w:lvl w:ilvl="0" w:tentative="0">
      <w:start w:val="1"/>
      <w:numFmt w:val="decimal"/>
      <w:lvlText w:val="%1."/>
      <w:lvlJc w:val="left"/>
      <w:pPr>
        <w:tabs>
          <w:tab w:val="left" w:pos="907"/>
        </w:tabs>
        <w:ind w:left="907" w:hanging="907"/>
      </w:pPr>
      <w:rPr>
        <w:rFonts w:hint="eastAsia"/>
        <w:b/>
      </w:rPr>
    </w:lvl>
    <w:lvl w:ilvl="1" w:tentative="0">
      <w:start w:val="1"/>
      <w:numFmt w:val="decimal"/>
      <w:lvlText w:val="18.%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6">
    <w:nsid w:val="58C78756"/>
    <w:multiLevelType w:val="multilevel"/>
    <w:tmpl w:val="58C78756"/>
    <w:lvl w:ilvl="0" w:tentative="0">
      <w:start w:val="1"/>
      <w:numFmt w:val="decimal"/>
      <w:lvlText w:val="%1."/>
      <w:lvlJc w:val="left"/>
      <w:pPr>
        <w:tabs>
          <w:tab w:val="left" w:pos="907"/>
        </w:tabs>
        <w:ind w:left="907" w:hanging="907"/>
      </w:pPr>
      <w:rPr>
        <w:rFonts w:hint="eastAsia"/>
        <w:b/>
      </w:rPr>
    </w:lvl>
    <w:lvl w:ilvl="1" w:tentative="0">
      <w:start w:val="1"/>
      <w:numFmt w:val="decimal"/>
      <w:lvlText w:val="19.%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7">
    <w:nsid w:val="58C78796"/>
    <w:multiLevelType w:val="multilevel"/>
    <w:tmpl w:val="58C78796"/>
    <w:lvl w:ilvl="0" w:tentative="0">
      <w:start w:val="1"/>
      <w:numFmt w:val="decimal"/>
      <w:lvlText w:val="%1."/>
      <w:lvlJc w:val="left"/>
      <w:pPr>
        <w:tabs>
          <w:tab w:val="left" w:pos="907"/>
        </w:tabs>
        <w:ind w:left="907" w:hanging="907"/>
      </w:pPr>
      <w:rPr>
        <w:rFonts w:hint="eastAsia"/>
        <w:b/>
      </w:rPr>
    </w:lvl>
    <w:lvl w:ilvl="1" w:tentative="0">
      <w:start w:val="1"/>
      <w:numFmt w:val="decimal"/>
      <w:lvlText w:val="20.%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8">
    <w:nsid w:val="58C788BA"/>
    <w:multiLevelType w:val="multilevel"/>
    <w:tmpl w:val="58C788BA"/>
    <w:lvl w:ilvl="0" w:tentative="0">
      <w:start w:val="1"/>
      <w:numFmt w:val="decimal"/>
      <w:lvlText w:val="%1."/>
      <w:lvlJc w:val="left"/>
      <w:pPr>
        <w:tabs>
          <w:tab w:val="left" w:pos="907"/>
        </w:tabs>
        <w:ind w:left="907" w:hanging="907"/>
      </w:pPr>
      <w:rPr>
        <w:rFonts w:hint="eastAsia"/>
        <w:b/>
      </w:rPr>
    </w:lvl>
    <w:lvl w:ilvl="1" w:tentative="0">
      <w:start w:val="1"/>
      <w:numFmt w:val="decimal"/>
      <w:lvlText w:val="21.%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29">
    <w:nsid w:val="58C78930"/>
    <w:multiLevelType w:val="multilevel"/>
    <w:tmpl w:val="58C78930"/>
    <w:lvl w:ilvl="0" w:tentative="0">
      <w:start w:val="1"/>
      <w:numFmt w:val="decimal"/>
      <w:lvlText w:val="%1."/>
      <w:lvlJc w:val="left"/>
      <w:pPr>
        <w:tabs>
          <w:tab w:val="left" w:pos="907"/>
        </w:tabs>
        <w:ind w:left="907" w:hanging="907"/>
      </w:pPr>
      <w:rPr>
        <w:rFonts w:hint="eastAsia"/>
        <w:b/>
      </w:rPr>
    </w:lvl>
    <w:lvl w:ilvl="1" w:tentative="0">
      <w:start w:val="1"/>
      <w:numFmt w:val="decimal"/>
      <w:lvlText w:val="22.%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0">
    <w:nsid w:val="58C78A9F"/>
    <w:multiLevelType w:val="multilevel"/>
    <w:tmpl w:val="58C78A9F"/>
    <w:lvl w:ilvl="0" w:tentative="0">
      <w:start w:val="1"/>
      <w:numFmt w:val="decimal"/>
      <w:lvlText w:val="%1."/>
      <w:lvlJc w:val="left"/>
      <w:pPr>
        <w:tabs>
          <w:tab w:val="left" w:pos="907"/>
        </w:tabs>
        <w:ind w:left="907" w:hanging="907"/>
      </w:pPr>
      <w:rPr>
        <w:rFonts w:hint="eastAsia"/>
        <w:b/>
      </w:rPr>
    </w:lvl>
    <w:lvl w:ilvl="1" w:tentative="0">
      <w:start w:val="1"/>
      <w:numFmt w:val="decimal"/>
      <w:lvlText w:val="24.%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1">
    <w:nsid w:val="58C78B58"/>
    <w:multiLevelType w:val="multilevel"/>
    <w:tmpl w:val="58C78B58"/>
    <w:lvl w:ilvl="0" w:tentative="0">
      <w:start w:val="1"/>
      <w:numFmt w:val="decimal"/>
      <w:lvlText w:val="%1."/>
      <w:lvlJc w:val="left"/>
      <w:pPr>
        <w:tabs>
          <w:tab w:val="left" w:pos="907"/>
        </w:tabs>
        <w:ind w:left="907" w:hanging="907"/>
      </w:pPr>
      <w:rPr>
        <w:rFonts w:hint="eastAsia"/>
        <w:b/>
      </w:rPr>
    </w:lvl>
    <w:lvl w:ilvl="1" w:tentative="0">
      <w:start w:val="1"/>
      <w:numFmt w:val="decimal"/>
      <w:lvlText w:val="25.%2"/>
      <w:lvlJc w:val="left"/>
      <w:pPr>
        <w:tabs>
          <w:tab w:val="left" w:pos="907"/>
        </w:tabs>
        <w:ind w:left="907" w:hanging="907"/>
      </w:pPr>
      <w:rPr>
        <w:rFonts w:hint="default" w:ascii="宋体" w:hAnsi="宋体" w:eastAsia="宋体" w:cs="宋体"/>
        <w:b w:val="0"/>
        <w:bCs/>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2">
    <w:nsid w:val="58C78CAF"/>
    <w:multiLevelType w:val="multilevel"/>
    <w:tmpl w:val="58C78CAF"/>
    <w:lvl w:ilvl="0" w:tentative="0">
      <w:start w:val="1"/>
      <w:numFmt w:val="decimal"/>
      <w:lvlText w:val="%1."/>
      <w:lvlJc w:val="left"/>
      <w:pPr>
        <w:tabs>
          <w:tab w:val="left" w:pos="907"/>
        </w:tabs>
        <w:ind w:left="907" w:hanging="907"/>
      </w:pPr>
      <w:rPr>
        <w:rFonts w:hint="eastAsia"/>
        <w:b/>
      </w:rPr>
    </w:lvl>
    <w:lvl w:ilvl="1" w:tentative="0">
      <w:start w:val="1"/>
      <w:numFmt w:val="decimal"/>
      <w:lvlText w:val="26.%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3">
    <w:nsid w:val="58C78D0C"/>
    <w:multiLevelType w:val="multilevel"/>
    <w:tmpl w:val="58C78D0C"/>
    <w:lvl w:ilvl="0" w:tentative="0">
      <w:start w:val="1"/>
      <w:numFmt w:val="decimal"/>
      <w:lvlText w:val="%1."/>
      <w:lvlJc w:val="left"/>
      <w:pPr>
        <w:tabs>
          <w:tab w:val="left" w:pos="907"/>
        </w:tabs>
        <w:ind w:left="907" w:hanging="907"/>
      </w:pPr>
      <w:rPr>
        <w:rFonts w:hint="eastAsia"/>
        <w:b/>
      </w:rPr>
    </w:lvl>
    <w:lvl w:ilvl="1" w:tentative="0">
      <w:start w:val="1"/>
      <w:numFmt w:val="decimal"/>
      <w:lvlText w:val="27.%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4">
    <w:nsid w:val="58C78D5A"/>
    <w:multiLevelType w:val="multilevel"/>
    <w:tmpl w:val="58C78D5A"/>
    <w:lvl w:ilvl="0" w:tentative="0">
      <w:start w:val="1"/>
      <w:numFmt w:val="decimal"/>
      <w:lvlText w:val="%1."/>
      <w:lvlJc w:val="left"/>
      <w:pPr>
        <w:tabs>
          <w:tab w:val="left" w:pos="907"/>
        </w:tabs>
        <w:ind w:left="907" w:hanging="907"/>
      </w:pPr>
      <w:rPr>
        <w:rFonts w:hint="eastAsia"/>
        <w:b/>
      </w:rPr>
    </w:lvl>
    <w:lvl w:ilvl="1" w:tentative="0">
      <w:start w:val="1"/>
      <w:numFmt w:val="decimal"/>
      <w:isLgl/>
      <w:lvlText w:val="2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5">
    <w:nsid w:val="58C78DDD"/>
    <w:multiLevelType w:val="multilevel"/>
    <w:tmpl w:val="58C78DDD"/>
    <w:lvl w:ilvl="0" w:tentative="0">
      <w:start w:val="1"/>
      <w:numFmt w:val="decimal"/>
      <w:lvlText w:val="%1."/>
      <w:lvlJc w:val="left"/>
      <w:pPr>
        <w:tabs>
          <w:tab w:val="left" w:pos="907"/>
        </w:tabs>
        <w:ind w:left="907" w:hanging="907"/>
      </w:pPr>
      <w:rPr>
        <w:rFonts w:hint="eastAsia"/>
        <w:b/>
      </w:rPr>
    </w:lvl>
    <w:lvl w:ilvl="1" w:tentative="0">
      <w:start w:val="1"/>
      <w:numFmt w:val="decimal"/>
      <w:isLgl/>
      <w:lvlText w:val="29.%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6">
    <w:nsid w:val="58C78ECE"/>
    <w:multiLevelType w:val="multilevel"/>
    <w:tmpl w:val="58C78ECE"/>
    <w:lvl w:ilvl="0" w:tentative="0">
      <w:start w:val="1"/>
      <w:numFmt w:val="decimal"/>
      <w:lvlText w:val="%1."/>
      <w:lvlJc w:val="left"/>
      <w:pPr>
        <w:tabs>
          <w:tab w:val="left" w:pos="907"/>
        </w:tabs>
        <w:ind w:left="907" w:hanging="907"/>
      </w:pPr>
      <w:rPr>
        <w:rFonts w:hint="eastAsia"/>
        <w:b/>
      </w:rPr>
    </w:lvl>
    <w:lvl w:ilvl="1" w:tentative="0">
      <w:start w:val="1"/>
      <w:numFmt w:val="decimal"/>
      <w:isLgl/>
      <w:lvlText w:val="30.%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7">
    <w:nsid w:val="58C78F43"/>
    <w:multiLevelType w:val="multilevel"/>
    <w:tmpl w:val="58C78F43"/>
    <w:lvl w:ilvl="0" w:tentative="0">
      <w:start w:val="1"/>
      <w:numFmt w:val="decimal"/>
      <w:lvlText w:val="%1."/>
      <w:lvlJc w:val="left"/>
      <w:pPr>
        <w:tabs>
          <w:tab w:val="left" w:pos="907"/>
        </w:tabs>
        <w:ind w:left="907" w:hanging="907"/>
      </w:pPr>
      <w:rPr>
        <w:rFonts w:hint="eastAsia"/>
        <w:b/>
      </w:rPr>
    </w:lvl>
    <w:lvl w:ilvl="1" w:tentative="0">
      <w:start w:val="1"/>
      <w:numFmt w:val="decimal"/>
      <w:isLgl/>
      <w:lvlText w:val="31.%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8">
    <w:nsid w:val="58C78F97"/>
    <w:multiLevelType w:val="multilevel"/>
    <w:tmpl w:val="58C78F97"/>
    <w:lvl w:ilvl="0" w:tentative="0">
      <w:start w:val="1"/>
      <w:numFmt w:val="decimal"/>
      <w:lvlText w:val="%1."/>
      <w:lvlJc w:val="left"/>
      <w:pPr>
        <w:tabs>
          <w:tab w:val="left" w:pos="907"/>
        </w:tabs>
        <w:ind w:left="907" w:hanging="907"/>
      </w:pPr>
      <w:rPr>
        <w:rFonts w:hint="eastAsia"/>
        <w:b/>
      </w:rPr>
    </w:lvl>
    <w:lvl w:ilvl="1" w:tentative="0">
      <w:start w:val="1"/>
      <w:numFmt w:val="decimal"/>
      <w:isLgl/>
      <w:lvlText w:val="3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39">
    <w:nsid w:val="58C78FF7"/>
    <w:multiLevelType w:val="multilevel"/>
    <w:tmpl w:val="58C78FF7"/>
    <w:lvl w:ilvl="0" w:tentative="0">
      <w:start w:val="1"/>
      <w:numFmt w:val="decimal"/>
      <w:lvlText w:val="%1."/>
      <w:lvlJc w:val="left"/>
      <w:pPr>
        <w:tabs>
          <w:tab w:val="left" w:pos="907"/>
        </w:tabs>
        <w:ind w:left="907" w:hanging="907"/>
      </w:pPr>
      <w:rPr>
        <w:rFonts w:hint="eastAsia"/>
        <w:b/>
      </w:rPr>
    </w:lvl>
    <w:lvl w:ilvl="1" w:tentative="0">
      <w:start w:val="1"/>
      <w:numFmt w:val="decimal"/>
      <w:isLgl/>
      <w:lvlText w:val="3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0">
    <w:nsid w:val="58C7903F"/>
    <w:multiLevelType w:val="multilevel"/>
    <w:tmpl w:val="58C7903F"/>
    <w:lvl w:ilvl="0" w:tentative="0">
      <w:start w:val="1"/>
      <w:numFmt w:val="decimal"/>
      <w:lvlText w:val="%1."/>
      <w:lvlJc w:val="left"/>
      <w:pPr>
        <w:tabs>
          <w:tab w:val="left" w:pos="907"/>
        </w:tabs>
        <w:ind w:left="907" w:hanging="907"/>
      </w:pPr>
      <w:rPr>
        <w:rFonts w:hint="eastAsia"/>
        <w:b/>
      </w:rPr>
    </w:lvl>
    <w:lvl w:ilvl="1" w:tentative="0">
      <w:start w:val="1"/>
      <w:numFmt w:val="decimal"/>
      <w:isLgl/>
      <w:lvlText w:val="34.%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1">
    <w:nsid w:val="58C79146"/>
    <w:multiLevelType w:val="multilevel"/>
    <w:tmpl w:val="58C79146"/>
    <w:lvl w:ilvl="0" w:tentative="0">
      <w:start w:val="1"/>
      <w:numFmt w:val="decimal"/>
      <w:lvlText w:val="%1."/>
      <w:lvlJc w:val="left"/>
      <w:pPr>
        <w:tabs>
          <w:tab w:val="left" w:pos="907"/>
        </w:tabs>
        <w:ind w:left="907" w:hanging="907"/>
      </w:pPr>
      <w:rPr>
        <w:rFonts w:hint="eastAsia"/>
        <w:b/>
      </w:rPr>
    </w:lvl>
    <w:lvl w:ilvl="1" w:tentative="0">
      <w:start w:val="1"/>
      <w:numFmt w:val="decimal"/>
      <w:isLgl/>
      <w:lvlText w:val="3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2">
    <w:nsid w:val="58C79184"/>
    <w:multiLevelType w:val="multilevel"/>
    <w:tmpl w:val="58C79184"/>
    <w:lvl w:ilvl="0" w:tentative="0">
      <w:start w:val="1"/>
      <w:numFmt w:val="decimal"/>
      <w:lvlText w:val="%1."/>
      <w:lvlJc w:val="left"/>
      <w:pPr>
        <w:tabs>
          <w:tab w:val="left" w:pos="907"/>
        </w:tabs>
        <w:ind w:left="907" w:hanging="907"/>
      </w:pPr>
      <w:rPr>
        <w:rFonts w:hint="eastAsia"/>
        <w:b/>
      </w:rPr>
    </w:lvl>
    <w:lvl w:ilvl="1" w:tentative="0">
      <w:start w:val="1"/>
      <w:numFmt w:val="decimal"/>
      <w:isLgl/>
      <w:lvlText w:val="36.%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3">
    <w:nsid w:val="58C791FB"/>
    <w:multiLevelType w:val="multilevel"/>
    <w:tmpl w:val="58C791FB"/>
    <w:lvl w:ilvl="0" w:tentative="0">
      <w:start w:val="1"/>
      <w:numFmt w:val="decimal"/>
      <w:lvlText w:val="%1."/>
      <w:lvlJc w:val="left"/>
      <w:pPr>
        <w:tabs>
          <w:tab w:val="left" w:pos="907"/>
        </w:tabs>
        <w:ind w:left="907" w:hanging="907"/>
      </w:pPr>
      <w:rPr>
        <w:rFonts w:hint="eastAsia"/>
        <w:b/>
      </w:rPr>
    </w:lvl>
    <w:lvl w:ilvl="1" w:tentative="0">
      <w:start w:val="1"/>
      <w:numFmt w:val="decimal"/>
      <w:isLgl/>
      <w:lvlText w:val="37.%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44">
    <w:nsid w:val="58C79A53"/>
    <w:multiLevelType w:val="singleLevel"/>
    <w:tmpl w:val="58C79A53"/>
    <w:lvl w:ilvl="0" w:tentative="0">
      <w:start w:val="1"/>
      <w:numFmt w:val="decimal"/>
      <w:suff w:val="nothing"/>
      <w:lvlText w:val="%1、"/>
      <w:lvlJc w:val="left"/>
      <w:pPr>
        <w:ind w:left="0" w:firstLine="420"/>
      </w:pPr>
      <w:rPr>
        <w:rFonts w:hint="default"/>
      </w:rPr>
    </w:lvl>
  </w:abstractNum>
  <w:abstractNum w:abstractNumId="145">
    <w:nsid w:val="58C7A25C"/>
    <w:multiLevelType w:val="singleLevel"/>
    <w:tmpl w:val="58C7A25C"/>
    <w:lvl w:ilvl="0" w:tentative="0">
      <w:start w:val="1"/>
      <w:numFmt w:val="decimal"/>
      <w:suff w:val="nothing"/>
      <w:lvlText w:val="%1、"/>
      <w:lvlJc w:val="left"/>
      <w:pPr>
        <w:ind w:left="0" w:firstLine="420"/>
      </w:pPr>
      <w:rPr>
        <w:rFonts w:hint="default"/>
      </w:rPr>
    </w:lvl>
  </w:abstractNum>
  <w:abstractNum w:abstractNumId="146">
    <w:nsid w:val="58C7A2B7"/>
    <w:multiLevelType w:val="singleLevel"/>
    <w:tmpl w:val="58C7A2B7"/>
    <w:lvl w:ilvl="0" w:tentative="0">
      <w:start w:val="1"/>
      <w:numFmt w:val="decimal"/>
      <w:suff w:val="nothing"/>
      <w:lvlText w:val="%1、"/>
      <w:lvlJc w:val="left"/>
      <w:pPr>
        <w:ind w:left="0" w:firstLine="420"/>
      </w:pPr>
      <w:rPr>
        <w:rFonts w:hint="default"/>
      </w:rPr>
    </w:lvl>
  </w:abstractNum>
  <w:abstractNum w:abstractNumId="147">
    <w:nsid w:val="58C7ABA9"/>
    <w:multiLevelType w:val="singleLevel"/>
    <w:tmpl w:val="58C7ABA9"/>
    <w:lvl w:ilvl="0" w:tentative="0">
      <w:start w:val="1"/>
      <w:numFmt w:val="decimal"/>
      <w:suff w:val="nothing"/>
      <w:lvlText w:val="（%1）"/>
      <w:lvlJc w:val="left"/>
      <w:pPr>
        <w:tabs>
          <w:tab w:val="left" w:pos="0"/>
        </w:tabs>
        <w:ind w:left="0" w:firstLine="420"/>
      </w:pPr>
      <w:rPr>
        <w:rFonts w:hint="default"/>
        <w:b/>
      </w:rPr>
    </w:lvl>
  </w:abstractNum>
  <w:abstractNum w:abstractNumId="148">
    <w:nsid w:val="58C7B18C"/>
    <w:multiLevelType w:val="singleLevel"/>
    <w:tmpl w:val="58C7B18C"/>
    <w:lvl w:ilvl="0" w:tentative="0">
      <w:start w:val="1"/>
      <w:numFmt w:val="decimal"/>
      <w:suff w:val="nothing"/>
      <w:lvlText w:val="（%1）"/>
      <w:lvlJc w:val="left"/>
      <w:pPr>
        <w:tabs>
          <w:tab w:val="left" w:pos="0"/>
        </w:tabs>
        <w:ind w:left="0" w:firstLine="420"/>
      </w:pPr>
      <w:rPr>
        <w:rFonts w:hint="default"/>
        <w:b/>
      </w:rPr>
    </w:lvl>
  </w:abstractNum>
  <w:abstractNum w:abstractNumId="149">
    <w:nsid w:val="58C7B481"/>
    <w:multiLevelType w:val="singleLevel"/>
    <w:tmpl w:val="58C7B481"/>
    <w:lvl w:ilvl="0" w:tentative="0">
      <w:start w:val="1"/>
      <w:numFmt w:val="decimal"/>
      <w:suff w:val="nothing"/>
      <w:lvlText w:val="%1、"/>
      <w:lvlJc w:val="left"/>
      <w:pPr>
        <w:ind w:left="0" w:firstLine="420"/>
      </w:pPr>
      <w:rPr>
        <w:rFonts w:hint="default"/>
      </w:rPr>
    </w:lvl>
  </w:abstractNum>
  <w:abstractNum w:abstractNumId="150">
    <w:nsid w:val="58C7B754"/>
    <w:multiLevelType w:val="singleLevel"/>
    <w:tmpl w:val="58C7B754"/>
    <w:lvl w:ilvl="0" w:tentative="0">
      <w:start w:val="1"/>
      <w:numFmt w:val="decimal"/>
      <w:suff w:val="nothing"/>
      <w:lvlText w:val="%1、"/>
      <w:lvlJc w:val="left"/>
      <w:pPr>
        <w:ind w:left="0" w:firstLine="420"/>
      </w:pPr>
      <w:rPr>
        <w:rFonts w:hint="default"/>
      </w:rPr>
    </w:lvl>
  </w:abstractNum>
  <w:abstractNum w:abstractNumId="151">
    <w:nsid w:val="58C7BBB0"/>
    <w:multiLevelType w:val="singleLevel"/>
    <w:tmpl w:val="58C7BBB0"/>
    <w:lvl w:ilvl="0" w:tentative="0">
      <w:start w:val="1"/>
      <w:numFmt w:val="decimal"/>
      <w:suff w:val="nothing"/>
      <w:lvlText w:val="%1、"/>
      <w:lvlJc w:val="left"/>
      <w:pPr>
        <w:ind w:left="0" w:firstLine="420"/>
      </w:pPr>
      <w:rPr>
        <w:rFonts w:hint="default"/>
      </w:rPr>
    </w:lvl>
  </w:abstractNum>
  <w:abstractNum w:abstractNumId="152">
    <w:nsid w:val="58C7EEA2"/>
    <w:multiLevelType w:val="multilevel"/>
    <w:tmpl w:val="58C7EEA2"/>
    <w:lvl w:ilvl="0" w:tentative="0">
      <w:start w:val="1"/>
      <w:numFmt w:val="decimal"/>
      <w:lvlText w:val="%1."/>
      <w:lvlJc w:val="left"/>
      <w:pPr>
        <w:tabs>
          <w:tab w:val="left" w:pos="907"/>
        </w:tabs>
        <w:ind w:left="907" w:hanging="907"/>
      </w:pPr>
      <w:rPr>
        <w:rFonts w:hint="eastAsia"/>
        <w:b/>
      </w:rPr>
    </w:lvl>
    <w:lvl w:ilvl="1" w:tentative="0">
      <w:start w:val="1"/>
      <w:numFmt w:val="decimal"/>
      <w:lvlText w:val="23.%2"/>
      <w:lvlJc w:val="left"/>
      <w:pPr>
        <w:tabs>
          <w:tab w:val="left" w:pos="907"/>
        </w:tabs>
        <w:ind w:left="907" w:hanging="907"/>
      </w:pPr>
      <w:rPr>
        <w:rFonts w:hint="default" w:ascii="宋体" w:hAnsi="宋体" w:eastAsia="宋体" w:cs="宋体"/>
        <w:b w:val="0"/>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3">
    <w:nsid w:val="58E5ED84"/>
    <w:multiLevelType w:val="multilevel"/>
    <w:tmpl w:val="58E5ED84"/>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6.2.%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54">
    <w:nsid w:val="59B6C1A8"/>
    <w:multiLevelType w:val="singleLevel"/>
    <w:tmpl w:val="59B6C1A8"/>
    <w:lvl w:ilvl="0" w:tentative="0">
      <w:start w:val="1"/>
      <w:numFmt w:val="decimal"/>
      <w:suff w:val="nothing"/>
      <w:lvlText w:val="%1、"/>
      <w:lvlJc w:val="left"/>
      <w:pPr>
        <w:ind w:left="425" w:hanging="425"/>
      </w:pPr>
      <w:rPr>
        <w:rFonts w:hint="default" w:cs="Times New Roman"/>
      </w:rPr>
    </w:lvl>
  </w:abstractNum>
  <w:abstractNum w:abstractNumId="155">
    <w:nsid w:val="59BF7DD7"/>
    <w:multiLevelType w:val="singleLevel"/>
    <w:tmpl w:val="59BF7DD7"/>
    <w:lvl w:ilvl="0" w:tentative="0">
      <w:start w:val="1"/>
      <w:numFmt w:val="decimal"/>
      <w:suff w:val="nothing"/>
      <w:lvlText w:val="%1、"/>
      <w:lvlJc w:val="left"/>
      <w:pPr>
        <w:ind w:left="0" w:firstLine="420"/>
      </w:pPr>
      <w:rPr>
        <w:rFonts w:hint="default"/>
      </w:rPr>
    </w:lvl>
  </w:abstractNum>
  <w:abstractNum w:abstractNumId="156">
    <w:nsid w:val="59C1EC87"/>
    <w:multiLevelType w:val="singleLevel"/>
    <w:tmpl w:val="59C1EC87"/>
    <w:lvl w:ilvl="0" w:tentative="0">
      <w:start w:val="1"/>
      <w:numFmt w:val="decimal"/>
      <w:suff w:val="nothing"/>
      <w:lvlText w:val="（%1）"/>
      <w:lvlJc w:val="left"/>
      <w:pPr>
        <w:ind w:left="0" w:firstLine="420"/>
      </w:pPr>
      <w:rPr>
        <w:rFonts w:hint="default"/>
      </w:rPr>
    </w:lvl>
  </w:abstractNum>
  <w:abstractNum w:abstractNumId="157">
    <w:nsid w:val="59C1ECF8"/>
    <w:multiLevelType w:val="singleLevel"/>
    <w:tmpl w:val="59C1ECF8"/>
    <w:lvl w:ilvl="0" w:tentative="0">
      <w:start w:val="1"/>
      <w:numFmt w:val="decimalEnclosedCircleChinese"/>
      <w:suff w:val="nothing"/>
      <w:lvlText w:val="%1、"/>
      <w:lvlJc w:val="left"/>
      <w:pPr>
        <w:ind w:left="0" w:firstLine="420"/>
      </w:pPr>
      <w:rPr>
        <w:rFonts w:hint="eastAsia"/>
      </w:rPr>
    </w:lvl>
  </w:abstractNum>
  <w:abstractNum w:abstractNumId="158">
    <w:nsid w:val="59C1ED55"/>
    <w:multiLevelType w:val="singleLevel"/>
    <w:tmpl w:val="59C1ED55"/>
    <w:lvl w:ilvl="0" w:tentative="0">
      <w:start w:val="1"/>
      <w:numFmt w:val="lowerLetter"/>
      <w:suff w:val="nothing"/>
      <w:lvlText w:val="%1、"/>
      <w:lvlJc w:val="left"/>
      <w:pPr>
        <w:ind w:left="0" w:firstLine="420"/>
      </w:pPr>
      <w:rPr>
        <w:rFonts w:hint="default"/>
      </w:rPr>
    </w:lvl>
  </w:abstractNum>
  <w:abstractNum w:abstractNumId="159">
    <w:nsid w:val="59C1EDD4"/>
    <w:multiLevelType w:val="singleLevel"/>
    <w:tmpl w:val="59C1EDD4"/>
    <w:lvl w:ilvl="0" w:tentative="0">
      <w:start w:val="1"/>
      <w:numFmt w:val="lowerLetter"/>
      <w:suff w:val="nothing"/>
      <w:lvlText w:val="%1、"/>
      <w:lvlJc w:val="left"/>
      <w:pPr>
        <w:ind w:left="0" w:firstLine="420"/>
      </w:pPr>
      <w:rPr>
        <w:rFonts w:hint="default"/>
      </w:rPr>
    </w:lvl>
  </w:abstractNum>
  <w:abstractNum w:abstractNumId="160">
    <w:nsid w:val="59C1EE49"/>
    <w:multiLevelType w:val="multilevel"/>
    <w:tmpl w:val="59C1EE49"/>
    <w:lvl w:ilvl="0" w:tentative="0">
      <w:start w:val="1"/>
      <w:numFmt w:val="decimal"/>
      <w:lvlText w:val="%1."/>
      <w:lvlJc w:val="left"/>
      <w:pPr>
        <w:tabs>
          <w:tab w:val="left" w:pos="907"/>
        </w:tabs>
        <w:ind w:left="907" w:hanging="907"/>
      </w:pPr>
      <w:rPr>
        <w:rFonts w:hint="eastAsia"/>
        <w:b/>
      </w:rPr>
    </w:lvl>
    <w:lvl w:ilvl="1" w:tentative="0">
      <w:start w:val="1"/>
      <w:numFmt w:val="decimal"/>
      <w:isLgl/>
      <w:lvlText w:val="5.%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1">
    <w:nsid w:val="59C1EF68"/>
    <w:multiLevelType w:val="singleLevel"/>
    <w:tmpl w:val="59C1EF68"/>
    <w:lvl w:ilvl="0" w:tentative="0">
      <w:start w:val="1"/>
      <w:numFmt w:val="decimal"/>
      <w:lvlText w:val="%1."/>
      <w:lvlJc w:val="left"/>
      <w:pPr>
        <w:ind w:left="425" w:hanging="425"/>
      </w:pPr>
      <w:rPr>
        <w:rFonts w:hint="default"/>
      </w:rPr>
    </w:lvl>
  </w:abstractNum>
  <w:abstractNum w:abstractNumId="162">
    <w:nsid w:val="59C1EF9F"/>
    <w:multiLevelType w:val="multilevel"/>
    <w:tmpl w:val="59C1EF9F"/>
    <w:lvl w:ilvl="0" w:tentative="0">
      <w:start w:val="1"/>
      <w:numFmt w:val="decimal"/>
      <w:lvlText w:val="%1."/>
      <w:lvlJc w:val="left"/>
      <w:pPr>
        <w:tabs>
          <w:tab w:val="left" w:pos="907"/>
        </w:tabs>
        <w:ind w:left="907" w:hanging="907"/>
      </w:pPr>
      <w:rPr>
        <w:rFonts w:hint="eastAsia"/>
        <w:b/>
      </w:rPr>
    </w:lvl>
    <w:lvl w:ilvl="1" w:tentative="0">
      <w:start w:val="1"/>
      <w:numFmt w:val="decimal"/>
      <w:isLgl/>
      <w:lvlText w:val="1.%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3">
    <w:nsid w:val="59C1EFED"/>
    <w:multiLevelType w:val="multilevel"/>
    <w:tmpl w:val="59C1EFED"/>
    <w:lvl w:ilvl="0" w:tentative="0">
      <w:start w:val="1"/>
      <w:numFmt w:val="decimal"/>
      <w:lvlText w:val="%1."/>
      <w:lvlJc w:val="left"/>
      <w:pPr>
        <w:tabs>
          <w:tab w:val="left" w:pos="907"/>
        </w:tabs>
        <w:ind w:left="907" w:hanging="907"/>
      </w:pPr>
      <w:rPr>
        <w:rFonts w:hint="eastAsia"/>
        <w:b/>
      </w:rPr>
    </w:lvl>
    <w:lvl w:ilvl="1" w:tentative="0">
      <w:start w:val="1"/>
      <w:numFmt w:val="decimal"/>
      <w:isLgl/>
      <w:lvlText w:val="2.%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4">
    <w:nsid w:val="59C1F024"/>
    <w:multiLevelType w:val="singleLevel"/>
    <w:tmpl w:val="59C1F024"/>
    <w:lvl w:ilvl="0" w:tentative="0">
      <w:start w:val="1"/>
      <w:numFmt w:val="decimal"/>
      <w:suff w:val="nothing"/>
      <w:lvlText w:val="（%1）"/>
      <w:lvlJc w:val="left"/>
      <w:pPr>
        <w:ind w:left="0" w:firstLine="420"/>
      </w:pPr>
      <w:rPr>
        <w:rFonts w:hint="default"/>
      </w:rPr>
    </w:lvl>
  </w:abstractNum>
  <w:abstractNum w:abstractNumId="165">
    <w:nsid w:val="59C1F036"/>
    <w:multiLevelType w:val="singleLevel"/>
    <w:tmpl w:val="59C1F036"/>
    <w:lvl w:ilvl="0" w:tentative="0">
      <w:start w:val="1"/>
      <w:numFmt w:val="decimal"/>
      <w:suff w:val="nothing"/>
      <w:lvlText w:val="（%1）"/>
      <w:lvlJc w:val="left"/>
      <w:pPr>
        <w:ind w:left="0" w:firstLine="420"/>
      </w:pPr>
      <w:rPr>
        <w:rFonts w:hint="default"/>
      </w:rPr>
    </w:lvl>
  </w:abstractNum>
  <w:abstractNum w:abstractNumId="166">
    <w:nsid w:val="59C1F051"/>
    <w:multiLevelType w:val="multilevel"/>
    <w:tmpl w:val="59C1F051"/>
    <w:lvl w:ilvl="0" w:tentative="0">
      <w:start w:val="1"/>
      <w:numFmt w:val="decimal"/>
      <w:lvlText w:val="%1."/>
      <w:lvlJc w:val="left"/>
      <w:pPr>
        <w:tabs>
          <w:tab w:val="left" w:pos="907"/>
        </w:tabs>
        <w:ind w:left="907" w:hanging="907"/>
      </w:pPr>
      <w:rPr>
        <w:rFonts w:hint="eastAsia"/>
        <w:b/>
      </w:rPr>
    </w:lvl>
    <w:lvl w:ilvl="1" w:tentative="0">
      <w:start w:val="1"/>
      <w:numFmt w:val="decimal"/>
      <w:isLgl/>
      <w:lvlText w:val="3.%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7">
    <w:nsid w:val="59C1F075"/>
    <w:multiLevelType w:val="multilevel"/>
    <w:tmpl w:val="59C1F075"/>
    <w:lvl w:ilvl="0" w:tentative="0">
      <w:start w:val="1"/>
      <w:numFmt w:val="decimal"/>
      <w:lvlText w:val="%1."/>
      <w:lvlJc w:val="left"/>
      <w:pPr>
        <w:tabs>
          <w:tab w:val="left" w:pos="907"/>
        </w:tabs>
        <w:ind w:left="907" w:hanging="907"/>
      </w:pPr>
      <w:rPr>
        <w:rFonts w:hint="eastAsia"/>
        <w:b/>
      </w:rPr>
    </w:lvl>
    <w:lvl w:ilvl="1" w:tentative="0">
      <w:start w:val="1"/>
      <w:numFmt w:val="decimal"/>
      <w:isLgl/>
      <w:lvlText w:val="4.%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8">
    <w:nsid w:val="59E45055"/>
    <w:multiLevelType w:val="multilevel"/>
    <w:tmpl w:val="59E45055"/>
    <w:lvl w:ilvl="0" w:tentative="0">
      <w:start w:val="1"/>
      <w:numFmt w:val="decimal"/>
      <w:lvlText w:val="%1."/>
      <w:lvlJc w:val="left"/>
      <w:pPr>
        <w:tabs>
          <w:tab w:val="left" w:pos="907"/>
        </w:tabs>
        <w:ind w:left="907" w:hanging="907"/>
      </w:pPr>
      <w:rPr>
        <w:rFonts w:hint="eastAsia"/>
        <w:b/>
      </w:rPr>
    </w:lvl>
    <w:lvl w:ilvl="1" w:tentative="0">
      <w:start w:val="1"/>
      <w:numFmt w:val="decimal"/>
      <w:isLgl/>
      <w:lvlText w:val="38.%2"/>
      <w:lvlJc w:val="left"/>
      <w:pPr>
        <w:tabs>
          <w:tab w:val="left" w:pos="907"/>
        </w:tabs>
        <w:ind w:left="907" w:hanging="907"/>
      </w:pPr>
      <w:rPr>
        <w:rFonts w:hint="default" w:ascii="宋体" w:hAnsi="宋体" w:eastAsia="宋体" w:cs="宋体"/>
        <w:b w:val="0"/>
      </w:rPr>
    </w:lvl>
    <w:lvl w:ilvl="2" w:tentative="0">
      <w:start w:val="1"/>
      <w:numFmt w:val="decimal"/>
      <w:lvlText w:val="28.%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69">
    <w:nsid w:val="59E82EDC"/>
    <w:multiLevelType w:val="multilevel"/>
    <w:tmpl w:val="59E82EDC"/>
    <w:lvl w:ilvl="0" w:tentative="0">
      <w:start w:val="1"/>
      <w:numFmt w:val="decimal"/>
      <w:lvlText w:val="%1."/>
      <w:lvlJc w:val="left"/>
      <w:pPr>
        <w:tabs>
          <w:tab w:val="left" w:pos="907"/>
        </w:tabs>
        <w:ind w:left="907" w:hanging="907"/>
      </w:pPr>
      <w:rPr>
        <w:rFonts w:hint="eastAsia"/>
        <w:b/>
      </w:rPr>
    </w:lvl>
    <w:lvl w:ilvl="1" w:tentative="0">
      <w:start w:val="1"/>
      <w:numFmt w:val="decimal"/>
      <w:isLgl/>
      <w:lvlText w:val="14.%2."/>
      <w:lvlJc w:val="left"/>
      <w:pPr>
        <w:tabs>
          <w:tab w:val="left" w:pos="907"/>
        </w:tabs>
        <w:ind w:left="907" w:hanging="907"/>
      </w:pPr>
      <w:rPr>
        <w:rFonts w:hint="eastAsia" w:eastAsia="宋体"/>
        <w:b w:val="0"/>
      </w:rPr>
    </w:lvl>
    <w:lvl w:ilvl="2" w:tentative="0">
      <w:start w:val="1"/>
      <w:numFmt w:val="decimal"/>
      <w:lvlText w:val="18.4.%3"/>
      <w:lvlJc w:val="left"/>
      <w:pPr>
        <w:tabs>
          <w:tab w:val="left" w:pos="907"/>
        </w:tabs>
        <w:ind w:left="907" w:hanging="907"/>
      </w:pPr>
      <w:rPr>
        <w:rFonts w:hint="default" w:ascii="宋体" w:hAnsi="宋体" w:eastAsia="宋体" w:cs="宋体"/>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70">
    <w:nsid w:val="5A2EDE8C"/>
    <w:multiLevelType w:val="singleLevel"/>
    <w:tmpl w:val="5A2EDE8C"/>
    <w:lvl w:ilvl="0" w:tentative="0">
      <w:start w:val="1"/>
      <w:numFmt w:val="decimal"/>
      <w:suff w:val="nothing"/>
      <w:lvlText w:val="%1"/>
      <w:lvlJc w:val="left"/>
      <w:pPr>
        <w:ind w:left="425" w:hanging="425"/>
      </w:pPr>
      <w:rPr>
        <w:rFonts w:hint="default"/>
        <w:highlight w:val="none"/>
      </w:rPr>
    </w:lvl>
  </w:abstractNum>
  <w:abstractNum w:abstractNumId="171">
    <w:nsid w:val="5A6FDB82"/>
    <w:multiLevelType w:val="singleLevel"/>
    <w:tmpl w:val="5A6FDB82"/>
    <w:lvl w:ilvl="0" w:tentative="0">
      <w:start w:val="1"/>
      <w:numFmt w:val="decimal"/>
      <w:suff w:val="nothing"/>
      <w:lvlText w:val="（%1）"/>
      <w:lvlJc w:val="left"/>
      <w:pPr>
        <w:ind w:left="0" w:firstLine="420"/>
      </w:pPr>
      <w:rPr>
        <w:rFonts w:hint="default"/>
      </w:rPr>
    </w:lvl>
  </w:abstractNum>
  <w:abstractNum w:abstractNumId="172">
    <w:nsid w:val="5A6FDC8D"/>
    <w:multiLevelType w:val="singleLevel"/>
    <w:tmpl w:val="5A6FDC8D"/>
    <w:lvl w:ilvl="0" w:tentative="0">
      <w:start w:val="1"/>
      <w:numFmt w:val="decimal"/>
      <w:suff w:val="nothing"/>
      <w:lvlText w:val="（%1）"/>
      <w:lvlJc w:val="left"/>
      <w:pPr>
        <w:ind w:left="0" w:firstLine="420"/>
      </w:pPr>
      <w:rPr>
        <w:rFonts w:hint="default"/>
      </w:rPr>
    </w:lvl>
  </w:abstractNum>
  <w:abstractNum w:abstractNumId="173">
    <w:nsid w:val="5A6FDCEA"/>
    <w:multiLevelType w:val="singleLevel"/>
    <w:tmpl w:val="5A6FDCEA"/>
    <w:lvl w:ilvl="0" w:tentative="0">
      <w:start w:val="1"/>
      <w:numFmt w:val="decimal"/>
      <w:suff w:val="nothing"/>
      <w:lvlText w:val="（%1）"/>
      <w:lvlJc w:val="left"/>
      <w:pPr>
        <w:ind w:left="0" w:firstLine="420"/>
      </w:pPr>
      <w:rPr>
        <w:rFonts w:hint="default"/>
      </w:rPr>
    </w:lvl>
  </w:abstractNum>
  <w:abstractNum w:abstractNumId="174">
    <w:nsid w:val="5F3D0C46"/>
    <w:multiLevelType w:val="singleLevel"/>
    <w:tmpl w:val="5F3D0C46"/>
    <w:lvl w:ilvl="0" w:tentative="0">
      <w:start w:val="1"/>
      <w:numFmt w:val="decimal"/>
      <w:suff w:val="nothing"/>
      <w:lvlText w:val="%1"/>
      <w:lvlJc w:val="left"/>
      <w:pPr>
        <w:ind w:left="425" w:hanging="425"/>
      </w:pPr>
      <w:rPr>
        <w:rFonts w:hint="default"/>
        <w:highlight w:val="none"/>
      </w:rPr>
    </w:lvl>
  </w:abstractNum>
  <w:abstractNum w:abstractNumId="175">
    <w:nsid w:val="635897EA"/>
    <w:multiLevelType w:val="singleLevel"/>
    <w:tmpl w:val="635897EA"/>
    <w:lvl w:ilvl="0" w:tentative="0">
      <w:start w:val="1"/>
      <w:numFmt w:val="decimal"/>
      <w:suff w:val="nothing"/>
      <w:lvlText w:val="%1、"/>
      <w:lvlJc w:val="left"/>
      <w:pPr>
        <w:ind w:left="425" w:hanging="425"/>
      </w:pPr>
      <w:rPr>
        <w:rFonts w:hint="default"/>
      </w:rPr>
    </w:lvl>
  </w:abstractNum>
  <w:abstractNum w:abstractNumId="176">
    <w:nsid w:val="66F5295B"/>
    <w:multiLevelType w:val="singleLevel"/>
    <w:tmpl w:val="66F5295B"/>
    <w:lvl w:ilvl="0" w:tentative="0">
      <w:start w:val="1"/>
      <w:numFmt w:val="decimal"/>
      <w:lvlText w:val="%1、"/>
      <w:lvlJc w:val="left"/>
      <w:pPr>
        <w:tabs>
          <w:tab w:val="left" w:pos="420"/>
        </w:tabs>
        <w:ind w:left="425" w:hanging="425"/>
      </w:pPr>
      <w:rPr>
        <w:rFonts w:hint="default" w:cs="Times New Roman"/>
      </w:rPr>
    </w:lvl>
  </w:abstractNum>
  <w:abstractNum w:abstractNumId="177">
    <w:nsid w:val="6C0D4246"/>
    <w:multiLevelType w:val="singleLevel"/>
    <w:tmpl w:val="6C0D4246"/>
    <w:lvl w:ilvl="0" w:tentative="0">
      <w:start w:val="1"/>
      <w:numFmt w:val="chineseCounting"/>
      <w:suff w:val="nothing"/>
      <w:lvlText w:val="%1、"/>
      <w:lvlJc w:val="left"/>
      <w:pPr>
        <w:ind w:left="0" w:firstLine="420"/>
      </w:pPr>
      <w:rPr>
        <w:rFonts w:hint="eastAsia"/>
      </w:rPr>
    </w:lvl>
  </w:abstractNum>
  <w:abstractNum w:abstractNumId="178">
    <w:nsid w:val="6E61319F"/>
    <w:multiLevelType w:val="singleLevel"/>
    <w:tmpl w:val="6E61319F"/>
    <w:lvl w:ilvl="0" w:tentative="0">
      <w:start w:val="1"/>
      <w:numFmt w:val="decimal"/>
      <w:suff w:val="nothing"/>
      <w:lvlText w:val="(%1)"/>
      <w:lvlJc w:val="left"/>
      <w:pPr>
        <w:ind w:left="454" w:leftChars="0" w:hanging="454" w:firstLineChars="0"/>
      </w:pPr>
      <w:rPr>
        <w:rFonts w:hint="default"/>
      </w:rPr>
    </w:lvl>
  </w:abstractNum>
  <w:abstractNum w:abstractNumId="179">
    <w:nsid w:val="70165E71"/>
    <w:multiLevelType w:val="singleLevel"/>
    <w:tmpl w:val="70165E71"/>
    <w:lvl w:ilvl="0" w:tentative="0">
      <w:start w:val="1"/>
      <w:numFmt w:val="decimal"/>
      <w:lvlText w:val="(%1)"/>
      <w:lvlJc w:val="left"/>
      <w:pPr>
        <w:ind w:left="425" w:hanging="425"/>
      </w:pPr>
      <w:rPr>
        <w:rFonts w:hint="default"/>
      </w:rPr>
    </w:lvl>
  </w:abstractNum>
  <w:abstractNum w:abstractNumId="180">
    <w:nsid w:val="7023BC98"/>
    <w:multiLevelType w:val="multilevel"/>
    <w:tmpl w:val="7023BC98"/>
    <w:lvl w:ilvl="0" w:tentative="0">
      <w:start w:val="1"/>
      <w:numFmt w:val="decimal"/>
      <w:lvlText w:val="%1."/>
      <w:lvlJc w:val="left"/>
      <w:pPr>
        <w:ind w:left="874" w:hanging="420"/>
      </w:pPr>
    </w:lvl>
    <w:lvl w:ilvl="1" w:tentative="0">
      <w:start w:val="1"/>
      <w:numFmt w:val="lowerLetter"/>
      <w:lvlText w:val="%2)"/>
      <w:lvlJc w:val="left"/>
      <w:pPr>
        <w:ind w:left="1294" w:hanging="420"/>
      </w:pPr>
    </w:lvl>
    <w:lvl w:ilvl="2" w:tentative="0">
      <w:start w:val="1"/>
      <w:numFmt w:val="lowerRoman"/>
      <w:lvlText w:val="%3."/>
      <w:lvlJc w:val="right"/>
      <w:pPr>
        <w:ind w:left="1714" w:hanging="420"/>
      </w:pPr>
    </w:lvl>
    <w:lvl w:ilvl="3" w:tentative="0">
      <w:start w:val="1"/>
      <w:numFmt w:val="decimal"/>
      <w:lvlText w:val="%4."/>
      <w:lvlJc w:val="left"/>
      <w:pPr>
        <w:ind w:left="2134" w:hanging="420"/>
      </w:pPr>
    </w:lvl>
    <w:lvl w:ilvl="4" w:tentative="0">
      <w:start w:val="1"/>
      <w:numFmt w:val="lowerLetter"/>
      <w:lvlText w:val="%5)"/>
      <w:lvlJc w:val="left"/>
      <w:pPr>
        <w:ind w:left="2554" w:hanging="420"/>
      </w:pPr>
    </w:lvl>
    <w:lvl w:ilvl="5" w:tentative="0">
      <w:start w:val="1"/>
      <w:numFmt w:val="lowerRoman"/>
      <w:lvlText w:val="%6."/>
      <w:lvlJc w:val="right"/>
      <w:pPr>
        <w:ind w:left="2974" w:hanging="420"/>
      </w:pPr>
    </w:lvl>
    <w:lvl w:ilvl="6" w:tentative="0">
      <w:start w:val="1"/>
      <w:numFmt w:val="decimal"/>
      <w:lvlText w:val="%7."/>
      <w:lvlJc w:val="left"/>
      <w:pPr>
        <w:ind w:left="3394" w:hanging="420"/>
      </w:pPr>
    </w:lvl>
    <w:lvl w:ilvl="7" w:tentative="0">
      <w:start w:val="1"/>
      <w:numFmt w:val="lowerLetter"/>
      <w:lvlText w:val="%8)"/>
      <w:lvlJc w:val="left"/>
      <w:pPr>
        <w:ind w:left="3814" w:hanging="420"/>
      </w:pPr>
    </w:lvl>
    <w:lvl w:ilvl="8" w:tentative="0">
      <w:start w:val="1"/>
      <w:numFmt w:val="lowerRoman"/>
      <w:lvlText w:val="%9."/>
      <w:lvlJc w:val="right"/>
      <w:pPr>
        <w:ind w:left="4234" w:hanging="420"/>
      </w:pPr>
    </w:lvl>
  </w:abstractNum>
  <w:abstractNum w:abstractNumId="181">
    <w:nsid w:val="7343061E"/>
    <w:multiLevelType w:val="singleLevel"/>
    <w:tmpl w:val="7343061E"/>
    <w:lvl w:ilvl="0" w:tentative="0">
      <w:start w:val="1"/>
      <w:numFmt w:val="decimal"/>
      <w:suff w:val="nothing"/>
      <w:lvlText w:val="%1"/>
      <w:lvlJc w:val="left"/>
      <w:pPr>
        <w:ind w:left="425" w:hanging="425"/>
      </w:pPr>
      <w:rPr>
        <w:rFonts w:hint="default"/>
      </w:rPr>
    </w:lvl>
  </w:abstractNum>
  <w:abstractNum w:abstractNumId="182">
    <w:nsid w:val="76EF691C"/>
    <w:multiLevelType w:val="singleLevel"/>
    <w:tmpl w:val="76EF691C"/>
    <w:lvl w:ilvl="0" w:tentative="0">
      <w:start w:val="1"/>
      <w:numFmt w:val="decimal"/>
      <w:lvlText w:val="%1、"/>
      <w:lvlJc w:val="left"/>
      <w:pPr>
        <w:tabs>
          <w:tab w:val="left" w:pos="420"/>
        </w:tabs>
        <w:ind w:left="425" w:hanging="425"/>
      </w:pPr>
      <w:rPr>
        <w:rFonts w:hint="default" w:cs="Times New Roman"/>
      </w:rPr>
    </w:lvl>
  </w:abstractNum>
  <w:abstractNum w:abstractNumId="183">
    <w:nsid w:val="7A170D0E"/>
    <w:multiLevelType w:val="multilevel"/>
    <w:tmpl w:val="7A170D0E"/>
    <w:lvl w:ilvl="0" w:tentative="0">
      <w:start w:val="1"/>
      <w:numFmt w:val="decimal"/>
      <w:lvlText w:val="%1、"/>
      <w:lvlJc w:val="left"/>
      <w:pPr>
        <w:ind w:left="704" w:hanging="420"/>
      </w:pPr>
      <w:rPr>
        <w:rFonts w:hint="default"/>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abstractNum w:abstractNumId="184">
    <w:nsid w:val="7BA5A87C"/>
    <w:multiLevelType w:val="singleLevel"/>
    <w:tmpl w:val="7BA5A87C"/>
    <w:lvl w:ilvl="0" w:tentative="0">
      <w:start w:val="1"/>
      <w:numFmt w:val="decimal"/>
      <w:suff w:val="nothing"/>
      <w:lvlText w:val="(%1)"/>
      <w:lvlJc w:val="left"/>
      <w:pPr>
        <w:ind w:left="454" w:leftChars="0" w:hanging="454" w:firstLineChars="0"/>
      </w:pPr>
      <w:rPr>
        <w:rFonts w:hint="default"/>
      </w:rPr>
    </w:lvl>
  </w:abstractNum>
  <w:abstractNum w:abstractNumId="185">
    <w:nsid w:val="7F915570"/>
    <w:multiLevelType w:val="singleLevel"/>
    <w:tmpl w:val="7F915570"/>
    <w:lvl w:ilvl="0" w:tentative="0">
      <w:start w:val="1"/>
      <w:numFmt w:val="chineseCounting"/>
      <w:suff w:val="nothing"/>
      <w:lvlText w:val="%1、"/>
      <w:lvlJc w:val="left"/>
      <w:pPr>
        <w:ind w:left="0" w:firstLine="420"/>
      </w:pPr>
      <w:rPr>
        <w:rFonts w:hint="eastAsia"/>
      </w:rPr>
    </w:lvl>
  </w:abstractNum>
  <w:num w:numId="1">
    <w:abstractNumId w:val="95"/>
  </w:num>
  <w:num w:numId="2">
    <w:abstractNumId w:val="185"/>
  </w:num>
  <w:num w:numId="3">
    <w:abstractNumId w:val="29"/>
  </w:num>
  <w:num w:numId="4">
    <w:abstractNumId w:val="62"/>
  </w:num>
  <w:num w:numId="5">
    <w:abstractNumId w:val="170"/>
  </w:num>
  <w:num w:numId="6">
    <w:abstractNumId w:val="70"/>
  </w:num>
  <w:num w:numId="7">
    <w:abstractNumId w:val="38"/>
  </w:num>
  <w:num w:numId="8">
    <w:abstractNumId w:val="180"/>
  </w:num>
  <w:num w:numId="9">
    <w:abstractNumId w:val="39"/>
  </w:num>
  <w:num w:numId="10">
    <w:abstractNumId w:val="56"/>
  </w:num>
  <w:num w:numId="11">
    <w:abstractNumId w:val="6"/>
  </w:num>
  <w:num w:numId="12">
    <w:abstractNumId w:val="14"/>
  </w:num>
  <w:num w:numId="13">
    <w:abstractNumId w:val="91"/>
  </w:num>
  <w:num w:numId="14">
    <w:abstractNumId w:val="92"/>
  </w:num>
  <w:num w:numId="15">
    <w:abstractNumId w:val="94"/>
  </w:num>
  <w:num w:numId="16">
    <w:abstractNumId w:val="93"/>
  </w:num>
  <w:num w:numId="17">
    <w:abstractNumId w:val="85"/>
  </w:num>
  <w:num w:numId="18">
    <w:abstractNumId w:val="107"/>
  </w:num>
  <w:num w:numId="19">
    <w:abstractNumId w:val="106"/>
  </w:num>
  <w:num w:numId="20">
    <w:abstractNumId w:val="108"/>
  </w:num>
  <w:num w:numId="21">
    <w:abstractNumId w:val="109"/>
  </w:num>
  <w:num w:numId="22">
    <w:abstractNumId w:val="110"/>
  </w:num>
  <w:num w:numId="23">
    <w:abstractNumId w:val="111"/>
  </w:num>
  <w:num w:numId="24">
    <w:abstractNumId w:val="112"/>
  </w:num>
  <w:num w:numId="25">
    <w:abstractNumId w:val="113"/>
  </w:num>
  <w:num w:numId="26">
    <w:abstractNumId w:val="114"/>
  </w:num>
  <w:num w:numId="27">
    <w:abstractNumId w:val="115"/>
  </w:num>
  <w:num w:numId="28">
    <w:abstractNumId w:val="116"/>
  </w:num>
  <w:num w:numId="29">
    <w:abstractNumId w:val="117"/>
  </w:num>
  <w:num w:numId="30">
    <w:abstractNumId w:val="118"/>
  </w:num>
  <w:num w:numId="31">
    <w:abstractNumId w:val="119"/>
  </w:num>
  <w:num w:numId="32">
    <w:abstractNumId w:val="120"/>
  </w:num>
  <w:num w:numId="33">
    <w:abstractNumId w:val="121"/>
  </w:num>
  <w:num w:numId="34">
    <w:abstractNumId w:val="122"/>
  </w:num>
  <w:num w:numId="35">
    <w:abstractNumId w:val="123"/>
  </w:num>
  <w:num w:numId="36">
    <w:abstractNumId w:val="153"/>
  </w:num>
  <w:num w:numId="37">
    <w:abstractNumId w:val="124"/>
  </w:num>
  <w:num w:numId="38">
    <w:abstractNumId w:val="125"/>
  </w:num>
  <w:num w:numId="39">
    <w:abstractNumId w:val="169"/>
  </w:num>
  <w:num w:numId="40">
    <w:abstractNumId w:val="126"/>
  </w:num>
  <w:num w:numId="41">
    <w:abstractNumId w:val="127"/>
  </w:num>
  <w:num w:numId="42">
    <w:abstractNumId w:val="128"/>
  </w:num>
  <w:num w:numId="43">
    <w:abstractNumId w:val="129"/>
  </w:num>
  <w:num w:numId="44">
    <w:abstractNumId w:val="152"/>
  </w:num>
  <w:num w:numId="45">
    <w:abstractNumId w:val="130"/>
  </w:num>
  <w:num w:numId="46">
    <w:abstractNumId w:val="131"/>
  </w:num>
  <w:num w:numId="47">
    <w:abstractNumId w:val="132"/>
  </w:num>
  <w:num w:numId="48">
    <w:abstractNumId w:val="133"/>
  </w:num>
  <w:num w:numId="49">
    <w:abstractNumId w:val="134"/>
  </w:num>
  <w:num w:numId="50">
    <w:abstractNumId w:val="135"/>
  </w:num>
  <w:num w:numId="51">
    <w:abstractNumId w:val="171"/>
  </w:num>
  <w:num w:numId="52">
    <w:abstractNumId w:val="136"/>
  </w:num>
  <w:num w:numId="53">
    <w:abstractNumId w:val="172"/>
  </w:num>
  <w:num w:numId="54">
    <w:abstractNumId w:val="173"/>
  </w:num>
  <w:num w:numId="55">
    <w:abstractNumId w:val="137"/>
  </w:num>
  <w:num w:numId="56">
    <w:abstractNumId w:val="138"/>
  </w:num>
  <w:num w:numId="57">
    <w:abstractNumId w:val="139"/>
  </w:num>
  <w:num w:numId="58">
    <w:abstractNumId w:val="140"/>
  </w:num>
  <w:num w:numId="59">
    <w:abstractNumId w:val="141"/>
  </w:num>
  <w:num w:numId="60">
    <w:abstractNumId w:val="142"/>
  </w:num>
  <w:num w:numId="61">
    <w:abstractNumId w:val="143"/>
  </w:num>
  <w:num w:numId="62">
    <w:abstractNumId w:val="168"/>
  </w:num>
  <w:num w:numId="63">
    <w:abstractNumId w:val="51"/>
  </w:num>
  <w:num w:numId="64">
    <w:abstractNumId w:val="21"/>
  </w:num>
  <w:num w:numId="65">
    <w:abstractNumId w:val="183"/>
  </w:num>
  <w:num w:numId="66">
    <w:abstractNumId w:val="174"/>
  </w:num>
  <w:num w:numId="67">
    <w:abstractNumId w:val="64"/>
  </w:num>
  <w:num w:numId="68">
    <w:abstractNumId w:val="76"/>
  </w:num>
  <w:num w:numId="69">
    <w:abstractNumId w:val="37"/>
  </w:num>
  <w:num w:numId="70">
    <w:abstractNumId w:val="72"/>
  </w:num>
  <w:num w:numId="71">
    <w:abstractNumId w:val="25"/>
  </w:num>
  <w:num w:numId="72">
    <w:abstractNumId w:val="8"/>
  </w:num>
  <w:num w:numId="73">
    <w:abstractNumId w:val="30"/>
  </w:num>
  <w:num w:numId="74">
    <w:abstractNumId w:val="40"/>
  </w:num>
  <w:num w:numId="75">
    <w:abstractNumId w:val="80"/>
  </w:num>
  <w:num w:numId="76">
    <w:abstractNumId w:val="11"/>
  </w:num>
  <w:num w:numId="77">
    <w:abstractNumId w:val="75"/>
  </w:num>
  <w:num w:numId="78">
    <w:abstractNumId w:val="69"/>
  </w:num>
  <w:num w:numId="79">
    <w:abstractNumId w:val="60"/>
  </w:num>
  <w:num w:numId="80">
    <w:abstractNumId w:val="48"/>
  </w:num>
  <w:num w:numId="81">
    <w:abstractNumId w:val="12"/>
  </w:num>
  <w:num w:numId="82">
    <w:abstractNumId w:val="43"/>
  </w:num>
  <w:num w:numId="83">
    <w:abstractNumId w:val="35"/>
  </w:num>
  <w:num w:numId="84">
    <w:abstractNumId w:val="26"/>
  </w:num>
  <w:num w:numId="85">
    <w:abstractNumId w:val="179"/>
  </w:num>
  <w:num w:numId="86">
    <w:abstractNumId w:val="57"/>
  </w:num>
  <w:num w:numId="87">
    <w:abstractNumId w:val="22"/>
  </w:num>
  <w:num w:numId="88">
    <w:abstractNumId w:val="65"/>
  </w:num>
  <w:num w:numId="89">
    <w:abstractNumId w:val="24"/>
  </w:num>
  <w:num w:numId="90">
    <w:abstractNumId w:val="16"/>
  </w:num>
  <w:num w:numId="91">
    <w:abstractNumId w:val="49"/>
  </w:num>
  <w:num w:numId="92">
    <w:abstractNumId w:val="32"/>
  </w:num>
  <w:num w:numId="93">
    <w:abstractNumId w:val="175"/>
  </w:num>
  <w:num w:numId="94">
    <w:abstractNumId w:val="71"/>
  </w:num>
  <w:num w:numId="95">
    <w:abstractNumId w:val="34"/>
  </w:num>
  <w:num w:numId="96">
    <w:abstractNumId w:val="55"/>
  </w:num>
  <w:num w:numId="97">
    <w:abstractNumId w:val="74"/>
  </w:num>
  <w:num w:numId="98">
    <w:abstractNumId w:val="44"/>
  </w:num>
  <w:num w:numId="99">
    <w:abstractNumId w:val="178"/>
  </w:num>
  <w:num w:numId="100">
    <w:abstractNumId w:val="83"/>
  </w:num>
  <w:num w:numId="101">
    <w:abstractNumId w:val="36"/>
  </w:num>
  <w:num w:numId="102">
    <w:abstractNumId w:val="176"/>
  </w:num>
  <w:num w:numId="103">
    <w:abstractNumId w:val="42"/>
  </w:num>
  <w:num w:numId="104">
    <w:abstractNumId w:val="1"/>
  </w:num>
  <w:num w:numId="105">
    <w:abstractNumId w:val="86"/>
  </w:num>
  <w:num w:numId="106">
    <w:abstractNumId w:val="161"/>
  </w:num>
  <w:num w:numId="107">
    <w:abstractNumId w:val="162"/>
  </w:num>
  <w:num w:numId="108">
    <w:abstractNumId w:val="163"/>
  </w:num>
  <w:num w:numId="109">
    <w:abstractNumId w:val="164"/>
  </w:num>
  <w:num w:numId="110">
    <w:abstractNumId w:val="165"/>
  </w:num>
  <w:num w:numId="111">
    <w:abstractNumId w:val="166"/>
  </w:num>
  <w:num w:numId="112">
    <w:abstractNumId w:val="167"/>
  </w:num>
  <w:num w:numId="113">
    <w:abstractNumId w:val="156"/>
  </w:num>
  <w:num w:numId="114">
    <w:abstractNumId w:val="157"/>
  </w:num>
  <w:num w:numId="115">
    <w:abstractNumId w:val="158"/>
  </w:num>
  <w:num w:numId="116">
    <w:abstractNumId w:val="159"/>
  </w:num>
  <w:num w:numId="117">
    <w:abstractNumId w:val="33"/>
  </w:num>
  <w:num w:numId="118">
    <w:abstractNumId w:val="160"/>
  </w:num>
  <w:num w:numId="119">
    <w:abstractNumId w:val="77"/>
  </w:num>
  <w:num w:numId="120">
    <w:abstractNumId w:val="144"/>
  </w:num>
  <w:num w:numId="121">
    <w:abstractNumId w:val="181"/>
  </w:num>
  <w:num w:numId="122">
    <w:abstractNumId w:val="155"/>
  </w:num>
  <w:num w:numId="123">
    <w:abstractNumId w:val="19"/>
  </w:num>
  <w:num w:numId="124">
    <w:abstractNumId w:val="2"/>
  </w:num>
  <w:num w:numId="125">
    <w:abstractNumId w:val="61"/>
  </w:num>
  <w:num w:numId="126">
    <w:abstractNumId w:val="59"/>
  </w:num>
  <w:num w:numId="127">
    <w:abstractNumId w:val="68"/>
  </w:num>
  <w:num w:numId="128">
    <w:abstractNumId w:val="45"/>
  </w:num>
  <w:num w:numId="129">
    <w:abstractNumId w:val="20"/>
  </w:num>
  <w:num w:numId="130">
    <w:abstractNumId w:val="82"/>
  </w:num>
  <w:num w:numId="131">
    <w:abstractNumId w:val="5"/>
  </w:num>
  <w:num w:numId="132">
    <w:abstractNumId w:val="47"/>
  </w:num>
  <w:num w:numId="133">
    <w:abstractNumId w:val="46"/>
  </w:num>
  <w:num w:numId="134">
    <w:abstractNumId w:val="41"/>
  </w:num>
  <w:num w:numId="135">
    <w:abstractNumId w:val="18"/>
  </w:num>
  <w:num w:numId="136">
    <w:abstractNumId w:val="154"/>
  </w:num>
  <w:num w:numId="137">
    <w:abstractNumId w:val="28"/>
  </w:num>
  <w:num w:numId="138">
    <w:abstractNumId w:val="81"/>
  </w:num>
  <w:num w:numId="139">
    <w:abstractNumId w:val="73"/>
  </w:num>
  <w:num w:numId="140">
    <w:abstractNumId w:val="54"/>
  </w:num>
  <w:num w:numId="141">
    <w:abstractNumId w:val="182"/>
  </w:num>
  <w:num w:numId="142">
    <w:abstractNumId w:val="23"/>
  </w:num>
  <w:num w:numId="143">
    <w:abstractNumId w:val="4"/>
  </w:num>
  <w:num w:numId="144">
    <w:abstractNumId w:val="184"/>
  </w:num>
  <w:num w:numId="145">
    <w:abstractNumId w:val="79"/>
  </w:num>
  <w:num w:numId="146">
    <w:abstractNumId w:val="0"/>
  </w:num>
  <w:num w:numId="147">
    <w:abstractNumId w:val="96"/>
  </w:num>
  <w:num w:numId="148">
    <w:abstractNumId w:val="50"/>
  </w:num>
  <w:num w:numId="149">
    <w:abstractNumId w:val="63"/>
  </w:num>
  <w:num w:numId="150">
    <w:abstractNumId w:val="53"/>
  </w:num>
  <w:num w:numId="151">
    <w:abstractNumId w:val="145"/>
  </w:num>
  <w:num w:numId="152">
    <w:abstractNumId w:val="146"/>
  </w:num>
  <w:num w:numId="153">
    <w:abstractNumId w:val="31"/>
  </w:num>
  <w:num w:numId="154">
    <w:abstractNumId w:val="9"/>
  </w:num>
  <w:num w:numId="155">
    <w:abstractNumId w:val="97"/>
  </w:num>
  <w:num w:numId="156">
    <w:abstractNumId w:val="3"/>
  </w:num>
  <w:num w:numId="157">
    <w:abstractNumId w:val="100"/>
  </w:num>
  <w:num w:numId="158">
    <w:abstractNumId w:val="101"/>
  </w:num>
  <w:num w:numId="159">
    <w:abstractNumId w:val="102"/>
  </w:num>
  <w:num w:numId="160">
    <w:abstractNumId w:val="103"/>
  </w:num>
  <w:num w:numId="161">
    <w:abstractNumId w:val="104"/>
  </w:num>
  <w:num w:numId="162">
    <w:abstractNumId w:val="105"/>
  </w:num>
  <w:num w:numId="163">
    <w:abstractNumId w:val="15"/>
  </w:num>
  <w:num w:numId="164">
    <w:abstractNumId w:val="147"/>
  </w:num>
  <w:num w:numId="165">
    <w:abstractNumId w:val="52"/>
  </w:num>
  <w:num w:numId="166">
    <w:abstractNumId w:val="148"/>
  </w:num>
  <w:num w:numId="167">
    <w:abstractNumId w:val="88"/>
  </w:num>
  <w:num w:numId="168">
    <w:abstractNumId w:val="149"/>
  </w:num>
  <w:num w:numId="169">
    <w:abstractNumId w:val="58"/>
  </w:num>
  <w:num w:numId="170">
    <w:abstractNumId w:val="84"/>
  </w:num>
  <w:num w:numId="171">
    <w:abstractNumId w:val="87"/>
  </w:num>
  <w:num w:numId="172">
    <w:abstractNumId w:val="99"/>
  </w:num>
  <w:num w:numId="173">
    <w:abstractNumId w:val="7"/>
  </w:num>
  <w:num w:numId="174">
    <w:abstractNumId w:val="151"/>
  </w:num>
  <w:num w:numId="175">
    <w:abstractNumId w:val="89"/>
  </w:num>
  <w:num w:numId="176">
    <w:abstractNumId w:val="150"/>
  </w:num>
  <w:num w:numId="177">
    <w:abstractNumId w:val="17"/>
  </w:num>
  <w:num w:numId="178">
    <w:abstractNumId w:val="90"/>
  </w:num>
  <w:num w:numId="179">
    <w:abstractNumId w:val="27"/>
  </w:num>
  <w:num w:numId="180">
    <w:abstractNumId w:val="98"/>
  </w:num>
  <w:num w:numId="181">
    <w:abstractNumId w:val="67"/>
  </w:num>
  <w:num w:numId="182">
    <w:abstractNumId w:val="78"/>
  </w:num>
  <w:num w:numId="183">
    <w:abstractNumId w:val="10"/>
  </w:num>
  <w:num w:numId="184">
    <w:abstractNumId w:val="66"/>
  </w:num>
  <w:num w:numId="185">
    <w:abstractNumId w:val="177"/>
  </w:num>
  <w:num w:numId="18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VkMGQ2MDEwNTZkNjZjMWRmYmYyMTg5NzRhYWU5NWEifQ=="/>
  </w:docVars>
  <w:rsids>
    <w:rsidRoot w:val="00172A27"/>
    <w:rsid w:val="0000036E"/>
    <w:rsid w:val="000068F4"/>
    <w:rsid w:val="00014233"/>
    <w:rsid w:val="00014C3B"/>
    <w:rsid w:val="000152FD"/>
    <w:rsid w:val="000157D7"/>
    <w:rsid w:val="00025A3C"/>
    <w:rsid w:val="00026BAC"/>
    <w:rsid w:val="00032F62"/>
    <w:rsid w:val="00044FAA"/>
    <w:rsid w:val="00045A53"/>
    <w:rsid w:val="00045CE3"/>
    <w:rsid w:val="000650A3"/>
    <w:rsid w:val="00065632"/>
    <w:rsid w:val="00066250"/>
    <w:rsid w:val="00072D5B"/>
    <w:rsid w:val="0008046A"/>
    <w:rsid w:val="00080ABA"/>
    <w:rsid w:val="000875AA"/>
    <w:rsid w:val="0009313B"/>
    <w:rsid w:val="00094D66"/>
    <w:rsid w:val="000960FF"/>
    <w:rsid w:val="000A417B"/>
    <w:rsid w:val="000A5C7B"/>
    <w:rsid w:val="000A6FBD"/>
    <w:rsid w:val="000B324A"/>
    <w:rsid w:val="000B3D24"/>
    <w:rsid w:val="000B7590"/>
    <w:rsid w:val="000C01B2"/>
    <w:rsid w:val="000C4804"/>
    <w:rsid w:val="000D197C"/>
    <w:rsid w:val="000D2DD4"/>
    <w:rsid w:val="000D71B7"/>
    <w:rsid w:val="000E1491"/>
    <w:rsid w:val="000E5831"/>
    <w:rsid w:val="000E752D"/>
    <w:rsid w:val="000F0E11"/>
    <w:rsid w:val="000F3122"/>
    <w:rsid w:val="000F353C"/>
    <w:rsid w:val="000F44FE"/>
    <w:rsid w:val="000F6200"/>
    <w:rsid w:val="00103A72"/>
    <w:rsid w:val="0010798F"/>
    <w:rsid w:val="0011212F"/>
    <w:rsid w:val="00112C62"/>
    <w:rsid w:val="00142C38"/>
    <w:rsid w:val="00144700"/>
    <w:rsid w:val="00144786"/>
    <w:rsid w:val="001463D8"/>
    <w:rsid w:val="001546D9"/>
    <w:rsid w:val="00155157"/>
    <w:rsid w:val="001560A3"/>
    <w:rsid w:val="00172A27"/>
    <w:rsid w:val="00172D04"/>
    <w:rsid w:val="00192E2A"/>
    <w:rsid w:val="00196403"/>
    <w:rsid w:val="001A6BB9"/>
    <w:rsid w:val="001A6C4F"/>
    <w:rsid w:val="001B46C8"/>
    <w:rsid w:val="001B4C1D"/>
    <w:rsid w:val="001B7734"/>
    <w:rsid w:val="001C7592"/>
    <w:rsid w:val="001D43B5"/>
    <w:rsid w:val="001E1709"/>
    <w:rsid w:val="001E24B2"/>
    <w:rsid w:val="001E434F"/>
    <w:rsid w:val="001F1793"/>
    <w:rsid w:val="001F1AAF"/>
    <w:rsid w:val="00200F17"/>
    <w:rsid w:val="00215FBC"/>
    <w:rsid w:val="00217A08"/>
    <w:rsid w:val="002202F6"/>
    <w:rsid w:val="00222761"/>
    <w:rsid w:val="00223D9D"/>
    <w:rsid w:val="00224980"/>
    <w:rsid w:val="00224B65"/>
    <w:rsid w:val="00237A6E"/>
    <w:rsid w:val="00240EB7"/>
    <w:rsid w:val="0025178F"/>
    <w:rsid w:val="00260352"/>
    <w:rsid w:val="002747C2"/>
    <w:rsid w:val="002755D8"/>
    <w:rsid w:val="00283EC0"/>
    <w:rsid w:val="002902B2"/>
    <w:rsid w:val="002915C7"/>
    <w:rsid w:val="00293489"/>
    <w:rsid w:val="002961DD"/>
    <w:rsid w:val="002A3AB7"/>
    <w:rsid w:val="002A5AEA"/>
    <w:rsid w:val="002A5D9F"/>
    <w:rsid w:val="002A64C9"/>
    <w:rsid w:val="002C0727"/>
    <w:rsid w:val="002C2FD9"/>
    <w:rsid w:val="002D0327"/>
    <w:rsid w:val="002D529E"/>
    <w:rsid w:val="002F63AC"/>
    <w:rsid w:val="00301A01"/>
    <w:rsid w:val="00313452"/>
    <w:rsid w:val="00313654"/>
    <w:rsid w:val="00321B61"/>
    <w:rsid w:val="00325814"/>
    <w:rsid w:val="00332979"/>
    <w:rsid w:val="00333723"/>
    <w:rsid w:val="0034181F"/>
    <w:rsid w:val="003520B8"/>
    <w:rsid w:val="003531B9"/>
    <w:rsid w:val="00360B4A"/>
    <w:rsid w:val="00361E0B"/>
    <w:rsid w:val="00363C5F"/>
    <w:rsid w:val="00363FDB"/>
    <w:rsid w:val="00364E87"/>
    <w:rsid w:val="003654FF"/>
    <w:rsid w:val="00365D3A"/>
    <w:rsid w:val="003776A0"/>
    <w:rsid w:val="0038072B"/>
    <w:rsid w:val="00382A09"/>
    <w:rsid w:val="00387149"/>
    <w:rsid w:val="003919E0"/>
    <w:rsid w:val="00395CC6"/>
    <w:rsid w:val="003A7455"/>
    <w:rsid w:val="003A7870"/>
    <w:rsid w:val="003B1DE7"/>
    <w:rsid w:val="003B778E"/>
    <w:rsid w:val="003D04E3"/>
    <w:rsid w:val="003D4010"/>
    <w:rsid w:val="003D5E32"/>
    <w:rsid w:val="003E3445"/>
    <w:rsid w:val="003E42B5"/>
    <w:rsid w:val="003E5AAD"/>
    <w:rsid w:val="003F093C"/>
    <w:rsid w:val="004036CA"/>
    <w:rsid w:val="00406EEC"/>
    <w:rsid w:val="00410AF6"/>
    <w:rsid w:val="004133A6"/>
    <w:rsid w:val="004137A0"/>
    <w:rsid w:val="004144C3"/>
    <w:rsid w:val="00422D39"/>
    <w:rsid w:val="00436666"/>
    <w:rsid w:val="00437A28"/>
    <w:rsid w:val="00444501"/>
    <w:rsid w:val="00447476"/>
    <w:rsid w:val="004479E5"/>
    <w:rsid w:val="00453EEA"/>
    <w:rsid w:val="00473031"/>
    <w:rsid w:val="00477995"/>
    <w:rsid w:val="00477F09"/>
    <w:rsid w:val="004806A8"/>
    <w:rsid w:val="00482032"/>
    <w:rsid w:val="00485230"/>
    <w:rsid w:val="00490847"/>
    <w:rsid w:val="00492A05"/>
    <w:rsid w:val="004960EC"/>
    <w:rsid w:val="004A205F"/>
    <w:rsid w:val="004A2E84"/>
    <w:rsid w:val="004A3E5C"/>
    <w:rsid w:val="004A6EB1"/>
    <w:rsid w:val="004C3379"/>
    <w:rsid w:val="004C5928"/>
    <w:rsid w:val="004C5FF6"/>
    <w:rsid w:val="004D1870"/>
    <w:rsid w:val="004D4E3B"/>
    <w:rsid w:val="004D5262"/>
    <w:rsid w:val="004D5FE6"/>
    <w:rsid w:val="004E096B"/>
    <w:rsid w:val="004E1877"/>
    <w:rsid w:val="004E4CFA"/>
    <w:rsid w:val="004E5369"/>
    <w:rsid w:val="004F4C94"/>
    <w:rsid w:val="004F5A31"/>
    <w:rsid w:val="004F7352"/>
    <w:rsid w:val="005038AB"/>
    <w:rsid w:val="00505D32"/>
    <w:rsid w:val="00514C67"/>
    <w:rsid w:val="0052055A"/>
    <w:rsid w:val="0052068C"/>
    <w:rsid w:val="005221B5"/>
    <w:rsid w:val="00522A14"/>
    <w:rsid w:val="0053221D"/>
    <w:rsid w:val="00535E62"/>
    <w:rsid w:val="0053609D"/>
    <w:rsid w:val="0053641E"/>
    <w:rsid w:val="00543387"/>
    <w:rsid w:val="00550C6B"/>
    <w:rsid w:val="00554400"/>
    <w:rsid w:val="00557EBD"/>
    <w:rsid w:val="00571659"/>
    <w:rsid w:val="005725FE"/>
    <w:rsid w:val="00586709"/>
    <w:rsid w:val="0058790A"/>
    <w:rsid w:val="005919F5"/>
    <w:rsid w:val="00596E02"/>
    <w:rsid w:val="005B035C"/>
    <w:rsid w:val="005B5E64"/>
    <w:rsid w:val="005C2844"/>
    <w:rsid w:val="005C3E16"/>
    <w:rsid w:val="005C53CA"/>
    <w:rsid w:val="005C61ED"/>
    <w:rsid w:val="005C678B"/>
    <w:rsid w:val="005D3060"/>
    <w:rsid w:val="005E1B7E"/>
    <w:rsid w:val="005E66CC"/>
    <w:rsid w:val="005F6D29"/>
    <w:rsid w:val="006109B8"/>
    <w:rsid w:val="00610E65"/>
    <w:rsid w:val="00615666"/>
    <w:rsid w:val="00624489"/>
    <w:rsid w:val="00625652"/>
    <w:rsid w:val="00626845"/>
    <w:rsid w:val="0063354C"/>
    <w:rsid w:val="0063632C"/>
    <w:rsid w:val="00637755"/>
    <w:rsid w:val="00646DF5"/>
    <w:rsid w:val="00647612"/>
    <w:rsid w:val="00670713"/>
    <w:rsid w:val="00672757"/>
    <w:rsid w:val="00676CC0"/>
    <w:rsid w:val="006815F8"/>
    <w:rsid w:val="00681F66"/>
    <w:rsid w:val="006A1ADD"/>
    <w:rsid w:val="006B1671"/>
    <w:rsid w:val="006D3C0B"/>
    <w:rsid w:val="006D5F02"/>
    <w:rsid w:val="006E13EE"/>
    <w:rsid w:val="006E5886"/>
    <w:rsid w:val="006E69C8"/>
    <w:rsid w:val="006E69D7"/>
    <w:rsid w:val="007016AE"/>
    <w:rsid w:val="00706FE2"/>
    <w:rsid w:val="00710AE2"/>
    <w:rsid w:val="00725037"/>
    <w:rsid w:val="00741EC5"/>
    <w:rsid w:val="00745139"/>
    <w:rsid w:val="00752EDB"/>
    <w:rsid w:val="00754BDF"/>
    <w:rsid w:val="00765A00"/>
    <w:rsid w:val="0077076A"/>
    <w:rsid w:val="0078003C"/>
    <w:rsid w:val="007842E5"/>
    <w:rsid w:val="0078689E"/>
    <w:rsid w:val="00790F72"/>
    <w:rsid w:val="00796FD5"/>
    <w:rsid w:val="007A05E2"/>
    <w:rsid w:val="007A73AD"/>
    <w:rsid w:val="007B2C5C"/>
    <w:rsid w:val="007C7FDF"/>
    <w:rsid w:val="007D2CD4"/>
    <w:rsid w:val="007D606B"/>
    <w:rsid w:val="007E0858"/>
    <w:rsid w:val="007E5819"/>
    <w:rsid w:val="007F4E89"/>
    <w:rsid w:val="007F784F"/>
    <w:rsid w:val="008046A3"/>
    <w:rsid w:val="00823C09"/>
    <w:rsid w:val="00825A50"/>
    <w:rsid w:val="00827632"/>
    <w:rsid w:val="0083233D"/>
    <w:rsid w:val="0083568E"/>
    <w:rsid w:val="00840C18"/>
    <w:rsid w:val="008412E3"/>
    <w:rsid w:val="00841FF8"/>
    <w:rsid w:val="008506BC"/>
    <w:rsid w:val="0085522D"/>
    <w:rsid w:val="00856882"/>
    <w:rsid w:val="00861602"/>
    <w:rsid w:val="00864ECE"/>
    <w:rsid w:val="00864FC7"/>
    <w:rsid w:val="0086799B"/>
    <w:rsid w:val="00870DE5"/>
    <w:rsid w:val="00876EF4"/>
    <w:rsid w:val="008808DE"/>
    <w:rsid w:val="008837AC"/>
    <w:rsid w:val="00883E61"/>
    <w:rsid w:val="00887B72"/>
    <w:rsid w:val="008942F4"/>
    <w:rsid w:val="008B7F0B"/>
    <w:rsid w:val="008C1E6E"/>
    <w:rsid w:val="008C5B8B"/>
    <w:rsid w:val="008C7A5B"/>
    <w:rsid w:val="008D0A4E"/>
    <w:rsid w:val="008D138C"/>
    <w:rsid w:val="008D346A"/>
    <w:rsid w:val="008E2748"/>
    <w:rsid w:val="008E4FF5"/>
    <w:rsid w:val="008E55A3"/>
    <w:rsid w:val="008F1EC6"/>
    <w:rsid w:val="008F6932"/>
    <w:rsid w:val="00900F55"/>
    <w:rsid w:val="00904958"/>
    <w:rsid w:val="0090522C"/>
    <w:rsid w:val="009104F0"/>
    <w:rsid w:val="0091345F"/>
    <w:rsid w:val="009202B0"/>
    <w:rsid w:val="00920A37"/>
    <w:rsid w:val="00925013"/>
    <w:rsid w:val="00933A9B"/>
    <w:rsid w:val="00941F98"/>
    <w:rsid w:val="009474B6"/>
    <w:rsid w:val="00954624"/>
    <w:rsid w:val="00955121"/>
    <w:rsid w:val="009556E9"/>
    <w:rsid w:val="009558EE"/>
    <w:rsid w:val="009569E8"/>
    <w:rsid w:val="009629C5"/>
    <w:rsid w:val="00964C7D"/>
    <w:rsid w:val="00965F59"/>
    <w:rsid w:val="00971BCA"/>
    <w:rsid w:val="009763DE"/>
    <w:rsid w:val="0097786A"/>
    <w:rsid w:val="0097790C"/>
    <w:rsid w:val="009779FF"/>
    <w:rsid w:val="00986CB9"/>
    <w:rsid w:val="00986DF3"/>
    <w:rsid w:val="00990D83"/>
    <w:rsid w:val="00992680"/>
    <w:rsid w:val="00993D58"/>
    <w:rsid w:val="00994139"/>
    <w:rsid w:val="009A2A97"/>
    <w:rsid w:val="009A57A9"/>
    <w:rsid w:val="009A72C4"/>
    <w:rsid w:val="009A7F68"/>
    <w:rsid w:val="009B60A1"/>
    <w:rsid w:val="009C386D"/>
    <w:rsid w:val="009D0E08"/>
    <w:rsid w:val="009D6911"/>
    <w:rsid w:val="009F1873"/>
    <w:rsid w:val="00A00739"/>
    <w:rsid w:val="00A067FD"/>
    <w:rsid w:val="00A11340"/>
    <w:rsid w:val="00A200D1"/>
    <w:rsid w:val="00A23A0A"/>
    <w:rsid w:val="00A24D42"/>
    <w:rsid w:val="00A270A1"/>
    <w:rsid w:val="00A2770A"/>
    <w:rsid w:val="00A37D61"/>
    <w:rsid w:val="00A43608"/>
    <w:rsid w:val="00A445DA"/>
    <w:rsid w:val="00A44735"/>
    <w:rsid w:val="00A46FAE"/>
    <w:rsid w:val="00A67BCA"/>
    <w:rsid w:val="00A73D7B"/>
    <w:rsid w:val="00A74E96"/>
    <w:rsid w:val="00A7549C"/>
    <w:rsid w:val="00A81505"/>
    <w:rsid w:val="00A83207"/>
    <w:rsid w:val="00A92920"/>
    <w:rsid w:val="00A953B5"/>
    <w:rsid w:val="00AB61BD"/>
    <w:rsid w:val="00AC623D"/>
    <w:rsid w:val="00AD10E5"/>
    <w:rsid w:val="00AE2B22"/>
    <w:rsid w:val="00AE3FB9"/>
    <w:rsid w:val="00AE443B"/>
    <w:rsid w:val="00AE49B5"/>
    <w:rsid w:val="00AE4C2A"/>
    <w:rsid w:val="00AE6422"/>
    <w:rsid w:val="00AF252A"/>
    <w:rsid w:val="00AF333C"/>
    <w:rsid w:val="00AF4ED7"/>
    <w:rsid w:val="00B02044"/>
    <w:rsid w:val="00B42FBC"/>
    <w:rsid w:val="00B43ED6"/>
    <w:rsid w:val="00B50D92"/>
    <w:rsid w:val="00B517EB"/>
    <w:rsid w:val="00B73874"/>
    <w:rsid w:val="00B8180D"/>
    <w:rsid w:val="00B8356A"/>
    <w:rsid w:val="00B86861"/>
    <w:rsid w:val="00B9167C"/>
    <w:rsid w:val="00B94AF0"/>
    <w:rsid w:val="00B96903"/>
    <w:rsid w:val="00BA2D7B"/>
    <w:rsid w:val="00BA4E50"/>
    <w:rsid w:val="00BA75F1"/>
    <w:rsid w:val="00BB2BEC"/>
    <w:rsid w:val="00BB68C3"/>
    <w:rsid w:val="00BB740D"/>
    <w:rsid w:val="00BC41F0"/>
    <w:rsid w:val="00BC6D64"/>
    <w:rsid w:val="00BE0790"/>
    <w:rsid w:val="00BE404D"/>
    <w:rsid w:val="00BF4CE1"/>
    <w:rsid w:val="00BF5137"/>
    <w:rsid w:val="00C02C17"/>
    <w:rsid w:val="00C037AA"/>
    <w:rsid w:val="00C17214"/>
    <w:rsid w:val="00C26754"/>
    <w:rsid w:val="00C336F2"/>
    <w:rsid w:val="00C3701E"/>
    <w:rsid w:val="00C52A5B"/>
    <w:rsid w:val="00C5460C"/>
    <w:rsid w:val="00C633B4"/>
    <w:rsid w:val="00C65424"/>
    <w:rsid w:val="00C74109"/>
    <w:rsid w:val="00C75B6E"/>
    <w:rsid w:val="00C80072"/>
    <w:rsid w:val="00C86956"/>
    <w:rsid w:val="00C900FD"/>
    <w:rsid w:val="00CA292A"/>
    <w:rsid w:val="00CB6050"/>
    <w:rsid w:val="00CB7B95"/>
    <w:rsid w:val="00CC40D0"/>
    <w:rsid w:val="00CC6356"/>
    <w:rsid w:val="00CC7DF9"/>
    <w:rsid w:val="00CD0D9C"/>
    <w:rsid w:val="00CD6BCF"/>
    <w:rsid w:val="00CD74C2"/>
    <w:rsid w:val="00CE21F5"/>
    <w:rsid w:val="00CE246C"/>
    <w:rsid w:val="00CF7737"/>
    <w:rsid w:val="00D00895"/>
    <w:rsid w:val="00D05481"/>
    <w:rsid w:val="00D07176"/>
    <w:rsid w:val="00D32901"/>
    <w:rsid w:val="00D53585"/>
    <w:rsid w:val="00D53D6B"/>
    <w:rsid w:val="00D57200"/>
    <w:rsid w:val="00D61EA2"/>
    <w:rsid w:val="00D62B03"/>
    <w:rsid w:val="00D67F1A"/>
    <w:rsid w:val="00D72E6C"/>
    <w:rsid w:val="00D73F59"/>
    <w:rsid w:val="00D75E34"/>
    <w:rsid w:val="00D77E13"/>
    <w:rsid w:val="00D86FB7"/>
    <w:rsid w:val="00D8784B"/>
    <w:rsid w:val="00D906C2"/>
    <w:rsid w:val="00D91B3E"/>
    <w:rsid w:val="00D93A2A"/>
    <w:rsid w:val="00D96CDD"/>
    <w:rsid w:val="00DA1812"/>
    <w:rsid w:val="00DA251A"/>
    <w:rsid w:val="00DA32EB"/>
    <w:rsid w:val="00DB40AF"/>
    <w:rsid w:val="00DC3D4F"/>
    <w:rsid w:val="00DD4D07"/>
    <w:rsid w:val="00DD5071"/>
    <w:rsid w:val="00DD5350"/>
    <w:rsid w:val="00DE719B"/>
    <w:rsid w:val="00DF06E3"/>
    <w:rsid w:val="00DF6298"/>
    <w:rsid w:val="00E03171"/>
    <w:rsid w:val="00E13366"/>
    <w:rsid w:val="00E21285"/>
    <w:rsid w:val="00E270D8"/>
    <w:rsid w:val="00E302C2"/>
    <w:rsid w:val="00E323F8"/>
    <w:rsid w:val="00E3494D"/>
    <w:rsid w:val="00E373B7"/>
    <w:rsid w:val="00E42B6E"/>
    <w:rsid w:val="00E467FF"/>
    <w:rsid w:val="00E65C65"/>
    <w:rsid w:val="00E73D9F"/>
    <w:rsid w:val="00E868F5"/>
    <w:rsid w:val="00E86B74"/>
    <w:rsid w:val="00E86D34"/>
    <w:rsid w:val="00E9174E"/>
    <w:rsid w:val="00E97F8C"/>
    <w:rsid w:val="00EA233A"/>
    <w:rsid w:val="00EA2872"/>
    <w:rsid w:val="00EA2C44"/>
    <w:rsid w:val="00EA2DD9"/>
    <w:rsid w:val="00EA43B3"/>
    <w:rsid w:val="00EA5E83"/>
    <w:rsid w:val="00EB1186"/>
    <w:rsid w:val="00EC4BBC"/>
    <w:rsid w:val="00EC4C27"/>
    <w:rsid w:val="00ED17CE"/>
    <w:rsid w:val="00ED47F9"/>
    <w:rsid w:val="00ED626C"/>
    <w:rsid w:val="00ED7437"/>
    <w:rsid w:val="00ED7CF4"/>
    <w:rsid w:val="00EE13AA"/>
    <w:rsid w:val="00EE627D"/>
    <w:rsid w:val="00EE6771"/>
    <w:rsid w:val="00F01155"/>
    <w:rsid w:val="00F0173D"/>
    <w:rsid w:val="00F02801"/>
    <w:rsid w:val="00F05B15"/>
    <w:rsid w:val="00F11414"/>
    <w:rsid w:val="00F1217C"/>
    <w:rsid w:val="00F2550B"/>
    <w:rsid w:val="00F30D37"/>
    <w:rsid w:val="00F32A9D"/>
    <w:rsid w:val="00F34EE1"/>
    <w:rsid w:val="00F43C04"/>
    <w:rsid w:val="00F4586C"/>
    <w:rsid w:val="00F532D0"/>
    <w:rsid w:val="00F5493F"/>
    <w:rsid w:val="00F55C39"/>
    <w:rsid w:val="00F5771D"/>
    <w:rsid w:val="00F66A1E"/>
    <w:rsid w:val="00F66B9D"/>
    <w:rsid w:val="00F72311"/>
    <w:rsid w:val="00F73BFC"/>
    <w:rsid w:val="00F74419"/>
    <w:rsid w:val="00F811ED"/>
    <w:rsid w:val="00F818E2"/>
    <w:rsid w:val="00F90090"/>
    <w:rsid w:val="00F962C2"/>
    <w:rsid w:val="00FA05E9"/>
    <w:rsid w:val="00FA0CFC"/>
    <w:rsid w:val="00FA2808"/>
    <w:rsid w:val="00FB3DD6"/>
    <w:rsid w:val="00FC00EA"/>
    <w:rsid w:val="00FC1BDC"/>
    <w:rsid w:val="00FC4B1F"/>
    <w:rsid w:val="00FC5754"/>
    <w:rsid w:val="00FD4140"/>
    <w:rsid w:val="00FF2240"/>
    <w:rsid w:val="00FF29E9"/>
    <w:rsid w:val="00FF53CD"/>
    <w:rsid w:val="010C4F3C"/>
    <w:rsid w:val="011E652C"/>
    <w:rsid w:val="012061DA"/>
    <w:rsid w:val="01305E04"/>
    <w:rsid w:val="01522A7A"/>
    <w:rsid w:val="01721A26"/>
    <w:rsid w:val="01774851"/>
    <w:rsid w:val="017D19B5"/>
    <w:rsid w:val="017D6054"/>
    <w:rsid w:val="017E24BB"/>
    <w:rsid w:val="01967DCC"/>
    <w:rsid w:val="01A87768"/>
    <w:rsid w:val="01A91A3F"/>
    <w:rsid w:val="01B309A7"/>
    <w:rsid w:val="01D56277"/>
    <w:rsid w:val="01DB5325"/>
    <w:rsid w:val="01E4424C"/>
    <w:rsid w:val="01EE2041"/>
    <w:rsid w:val="01FD6F7A"/>
    <w:rsid w:val="02035E53"/>
    <w:rsid w:val="0227136C"/>
    <w:rsid w:val="022B0E5C"/>
    <w:rsid w:val="022C2B60"/>
    <w:rsid w:val="0234043A"/>
    <w:rsid w:val="02384F46"/>
    <w:rsid w:val="023F5F98"/>
    <w:rsid w:val="0240683C"/>
    <w:rsid w:val="02561F87"/>
    <w:rsid w:val="026210D6"/>
    <w:rsid w:val="0264611C"/>
    <w:rsid w:val="026C75EF"/>
    <w:rsid w:val="028E3199"/>
    <w:rsid w:val="02954528"/>
    <w:rsid w:val="029C1566"/>
    <w:rsid w:val="02AC7452"/>
    <w:rsid w:val="02AE55E9"/>
    <w:rsid w:val="02AE56D1"/>
    <w:rsid w:val="02B477BA"/>
    <w:rsid w:val="02B53012"/>
    <w:rsid w:val="02C343C3"/>
    <w:rsid w:val="02C40969"/>
    <w:rsid w:val="02C85A0A"/>
    <w:rsid w:val="02CE3596"/>
    <w:rsid w:val="02DD6DCE"/>
    <w:rsid w:val="02E1776D"/>
    <w:rsid w:val="02F04D49"/>
    <w:rsid w:val="02F05E8F"/>
    <w:rsid w:val="02F4630E"/>
    <w:rsid w:val="02FA0D9C"/>
    <w:rsid w:val="02FD0BD6"/>
    <w:rsid w:val="030126BD"/>
    <w:rsid w:val="031975F5"/>
    <w:rsid w:val="031B5D5D"/>
    <w:rsid w:val="032E106E"/>
    <w:rsid w:val="032E2B83"/>
    <w:rsid w:val="033139D2"/>
    <w:rsid w:val="03342E8A"/>
    <w:rsid w:val="03394985"/>
    <w:rsid w:val="03442E76"/>
    <w:rsid w:val="03534B16"/>
    <w:rsid w:val="03595555"/>
    <w:rsid w:val="035C153C"/>
    <w:rsid w:val="03681C3C"/>
    <w:rsid w:val="0374413D"/>
    <w:rsid w:val="037C7496"/>
    <w:rsid w:val="038B1487"/>
    <w:rsid w:val="03A31DE4"/>
    <w:rsid w:val="03A54CE2"/>
    <w:rsid w:val="03BB010E"/>
    <w:rsid w:val="03D82DAD"/>
    <w:rsid w:val="03DA4690"/>
    <w:rsid w:val="03E04285"/>
    <w:rsid w:val="03E5291B"/>
    <w:rsid w:val="03ED729D"/>
    <w:rsid w:val="03F407FA"/>
    <w:rsid w:val="04025BED"/>
    <w:rsid w:val="042A346F"/>
    <w:rsid w:val="042E727A"/>
    <w:rsid w:val="043B2EAD"/>
    <w:rsid w:val="0444622F"/>
    <w:rsid w:val="044D0E6C"/>
    <w:rsid w:val="04514C04"/>
    <w:rsid w:val="045F6A0A"/>
    <w:rsid w:val="04614CE2"/>
    <w:rsid w:val="04634498"/>
    <w:rsid w:val="04642403"/>
    <w:rsid w:val="046B0BDC"/>
    <w:rsid w:val="046D6C5B"/>
    <w:rsid w:val="04707122"/>
    <w:rsid w:val="047F2D99"/>
    <w:rsid w:val="0483157C"/>
    <w:rsid w:val="04A66597"/>
    <w:rsid w:val="04A822FE"/>
    <w:rsid w:val="04AB2475"/>
    <w:rsid w:val="04B311E5"/>
    <w:rsid w:val="04B70408"/>
    <w:rsid w:val="04C957A9"/>
    <w:rsid w:val="04C9670A"/>
    <w:rsid w:val="04F04F64"/>
    <w:rsid w:val="04F71426"/>
    <w:rsid w:val="04FA3396"/>
    <w:rsid w:val="0506094C"/>
    <w:rsid w:val="050B5041"/>
    <w:rsid w:val="050E015C"/>
    <w:rsid w:val="051125AF"/>
    <w:rsid w:val="05141A7B"/>
    <w:rsid w:val="053A2251"/>
    <w:rsid w:val="054016F7"/>
    <w:rsid w:val="05433E46"/>
    <w:rsid w:val="05530214"/>
    <w:rsid w:val="0557260C"/>
    <w:rsid w:val="05573D16"/>
    <w:rsid w:val="0567323E"/>
    <w:rsid w:val="056844D2"/>
    <w:rsid w:val="057259CF"/>
    <w:rsid w:val="05746676"/>
    <w:rsid w:val="058A7DEF"/>
    <w:rsid w:val="059B00A7"/>
    <w:rsid w:val="05A87D29"/>
    <w:rsid w:val="05BB5754"/>
    <w:rsid w:val="05BF4BD4"/>
    <w:rsid w:val="05E35A51"/>
    <w:rsid w:val="05EF03F3"/>
    <w:rsid w:val="05F1273E"/>
    <w:rsid w:val="05F1290D"/>
    <w:rsid w:val="05F51C46"/>
    <w:rsid w:val="05FE58B2"/>
    <w:rsid w:val="0601549F"/>
    <w:rsid w:val="060211AC"/>
    <w:rsid w:val="06052EFF"/>
    <w:rsid w:val="060F2843"/>
    <w:rsid w:val="061D4F3F"/>
    <w:rsid w:val="06297651"/>
    <w:rsid w:val="062E2CC9"/>
    <w:rsid w:val="06377354"/>
    <w:rsid w:val="063C38B5"/>
    <w:rsid w:val="06530982"/>
    <w:rsid w:val="067B1C86"/>
    <w:rsid w:val="068055CA"/>
    <w:rsid w:val="06870F4E"/>
    <w:rsid w:val="068B155C"/>
    <w:rsid w:val="06A81A63"/>
    <w:rsid w:val="06C07699"/>
    <w:rsid w:val="06CB362F"/>
    <w:rsid w:val="06D32F6F"/>
    <w:rsid w:val="06D373CC"/>
    <w:rsid w:val="06D73361"/>
    <w:rsid w:val="06D82492"/>
    <w:rsid w:val="06DC5209"/>
    <w:rsid w:val="06E638A7"/>
    <w:rsid w:val="06E710CA"/>
    <w:rsid w:val="06EA226E"/>
    <w:rsid w:val="06FC6923"/>
    <w:rsid w:val="06FD269B"/>
    <w:rsid w:val="07181283"/>
    <w:rsid w:val="07201DF1"/>
    <w:rsid w:val="073F3E04"/>
    <w:rsid w:val="074309F6"/>
    <w:rsid w:val="07601EE6"/>
    <w:rsid w:val="076D4195"/>
    <w:rsid w:val="077A3B97"/>
    <w:rsid w:val="07854900"/>
    <w:rsid w:val="07A409CB"/>
    <w:rsid w:val="07C03FC2"/>
    <w:rsid w:val="07EC2E3C"/>
    <w:rsid w:val="07FB1E0E"/>
    <w:rsid w:val="080041F1"/>
    <w:rsid w:val="08075AF6"/>
    <w:rsid w:val="080B77B6"/>
    <w:rsid w:val="080F73DC"/>
    <w:rsid w:val="08114650"/>
    <w:rsid w:val="08123F24"/>
    <w:rsid w:val="0842480A"/>
    <w:rsid w:val="08427D41"/>
    <w:rsid w:val="085206BF"/>
    <w:rsid w:val="085A5790"/>
    <w:rsid w:val="086230FE"/>
    <w:rsid w:val="086D1A05"/>
    <w:rsid w:val="08773690"/>
    <w:rsid w:val="087F4B83"/>
    <w:rsid w:val="0887576C"/>
    <w:rsid w:val="088B2459"/>
    <w:rsid w:val="088E0365"/>
    <w:rsid w:val="08A8489B"/>
    <w:rsid w:val="08B82A52"/>
    <w:rsid w:val="08C26AA5"/>
    <w:rsid w:val="08C571E9"/>
    <w:rsid w:val="08C72D4D"/>
    <w:rsid w:val="08CB0CA3"/>
    <w:rsid w:val="08CF5CBD"/>
    <w:rsid w:val="08D70C47"/>
    <w:rsid w:val="08F655F4"/>
    <w:rsid w:val="09003C26"/>
    <w:rsid w:val="091E1533"/>
    <w:rsid w:val="092847CA"/>
    <w:rsid w:val="09371E95"/>
    <w:rsid w:val="093D3223"/>
    <w:rsid w:val="093E76C7"/>
    <w:rsid w:val="094259D4"/>
    <w:rsid w:val="09464A8E"/>
    <w:rsid w:val="0959728B"/>
    <w:rsid w:val="095A3DD5"/>
    <w:rsid w:val="09630EDC"/>
    <w:rsid w:val="09636C2F"/>
    <w:rsid w:val="09741A1D"/>
    <w:rsid w:val="097529BD"/>
    <w:rsid w:val="097924AD"/>
    <w:rsid w:val="099009CE"/>
    <w:rsid w:val="099E4BC2"/>
    <w:rsid w:val="09AF5974"/>
    <w:rsid w:val="09BE716B"/>
    <w:rsid w:val="09D92F4C"/>
    <w:rsid w:val="09E16FF5"/>
    <w:rsid w:val="0A120244"/>
    <w:rsid w:val="0A122902"/>
    <w:rsid w:val="0A22782C"/>
    <w:rsid w:val="0A241587"/>
    <w:rsid w:val="0A434869"/>
    <w:rsid w:val="0A4707FD"/>
    <w:rsid w:val="0A4A209B"/>
    <w:rsid w:val="0A85045D"/>
    <w:rsid w:val="0A853018"/>
    <w:rsid w:val="0A8748FB"/>
    <w:rsid w:val="0A8D64E0"/>
    <w:rsid w:val="0A981059"/>
    <w:rsid w:val="0A9D666F"/>
    <w:rsid w:val="0AA80164"/>
    <w:rsid w:val="0AAD6A4C"/>
    <w:rsid w:val="0ABB6AF5"/>
    <w:rsid w:val="0AC613B6"/>
    <w:rsid w:val="0ACA7A7B"/>
    <w:rsid w:val="0AD73EC1"/>
    <w:rsid w:val="0AED287F"/>
    <w:rsid w:val="0AF3628F"/>
    <w:rsid w:val="0AFD3E00"/>
    <w:rsid w:val="0AFE67C5"/>
    <w:rsid w:val="0B0539AD"/>
    <w:rsid w:val="0B1F52D6"/>
    <w:rsid w:val="0B200F71"/>
    <w:rsid w:val="0B2F4E5F"/>
    <w:rsid w:val="0B380521"/>
    <w:rsid w:val="0B76450E"/>
    <w:rsid w:val="0B834A6D"/>
    <w:rsid w:val="0B8553F4"/>
    <w:rsid w:val="0B8F2739"/>
    <w:rsid w:val="0B9B6058"/>
    <w:rsid w:val="0BAF03CE"/>
    <w:rsid w:val="0BB04D71"/>
    <w:rsid w:val="0BC95C1F"/>
    <w:rsid w:val="0BD02ADF"/>
    <w:rsid w:val="0BD77E6C"/>
    <w:rsid w:val="0BD857FA"/>
    <w:rsid w:val="0BDC01C6"/>
    <w:rsid w:val="0BF91683"/>
    <w:rsid w:val="0BFB1FCA"/>
    <w:rsid w:val="0BFD5593"/>
    <w:rsid w:val="0C024466"/>
    <w:rsid w:val="0C1E3AFF"/>
    <w:rsid w:val="0C2B7E99"/>
    <w:rsid w:val="0C2C6048"/>
    <w:rsid w:val="0C3B7EEE"/>
    <w:rsid w:val="0C3D1992"/>
    <w:rsid w:val="0C425AE4"/>
    <w:rsid w:val="0C445065"/>
    <w:rsid w:val="0C630012"/>
    <w:rsid w:val="0C750DBA"/>
    <w:rsid w:val="0C76718D"/>
    <w:rsid w:val="0C7F6B1D"/>
    <w:rsid w:val="0C7F6E85"/>
    <w:rsid w:val="0C9009B1"/>
    <w:rsid w:val="0C99032D"/>
    <w:rsid w:val="0C997635"/>
    <w:rsid w:val="0CA127D2"/>
    <w:rsid w:val="0CA22B0E"/>
    <w:rsid w:val="0CBD0F17"/>
    <w:rsid w:val="0CC22422"/>
    <w:rsid w:val="0CD662F4"/>
    <w:rsid w:val="0CDA7428"/>
    <w:rsid w:val="0CE975F0"/>
    <w:rsid w:val="0CEA38F3"/>
    <w:rsid w:val="0CEC568C"/>
    <w:rsid w:val="0CED1F20"/>
    <w:rsid w:val="0CFF3598"/>
    <w:rsid w:val="0D020A0B"/>
    <w:rsid w:val="0D084942"/>
    <w:rsid w:val="0D227CF2"/>
    <w:rsid w:val="0D2538B2"/>
    <w:rsid w:val="0D4335EE"/>
    <w:rsid w:val="0D474670"/>
    <w:rsid w:val="0D484369"/>
    <w:rsid w:val="0D612BBF"/>
    <w:rsid w:val="0D6132E1"/>
    <w:rsid w:val="0D7F2157"/>
    <w:rsid w:val="0D9679A1"/>
    <w:rsid w:val="0D985869"/>
    <w:rsid w:val="0DA64C44"/>
    <w:rsid w:val="0DA937A3"/>
    <w:rsid w:val="0DC6384F"/>
    <w:rsid w:val="0DD36ED2"/>
    <w:rsid w:val="0DE039BA"/>
    <w:rsid w:val="0DEA4F56"/>
    <w:rsid w:val="0DEF4814"/>
    <w:rsid w:val="0E09275F"/>
    <w:rsid w:val="0E0C73B6"/>
    <w:rsid w:val="0E1939E3"/>
    <w:rsid w:val="0E1B0198"/>
    <w:rsid w:val="0E23622E"/>
    <w:rsid w:val="0E24080A"/>
    <w:rsid w:val="0E276792"/>
    <w:rsid w:val="0E2C41B4"/>
    <w:rsid w:val="0E491B1F"/>
    <w:rsid w:val="0E4E02D7"/>
    <w:rsid w:val="0E50474C"/>
    <w:rsid w:val="0E600F6E"/>
    <w:rsid w:val="0E63372C"/>
    <w:rsid w:val="0E6B3175"/>
    <w:rsid w:val="0E6C449D"/>
    <w:rsid w:val="0E700CD1"/>
    <w:rsid w:val="0E776DE8"/>
    <w:rsid w:val="0E7A6181"/>
    <w:rsid w:val="0E7C59F6"/>
    <w:rsid w:val="0E823A32"/>
    <w:rsid w:val="0E88084B"/>
    <w:rsid w:val="0E8F14BF"/>
    <w:rsid w:val="0E943882"/>
    <w:rsid w:val="0EA55AF2"/>
    <w:rsid w:val="0EAB7FDE"/>
    <w:rsid w:val="0EBE4E06"/>
    <w:rsid w:val="0ED15B27"/>
    <w:rsid w:val="0EF4628A"/>
    <w:rsid w:val="0EFA419D"/>
    <w:rsid w:val="0EFE735B"/>
    <w:rsid w:val="0F022F45"/>
    <w:rsid w:val="0F0D2708"/>
    <w:rsid w:val="0F0E2279"/>
    <w:rsid w:val="0F1F544F"/>
    <w:rsid w:val="0F381AD7"/>
    <w:rsid w:val="0F4E1CE6"/>
    <w:rsid w:val="0F5D25FF"/>
    <w:rsid w:val="0F6161F2"/>
    <w:rsid w:val="0F6C03BE"/>
    <w:rsid w:val="0F73694F"/>
    <w:rsid w:val="0F755C15"/>
    <w:rsid w:val="0F7A27B5"/>
    <w:rsid w:val="0F7D4C7F"/>
    <w:rsid w:val="0F870DDE"/>
    <w:rsid w:val="0F9020E7"/>
    <w:rsid w:val="0F9420B8"/>
    <w:rsid w:val="0FB16151"/>
    <w:rsid w:val="0FB6788B"/>
    <w:rsid w:val="0FC01045"/>
    <w:rsid w:val="0FD83CBB"/>
    <w:rsid w:val="10037692"/>
    <w:rsid w:val="10091F90"/>
    <w:rsid w:val="10190546"/>
    <w:rsid w:val="102F1060"/>
    <w:rsid w:val="102F1EC6"/>
    <w:rsid w:val="1040460D"/>
    <w:rsid w:val="105A13C8"/>
    <w:rsid w:val="10667E6E"/>
    <w:rsid w:val="1083458C"/>
    <w:rsid w:val="10887E92"/>
    <w:rsid w:val="10917BE0"/>
    <w:rsid w:val="109B0F40"/>
    <w:rsid w:val="109E2D8C"/>
    <w:rsid w:val="10C52DAE"/>
    <w:rsid w:val="10CC7BBE"/>
    <w:rsid w:val="10DE353E"/>
    <w:rsid w:val="110C3C07"/>
    <w:rsid w:val="110F54D8"/>
    <w:rsid w:val="11163E3C"/>
    <w:rsid w:val="11426613"/>
    <w:rsid w:val="114A4191"/>
    <w:rsid w:val="11511F61"/>
    <w:rsid w:val="116075F3"/>
    <w:rsid w:val="116E6670"/>
    <w:rsid w:val="116F23E8"/>
    <w:rsid w:val="11853051"/>
    <w:rsid w:val="119721BF"/>
    <w:rsid w:val="1198557B"/>
    <w:rsid w:val="11A31A53"/>
    <w:rsid w:val="11BA18B5"/>
    <w:rsid w:val="11D2003C"/>
    <w:rsid w:val="11F16D9B"/>
    <w:rsid w:val="12122800"/>
    <w:rsid w:val="1215457F"/>
    <w:rsid w:val="12176122"/>
    <w:rsid w:val="1223181F"/>
    <w:rsid w:val="122A3F04"/>
    <w:rsid w:val="123019CD"/>
    <w:rsid w:val="1235718D"/>
    <w:rsid w:val="1239126D"/>
    <w:rsid w:val="123B3DF1"/>
    <w:rsid w:val="124627DA"/>
    <w:rsid w:val="1249768C"/>
    <w:rsid w:val="125C69A1"/>
    <w:rsid w:val="128119E2"/>
    <w:rsid w:val="12996157"/>
    <w:rsid w:val="129F742E"/>
    <w:rsid w:val="12A43316"/>
    <w:rsid w:val="12AC1B84"/>
    <w:rsid w:val="12BF4219"/>
    <w:rsid w:val="12C7664F"/>
    <w:rsid w:val="12CA1FCB"/>
    <w:rsid w:val="12D57223"/>
    <w:rsid w:val="12FE4C57"/>
    <w:rsid w:val="13010BF7"/>
    <w:rsid w:val="130354DD"/>
    <w:rsid w:val="13054DB2"/>
    <w:rsid w:val="1327719F"/>
    <w:rsid w:val="132A66A3"/>
    <w:rsid w:val="132B0147"/>
    <w:rsid w:val="13341C82"/>
    <w:rsid w:val="133833D9"/>
    <w:rsid w:val="133B6052"/>
    <w:rsid w:val="133F7862"/>
    <w:rsid w:val="13464EA3"/>
    <w:rsid w:val="135265D7"/>
    <w:rsid w:val="136F2B72"/>
    <w:rsid w:val="137374AA"/>
    <w:rsid w:val="13813A20"/>
    <w:rsid w:val="13831570"/>
    <w:rsid w:val="13884BB6"/>
    <w:rsid w:val="138B4BD3"/>
    <w:rsid w:val="13B27351"/>
    <w:rsid w:val="13B66838"/>
    <w:rsid w:val="13BA293B"/>
    <w:rsid w:val="13C20D1B"/>
    <w:rsid w:val="13DA623E"/>
    <w:rsid w:val="13DB7A96"/>
    <w:rsid w:val="13E710C5"/>
    <w:rsid w:val="140432BB"/>
    <w:rsid w:val="141445A8"/>
    <w:rsid w:val="1418506D"/>
    <w:rsid w:val="14280518"/>
    <w:rsid w:val="14387767"/>
    <w:rsid w:val="14391214"/>
    <w:rsid w:val="14467204"/>
    <w:rsid w:val="14542808"/>
    <w:rsid w:val="145916C9"/>
    <w:rsid w:val="14602331"/>
    <w:rsid w:val="14733E29"/>
    <w:rsid w:val="147B42A2"/>
    <w:rsid w:val="147F0B94"/>
    <w:rsid w:val="14861F22"/>
    <w:rsid w:val="149D101A"/>
    <w:rsid w:val="14A304B5"/>
    <w:rsid w:val="14AB6E01"/>
    <w:rsid w:val="14AF0BD0"/>
    <w:rsid w:val="14B57ED3"/>
    <w:rsid w:val="14BA7AF7"/>
    <w:rsid w:val="14BE1F3F"/>
    <w:rsid w:val="14D525A6"/>
    <w:rsid w:val="14E365E6"/>
    <w:rsid w:val="14E629DC"/>
    <w:rsid w:val="14EA0703"/>
    <w:rsid w:val="14F670A8"/>
    <w:rsid w:val="15051F1D"/>
    <w:rsid w:val="151648D1"/>
    <w:rsid w:val="151E215B"/>
    <w:rsid w:val="151E65FF"/>
    <w:rsid w:val="15347BD0"/>
    <w:rsid w:val="15431BC1"/>
    <w:rsid w:val="155A0D15"/>
    <w:rsid w:val="15615BF3"/>
    <w:rsid w:val="15666C04"/>
    <w:rsid w:val="15734CD8"/>
    <w:rsid w:val="157D2199"/>
    <w:rsid w:val="1598015F"/>
    <w:rsid w:val="159A079C"/>
    <w:rsid w:val="159C1274"/>
    <w:rsid w:val="15A0236E"/>
    <w:rsid w:val="15AA0778"/>
    <w:rsid w:val="15C83088"/>
    <w:rsid w:val="15CA61E8"/>
    <w:rsid w:val="15DE1C7E"/>
    <w:rsid w:val="16040771"/>
    <w:rsid w:val="160F46A7"/>
    <w:rsid w:val="161537D5"/>
    <w:rsid w:val="16156479"/>
    <w:rsid w:val="162214A7"/>
    <w:rsid w:val="163605E2"/>
    <w:rsid w:val="16540FA7"/>
    <w:rsid w:val="16664857"/>
    <w:rsid w:val="16707AF8"/>
    <w:rsid w:val="16747AFF"/>
    <w:rsid w:val="167F4E7B"/>
    <w:rsid w:val="168E3310"/>
    <w:rsid w:val="16976668"/>
    <w:rsid w:val="169C5B2E"/>
    <w:rsid w:val="16A10D7E"/>
    <w:rsid w:val="16AC428E"/>
    <w:rsid w:val="16B34B25"/>
    <w:rsid w:val="16B65ECF"/>
    <w:rsid w:val="16B92D0E"/>
    <w:rsid w:val="16BA4105"/>
    <w:rsid w:val="16BC26E2"/>
    <w:rsid w:val="16C151D2"/>
    <w:rsid w:val="16C44D74"/>
    <w:rsid w:val="16CA1368"/>
    <w:rsid w:val="16DA7107"/>
    <w:rsid w:val="16F6394E"/>
    <w:rsid w:val="16F94AD4"/>
    <w:rsid w:val="170525CE"/>
    <w:rsid w:val="171750B3"/>
    <w:rsid w:val="17456DB9"/>
    <w:rsid w:val="174F0CF1"/>
    <w:rsid w:val="17606D0F"/>
    <w:rsid w:val="176678FF"/>
    <w:rsid w:val="1767603B"/>
    <w:rsid w:val="17681DB3"/>
    <w:rsid w:val="176F6BF2"/>
    <w:rsid w:val="177C312D"/>
    <w:rsid w:val="177C3946"/>
    <w:rsid w:val="17832749"/>
    <w:rsid w:val="179C380B"/>
    <w:rsid w:val="179E7583"/>
    <w:rsid w:val="17A50911"/>
    <w:rsid w:val="17AC10BE"/>
    <w:rsid w:val="17AD0175"/>
    <w:rsid w:val="17C23271"/>
    <w:rsid w:val="17D15BAA"/>
    <w:rsid w:val="17D6799F"/>
    <w:rsid w:val="17D9602E"/>
    <w:rsid w:val="17DA01A9"/>
    <w:rsid w:val="17FF30C6"/>
    <w:rsid w:val="182F2A52"/>
    <w:rsid w:val="184F6F0E"/>
    <w:rsid w:val="186F2E15"/>
    <w:rsid w:val="18702CCD"/>
    <w:rsid w:val="18754F56"/>
    <w:rsid w:val="18C575C6"/>
    <w:rsid w:val="18C80D5B"/>
    <w:rsid w:val="18EE434C"/>
    <w:rsid w:val="18FF04F5"/>
    <w:rsid w:val="19241F83"/>
    <w:rsid w:val="19331FA9"/>
    <w:rsid w:val="19353F17"/>
    <w:rsid w:val="19371A3D"/>
    <w:rsid w:val="1945415A"/>
    <w:rsid w:val="19480EE4"/>
    <w:rsid w:val="194E016A"/>
    <w:rsid w:val="194E3FDD"/>
    <w:rsid w:val="195D6BE3"/>
    <w:rsid w:val="1967588A"/>
    <w:rsid w:val="19731D6E"/>
    <w:rsid w:val="197467ED"/>
    <w:rsid w:val="197A527A"/>
    <w:rsid w:val="19A47155"/>
    <w:rsid w:val="19A576FD"/>
    <w:rsid w:val="19AE5EC6"/>
    <w:rsid w:val="19AF15DD"/>
    <w:rsid w:val="19B72B7E"/>
    <w:rsid w:val="19D76D7C"/>
    <w:rsid w:val="19F13AA4"/>
    <w:rsid w:val="19F65454"/>
    <w:rsid w:val="19FE255B"/>
    <w:rsid w:val="1A066FED"/>
    <w:rsid w:val="1A0A45F9"/>
    <w:rsid w:val="1A0C699C"/>
    <w:rsid w:val="1A134258"/>
    <w:rsid w:val="1A2F1A6E"/>
    <w:rsid w:val="1A435353"/>
    <w:rsid w:val="1A46128F"/>
    <w:rsid w:val="1A4904BC"/>
    <w:rsid w:val="1A62626E"/>
    <w:rsid w:val="1A6C215B"/>
    <w:rsid w:val="1A78230D"/>
    <w:rsid w:val="1A80708A"/>
    <w:rsid w:val="1A8504C1"/>
    <w:rsid w:val="1A8B4088"/>
    <w:rsid w:val="1A972F50"/>
    <w:rsid w:val="1A976C37"/>
    <w:rsid w:val="1AA41F7D"/>
    <w:rsid w:val="1AA65E4A"/>
    <w:rsid w:val="1AB0197B"/>
    <w:rsid w:val="1AD341EA"/>
    <w:rsid w:val="1ADF492A"/>
    <w:rsid w:val="1AE14356"/>
    <w:rsid w:val="1AF372C8"/>
    <w:rsid w:val="1AF4183A"/>
    <w:rsid w:val="1B0062E3"/>
    <w:rsid w:val="1B160B18"/>
    <w:rsid w:val="1B2516E2"/>
    <w:rsid w:val="1B410976"/>
    <w:rsid w:val="1B481856"/>
    <w:rsid w:val="1B602477"/>
    <w:rsid w:val="1B644C4C"/>
    <w:rsid w:val="1B655D78"/>
    <w:rsid w:val="1B656D35"/>
    <w:rsid w:val="1B663DB6"/>
    <w:rsid w:val="1B7973F5"/>
    <w:rsid w:val="1B7D1311"/>
    <w:rsid w:val="1B7F1479"/>
    <w:rsid w:val="1B9F1DB3"/>
    <w:rsid w:val="1BD006CF"/>
    <w:rsid w:val="1BD573E4"/>
    <w:rsid w:val="1BEF4851"/>
    <w:rsid w:val="1BF00AED"/>
    <w:rsid w:val="1BF34FF4"/>
    <w:rsid w:val="1BF838FD"/>
    <w:rsid w:val="1BF86D35"/>
    <w:rsid w:val="1BFB76B0"/>
    <w:rsid w:val="1C0A60AC"/>
    <w:rsid w:val="1C0C5403"/>
    <w:rsid w:val="1C1C5A66"/>
    <w:rsid w:val="1C24274C"/>
    <w:rsid w:val="1C2A4F04"/>
    <w:rsid w:val="1C2F7818"/>
    <w:rsid w:val="1C383744"/>
    <w:rsid w:val="1C386F61"/>
    <w:rsid w:val="1C491E0D"/>
    <w:rsid w:val="1C4B072B"/>
    <w:rsid w:val="1C4F06F4"/>
    <w:rsid w:val="1C500D90"/>
    <w:rsid w:val="1C6012AB"/>
    <w:rsid w:val="1C69015F"/>
    <w:rsid w:val="1C747907"/>
    <w:rsid w:val="1C7908FC"/>
    <w:rsid w:val="1C7C2EF7"/>
    <w:rsid w:val="1C837A9E"/>
    <w:rsid w:val="1C9260FE"/>
    <w:rsid w:val="1C9406D5"/>
    <w:rsid w:val="1C99004C"/>
    <w:rsid w:val="1CA26C1C"/>
    <w:rsid w:val="1CBA38F1"/>
    <w:rsid w:val="1CE2348D"/>
    <w:rsid w:val="1CE4351B"/>
    <w:rsid w:val="1CE72C4A"/>
    <w:rsid w:val="1CE93EE7"/>
    <w:rsid w:val="1CED5D86"/>
    <w:rsid w:val="1CF04076"/>
    <w:rsid w:val="1D011872"/>
    <w:rsid w:val="1D0F3397"/>
    <w:rsid w:val="1D294FBD"/>
    <w:rsid w:val="1D3D7F38"/>
    <w:rsid w:val="1D3E783E"/>
    <w:rsid w:val="1D594446"/>
    <w:rsid w:val="1D5D342C"/>
    <w:rsid w:val="1D6247E2"/>
    <w:rsid w:val="1D732BA8"/>
    <w:rsid w:val="1D743260"/>
    <w:rsid w:val="1D7C0366"/>
    <w:rsid w:val="1D941B81"/>
    <w:rsid w:val="1D962032"/>
    <w:rsid w:val="1D9835E4"/>
    <w:rsid w:val="1DC94405"/>
    <w:rsid w:val="1DD32BAB"/>
    <w:rsid w:val="1DD5203C"/>
    <w:rsid w:val="1DFE4A6A"/>
    <w:rsid w:val="1E116359"/>
    <w:rsid w:val="1E14059F"/>
    <w:rsid w:val="1E195BB5"/>
    <w:rsid w:val="1E197963"/>
    <w:rsid w:val="1E1E4F79"/>
    <w:rsid w:val="1E222ED9"/>
    <w:rsid w:val="1E351CBA"/>
    <w:rsid w:val="1E3649B9"/>
    <w:rsid w:val="1E65443D"/>
    <w:rsid w:val="1E666E3F"/>
    <w:rsid w:val="1E7F4F74"/>
    <w:rsid w:val="1E92338F"/>
    <w:rsid w:val="1E9F6327"/>
    <w:rsid w:val="1EA34596"/>
    <w:rsid w:val="1EA866E3"/>
    <w:rsid w:val="1EEB31B8"/>
    <w:rsid w:val="1F1F5596"/>
    <w:rsid w:val="1F3F48E9"/>
    <w:rsid w:val="1F5E41C7"/>
    <w:rsid w:val="1F6517F2"/>
    <w:rsid w:val="1F881244"/>
    <w:rsid w:val="1F961E58"/>
    <w:rsid w:val="1F9A23DF"/>
    <w:rsid w:val="1FCA4BF8"/>
    <w:rsid w:val="1FCD1D62"/>
    <w:rsid w:val="1FE90FF5"/>
    <w:rsid w:val="1FEA7809"/>
    <w:rsid w:val="1FF341FD"/>
    <w:rsid w:val="200E2DAE"/>
    <w:rsid w:val="201C67A7"/>
    <w:rsid w:val="20221F16"/>
    <w:rsid w:val="203C341E"/>
    <w:rsid w:val="20610921"/>
    <w:rsid w:val="207F4DFD"/>
    <w:rsid w:val="20826260"/>
    <w:rsid w:val="20895274"/>
    <w:rsid w:val="208E6343"/>
    <w:rsid w:val="20A774A8"/>
    <w:rsid w:val="20B65253"/>
    <w:rsid w:val="20B86D85"/>
    <w:rsid w:val="20BB75BD"/>
    <w:rsid w:val="20CA763A"/>
    <w:rsid w:val="20CC36B0"/>
    <w:rsid w:val="20CF4C51"/>
    <w:rsid w:val="20D73DE4"/>
    <w:rsid w:val="20DB35F6"/>
    <w:rsid w:val="210743EB"/>
    <w:rsid w:val="211A15E9"/>
    <w:rsid w:val="2129610F"/>
    <w:rsid w:val="212D302F"/>
    <w:rsid w:val="212E1977"/>
    <w:rsid w:val="213B123C"/>
    <w:rsid w:val="213F3B84"/>
    <w:rsid w:val="21636CD4"/>
    <w:rsid w:val="21703D3E"/>
    <w:rsid w:val="217B0E17"/>
    <w:rsid w:val="219C2D85"/>
    <w:rsid w:val="219C4B33"/>
    <w:rsid w:val="21A20E14"/>
    <w:rsid w:val="21BC6F83"/>
    <w:rsid w:val="21DA1AFF"/>
    <w:rsid w:val="21E063D1"/>
    <w:rsid w:val="21E72423"/>
    <w:rsid w:val="21ED538F"/>
    <w:rsid w:val="220152DE"/>
    <w:rsid w:val="22123047"/>
    <w:rsid w:val="222B28A0"/>
    <w:rsid w:val="22394A78"/>
    <w:rsid w:val="223D5F36"/>
    <w:rsid w:val="22533827"/>
    <w:rsid w:val="226C412B"/>
    <w:rsid w:val="226F71F1"/>
    <w:rsid w:val="22700CA8"/>
    <w:rsid w:val="22850D4C"/>
    <w:rsid w:val="22B67E76"/>
    <w:rsid w:val="22FB7D9A"/>
    <w:rsid w:val="22FC3D4A"/>
    <w:rsid w:val="23040D47"/>
    <w:rsid w:val="23056708"/>
    <w:rsid w:val="23507A99"/>
    <w:rsid w:val="235D0FF7"/>
    <w:rsid w:val="23614286"/>
    <w:rsid w:val="23815CDD"/>
    <w:rsid w:val="239A1933"/>
    <w:rsid w:val="23A10330"/>
    <w:rsid w:val="23B21EBF"/>
    <w:rsid w:val="23B615F6"/>
    <w:rsid w:val="23B64BA9"/>
    <w:rsid w:val="23C16E2F"/>
    <w:rsid w:val="23C94F2F"/>
    <w:rsid w:val="23F0674C"/>
    <w:rsid w:val="23F4080E"/>
    <w:rsid w:val="23F55825"/>
    <w:rsid w:val="23F60825"/>
    <w:rsid w:val="24003A9F"/>
    <w:rsid w:val="240F05A3"/>
    <w:rsid w:val="2412703C"/>
    <w:rsid w:val="2433397A"/>
    <w:rsid w:val="243B5A6D"/>
    <w:rsid w:val="24477036"/>
    <w:rsid w:val="24481659"/>
    <w:rsid w:val="244A2F6C"/>
    <w:rsid w:val="244D49E0"/>
    <w:rsid w:val="244F2331"/>
    <w:rsid w:val="24521E21"/>
    <w:rsid w:val="245B2374"/>
    <w:rsid w:val="246336A8"/>
    <w:rsid w:val="24635DDC"/>
    <w:rsid w:val="246C6B30"/>
    <w:rsid w:val="247442EB"/>
    <w:rsid w:val="248024EA"/>
    <w:rsid w:val="248D5069"/>
    <w:rsid w:val="24997A50"/>
    <w:rsid w:val="24B029DA"/>
    <w:rsid w:val="24B46637"/>
    <w:rsid w:val="24BD114D"/>
    <w:rsid w:val="24C12175"/>
    <w:rsid w:val="24C84F63"/>
    <w:rsid w:val="24D06542"/>
    <w:rsid w:val="24D71207"/>
    <w:rsid w:val="24DD5B8E"/>
    <w:rsid w:val="24DD736E"/>
    <w:rsid w:val="24E33112"/>
    <w:rsid w:val="24FC417F"/>
    <w:rsid w:val="25087C4D"/>
    <w:rsid w:val="250D1403"/>
    <w:rsid w:val="250F1AC0"/>
    <w:rsid w:val="251D385F"/>
    <w:rsid w:val="252523ED"/>
    <w:rsid w:val="25334022"/>
    <w:rsid w:val="2535794A"/>
    <w:rsid w:val="253A5760"/>
    <w:rsid w:val="253F60A4"/>
    <w:rsid w:val="254A0D4A"/>
    <w:rsid w:val="254B5357"/>
    <w:rsid w:val="256834E7"/>
    <w:rsid w:val="256A4F48"/>
    <w:rsid w:val="258E7D54"/>
    <w:rsid w:val="25987D07"/>
    <w:rsid w:val="259C55A8"/>
    <w:rsid w:val="25B40837"/>
    <w:rsid w:val="25B871B4"/>
    <w:rsid w:val="25B95F44"/>
    <w:rsid w:val="25BD776E"/>
    <w:rsid w:val="25DA0320"/>
    <w:rsid w:val="25DD260A"/>
    <w:rsid w:val="25E16F30"/>
    <w:rsid w:val="25E76599"/>
    <w:rsid w:val="25F71520"/>
    <w:rsid w:val="26237696"/>
    <w:rsid w:val="262F74BF"/>
    <w:rsid w:val="265F60B9"/>
    <w:rsid w:val="266C7495"/>
    <w:rsid w:val="267977D6"/>
    <w:rsid w:val="2681079B"/>
    <w:rsid w:val="268477E4"/>
    <w:rsid w:val="269866AD"/>
    <w:rsid w:val="269F0AAD"/>
    <w:rsid w:val="26A85887"/>
    <w:rsid w:val="26C66955"/>
    <w:rsid w:val="26DE174A"/>
    <w:rsid w:val="26F03136"/>
    <w:rsid w:val="26F277F2"/>
    <w:rsid w:val="27066A44"/>
    <w:rsid w:val="270F7064"/>
    <w:rsid w:val="27205A4F"/>
    <w:rsid w:val="2742118E"/>
    <w:rsid w:val="2757136C"/>
    <w:rsid w:val="27602AA7"/>
    <w:rsid w:val="2767390A"/>
    <w:rsid w:val="27797BCF"/>
    <w:rsid w:val="27891436"/>
    <w:rsid w:val="27A42CBF"/>
    <w:rsid w:val="27C2106B"/>
    <w:rsid w:val="27CE3856"/>
    <w:rsid w:val="28047BCF"/>
    <w:rsid w:val="281178FD"/>
    <w:rsid w:val="28135441"/>
    <w:rsid w:val="28145850"/>
    <w:rsid w:val="281913FB"/>
    <w:rsid w:val="281F026C"/>
    <w:rsid w:val="28206239"/>
    <w:rsid w:val="28214D5F"/>
    <w:rsid w:val="282331E1"/>
    <w:rsid w:val="28276531"/>
    <w:rsid w:val="282B52B8"/>
    <w:rsid w:val="284C41AB"/>
    <w:rsid w:val="28551EE0"/>
    <w:rsid w:val="285B596A"/>
    <w:rsid w:val="286C410F"/>
    <w:rsid w:val="286E4D4F"/>
    <w:rsid w:val="287B2052"/>
    <w:rsid w:val="287F08AD"/>
    <w:rsid w:val="288F4B78"/>
    <w:rsid w:val="28936A7D"/>
    <w:rsid w:val="28947FEF"/>
    <w:rsid w:val="28A43BA0"/>
    <w:rsid w:val="28AC554B"/>
    <w:rsid w:val="28B46CA9"/>
    <w:rsid w:val="28B74174"/>
    <w:rsid w:val="28BA1D43"/>
    <w:rsid w:val="28C66721"/>
    <w:rsid w:val="28D41D9C"/>
    <w:rsid w:val="28DC56E0"/>
    <w:rsid w:val="28E53263"/>
    <w:rsid w:val="28EB263C"/>
    <w:rsid w:val="28F80EA5"/>
    <w:rsid w:val="28F811E9"/>
    <w:rsid w:val="28FD3559"/>
    <w:rsid w:val="29027F00"/>
    <w:rsid w:val="291D078A"/>
    <w:rsid w:val="2930255C"/>
    <w:rsid w:val="293537D3"/>
    <w:rsid w:val="29390247"/>
    <w:rsid w:val="293D11C7"/>
    <w:rsid w:val="294D7013"/>
    <w:rsid w:val="29763E79"/>
    <w:rsid w:val="297F4B04"/>
    <w:rsid w:val="29836835"/>
    <w:rsid w:val="29880441"/>
    <w:rsid w:val="29901A2F"/>
    <w:rsid w:val="29A539C6"/>
    <w:rsid w:val="29A82935"/>
    <w:rsid w:val="29AD4693"/>
    <w:rsid w:val="29B03871"/>
    <w:rsid w:val="29C562FD"/>
    <w:rsid w:val="29DA230C"/>
    <w:rsid w:val="29E3751D"/>
    <w:rsid w:val="29F37B32"/>
    <w:rsid w:val="2A1262DA"/>
    <w:rsid w:val="2A232F79"/>
    <w:rsid w:val="2A27165A"/>
    <w:rsid w:val="2A396A2B"/>
    <w:rsid w:val="2A413E86"/>
    <w:rsid w:val="2A4218E4"/>
    <w:rsid w:val="2A5F2BA2"/>
    <w:rsid w:val="2A68414C"/>
    <w:rsid w:val="2A691C72"/>
    <w:rsid w:val="2A87593E"/>
    <w:rsid w:val="2A884DEE"/>
    <w:rsid w:val="2A8D5856"/>
    <w:rsid w:val="2AB1674C"/>
    <w:rsid w:val="2ACD2FB8"/>
    <w:rsid w:val="2AD6555A"/>
    <w:rsid w:val="2ADE1A55"/>
    <w:rsid w:val="2AE5754B"/>
    <w:rsid w:val="2AFC6642"/>
    <w:rsid w:val="2B072AAF"/>
    <w:rsid w:val="2B3D4773"/>
    <w:rsid w:val="2B3E162A"/>
    <w:rsid w:val="2B5A1E76"/>
    <w:rsid w:val="2B637232"/>
    <w:rsid w:val="2B6A646F"/>
    <w:rsid w:val="2B865842"/>
    <w:rsid w:val="2BAF7B59"/>
    <w:rsid w:val="2BB05DAB"/>
    <w:rsid w:val="2BB24B48"/>
    <w:rsid w:val="2BBB2370"/>
    <w:rsid w:val="2BCE6801"/>
    <w:rsid w:val="2BEA6D09"/>
    <w:rsid w:val="2BFC7AC3"/>
    <w:rsid w:val="2BFF71DE"/>
    <w:rsid w:val="2C0C6B6B"/>
    <w:rsid w:val="2C231357"/>
    <w:rsid w:val="2C250291"/>
    <w:rsid w:val="2C250427"/>
    <w:rsid w:val="2C2A71DF"/>
    <w:rsid w:val="2C2B37E0"/>
    <w:rsid w:val="2C2E5847"/>
    <w:rsid w:val="2C34066C"/>
    <w:rsid w:val="2C5F3832"/>
    <w:rsid w:val="2C672666"/>
    <w:rsid w:val="2C7926FB"/>
    <w:rsid w:val="2C8B4122"/>
    <w:rsid w:val="2C8C0D81"/>
    <w:rsid w:val="2CA61FE9"/>
    <w:rsid w:val="2CB902E4"/>
    <w:rsid w:val="2CD84968"/>
    <w:rsid w:val="2CDB6BD0"/>
    <w:rsid w:val="2D057641"/>
    <w:rsid w:val="2D104627"/>
    <w:rsid w:val="2D185B09"/>
    <w:rsid w:val="2D18644C"/>
    <w:rsid w:val="2D19172E"/>
    <w:rsid w:val="2D1A4664"/>
    <w:rsid w:val="2D1E02FE"/>
    <w:rsid w:val="2D2117F2"/>
    <w:rsid w:val="2D233DAE"/>
    <w:rsid w:val="2D297D44"/>
    <w:rsid w:val="2D3206A5"/>
    <w:rsid w:val="2D340315"/>
    <w:rsid w:val="2D3D0088"/>
    <w:rsid w:val="2D475894"/>
    <w:rsid w:val="2D5562AB"/>
    <w:rsid w:val="2D5E3375"/>
    <w:rsid w:val="2D6970E6"/>
    <w:rsid w:val="2D741A4D"/>
    <w:rsid w:val="2D811081"/>
    <w:rsid w:val="2D874951"/>
    <w:rsid w:val="2D8937E3"/>
    <w:rsid w:val="2D8E1D82"/>
    <w:rsid w:val="2D9479D3"/>
    <w:rsid w:val="2DA3438D"/>
    <w:rsid w:val="2DC1565D"/>
    <w:rsid w:val="2DC44248"/>
    <w:rsid w:val="2DC805E8"/>
    <w:rsid w:val="2DCD42C6"/>
    <w:rsid w:val="2DDB46C1"/>
    <w:rsid w:val="2DDC1029"/>
    <w:rsid w:val="2DE97352"/>
    <w:rsid w:val="2DEA1308"/>
    <w:rsid w:val="2DEA131C"/>
    <w:rsid w:val="2DEE2DDA"/>
    <w:rsid w:val="2DF5727D"/>
    <w:rsid w:val="2E0B0AC1"/>
    <w:rsid w:val="2E2E1209"/>
    <w:rsid w:val="2E410200"/>
    <w:rsid w:val="2E4466A9"/>
    <w:rsid w:val="2E474078"/>
    <w:rsid w:val="2E494290"/>
    <w:rsid w:val="2E4A762C"/>
    <w:rsid w:val="2E5614F6"/>
    <w:rsid w:val="2E66264A"/>
    <w:rsid w:val="2E6723D8"/>
    <w:rsid w:val="2E786078"/>
    <w:rsid w:val="2E881BA9"/>
    <w:rsid w:val="2E8A3579"/>
    <w:rsid w:val="2E91693F"/>
    <w:rsid w:val="2E9C675A"/>
    <w:rsid w:val="2E9E4356"/>
    <w:rsid w:val="2EA52652"/>
    <w:rsid w:val="2EA61897"/>
    <w:rsid w:val="2EDD6AD7"/>
    <w:rsid w:val="2EE17C13"/>
    <w:rsid w:val="2EEC6A2A"/>
    <w:rsid w:val="2F160C7F"/>
    <w:rsid w:val="2F4507DB"/>
    <w:rsid w:val="2F4D1B62"/>
    <w:rsid w:val="2F5A23FA"/>
    <w:rsid w:val="2F9D4B95"/>
    <w:rsid w:val="2FA1297E"/>
    <w:rsid w:val="2FA83CC8"/>
    <w:rsid w:val="2FAE2B1D"/>
    <w:rsid w:val="2FBA2707"/>
    <w:rsid w:val="2FEC0D1B"/>
    <w:rsid w:val="2FF6143F"/>
    <w:rsid w:val="300541EB"/>
    <w:rsid w:val="301601A6"/>
    <w:rsid w:val="3037266B"/>
    <w:rsid w:val="30393D9F"/>
    <w:rsid w:val="304142A7"/>
    <w:rsid w:val="30562EFC"/>
    <w:rsid w:val="305975CF"/>
    <w:rsid w:val="306407C3"/>
    <w:rsid w:val="307F7265"/>
    <w:rsid w:val="3086532C"/>
    <w:rsid w:val="30877D76"/>
    <w:rsid w:val="308A51B7"/>
    <w:rsid w:val="308D1245"/>
    <w:rsid w:val="30982EC0"/>
    <w:rsid w:val="30A346DC"/>
    <w:rsid w:val="30A4092A"/>
    <w:rsid w:val="30A55E88"/>
    <w:rsid w:val="30AA08EF"/>
    <w:rsid w:val="30CE0A81"/>
    <w:rsid w:val="30D06BCA"/>
    <w:rsid w:val="30E3277E"/>
    <w:rsid w:val="30E87D95"/>
    <w:rsid w:val="30EC2BCB"/>
    <w:rsid w:val="311346E6"/>
    <w:rsid w:val="31145241"/>
    <w:rsid w:val="31224929"/>
    <w:rsid w:val="315E429D"/>
    <w:rsid w:val="316753A1"/>
    <w:rsid w:val="3168083B"/>
    <w:rsid w:val="316B220E"/>
    <w:rsid w:val="317E0AEA"/>
    <w:rsid w:val="318171F6"/>
    <w:rsid w:val="319A5EEE"/>
    <w:rsid w:val="319F5197"/>
    <w:rsid w:val="31A91CB2"/>
    <w:rsid w:val="31A9522A"/>
    <w:rsid w:val="31B45EC9"/>
    <w:rsid w:val="31C205E6"/>
    <w:rsid w:val="31C7726D"/>
    <w:rsid w:val="31CC0426"/>
    <w:rsid w:val="31D10829"/>
    <w:rsid w:val="31E55249"/>
    <w:rsid w:val="32005ACC"/>
    <w:rsid w:val="32052280"/>
    <w:rsid w:val="32261847"/>
    <w:rsid w:val="322B1CE1"/>
    <w:rsid w:val="322E7A29"/>
    <w:rsid w:val="324157FA"/>
    <w:rsid w:val="324E1E79"/>
    <w:rsid w:val="325356E2"/>
    <w:rsid w:val="32542815"/>
    <w:rsid w:val="326B4043"/>
    <w:rsid w:val="32870EE7"/>
    <w:rsid w:val="32990C1B"/>
    <w:rsid w:val="32A964E2"/>
    <w:rsid w:val="32B06690"/>
    <w:rsid w:val="32B5685D"/>
    <w:rsid w:val="32D447AC"/>
    <w:rsid w:val="32E74E70"/>
    <w:rsid w:val="32F45468"/>
    <w:rsid w:val="330D68C4"/>
    <w:rsid w:val="331D7A9E"/>
    <w:rsid w:val="33217989"/>
    <w:rsid w:val="33312001"/>
    <w:rsid w:val="333C4CD1"/>
    <w:rsid w:val="33541711"/>
    <w:rsid w:val="3359071A"/>
    <w:rsid w:val="335C2806"/>
    <w:rsid w:val="33631954"/>
    <w:rsid w:val="336B6486"/>
    <w:rsid w:val="336F03EF"/>
    <w:rsid w:val="337C2A16"/>
    <w:rsid w:val="3383518B"/>
    <w:rsid w:val="33835A63"/>
    <w:rsid w:val="338702EB"/>
    <w:rsid w:val="338878B3"/>
    <w:rsid w:val="338F53A4"/>
    <w:rsid w:val="339B3ABE"/>
    <w:rsid w:val="33AE4FDD"/>
    <w:rsid w:val="33C87A09"/>
    <w:rsid w:val="33D660B2"/>
    <w:rsid w:val="33E0763E"/>
    <w:rsid w:val="33E939F0"/>
    <w:rsid w:val="33F42776"/>
    <w:rsid w:val="33FC77CA"/>
    <w:rsid w:val="340B1F8B"/>
    <w:rsid w:val="340E0A1F"/>
    <w:rsid w:val="342C2A59"/>
    <w:rsid w:val="3430758A"/>
    <w:rsid w:val="343F3526"/>
    <w:rsid w:val="3461796F"/>
    <w:rsid w:val="346E4194"/>
    <w:rsid w:val="34903D06"/>
    <w:rsid w:val="34A34600"/>
    <w:rsid w:val="34C74165"/>
    <w:rsid w:val="34CE58A6"/>
    <w:rsid w:val="34FD5E06"/>
    <w:rsid w:val="35000D1E"/>
    <w:rsid w:val="350419EA"/>
    <w:rsid w:val="352D02B5"/>
    <w:rsid w:val="355337F9"/>
    <w:rsid w:val="35634476"/>
    <w:rsid w:val="357065AB"/>
    <w:rsid w:val="35792A10"/>
    <w:rsid w:val="357B1E0B"/>
    <w:rsid w:val="35A16CA0"/>
    <w:rsid w:val="35A7651F"/>
    <w:rsid w:val="35B2561E"/>
    <w:rsid w:val="35B91D1C"/>
    <w:rsid w:val="35C0442B"/>
    <w:rsid w:val="35C6441D"/>
    <w:rsid w:val="35CD64B6"/>
    <w:rsid w:val="35D86845"/>
    <w:rsid w:val="35DC475F"/>
    <w:rsid w:val="35E36E62"/>
    <w:rsid w:val="35EA1EB9"/>
    <w:rsid w:val="35EC4B74"/>
    <w:rsid w:val="36002830"/>
    <w:rsid w:val="3603304A"/>
    <w:rsid w:val="36101E8A"/>
    <w:rsid w:val="3619718F"/>
    <w:rsid w:val="36225173"/>
    <w:rsid w:val="362B7D2A"/>
    <w:rsid w:val="3631642F"/>
    <w:rsid w:val="36407B23"/>
    <w:rsid w:val="364C6741"/>
    <w:rsid w:val="36745C27"/>
    <w:rsid w:val="36942EBF"/>
    <w:rsid w:val="36A43AAF"/>
    <w:rsid w:val="36AD311D"/>
    <w:rsid w:val="36C03FA7"/>
    <w:rsid w:val="36C729D8"/>
    <w:rsid w:val="36C80697"/>
    <w:rsid w:val="36F306D5"/>
    <w:rsid w:val="36FB00F6"/>
    <w:rsid w:val="37023232"/>
    <w:rsid w:val="37024487"/>
    <w:rsid w:val="3717469D"/>
    <w:rsid w:val="37197868"/>
    <w:rsid w:val="372351AB"/>
    <w:rsid w:val="37257DEB"/>
    <w:rsid w:val="374F327C"/>
    <w:rsid w:val="3751011F"/>
    <w:rsid w:val="376143FD"/>
    <w:rsid w:val="376801E4"/>
    <w:rsid w:val="376C7797"/>
    <w:rsid w:val="37752852"/>
    <w:rsid w:val="37812F1C"/>
    <w:rsid w:val="3782223C"/>
    <w:rsid w:val="37983088"/>
    <w:rsid w:val="379B3727"/>
    <w:rsid w:val="37A367C3"/>
    <w:rsid w:val="37AE6F16"/>
    <w:rsid w:val="37BA25F2"/>
    <w:rsid w:val="37BB4B7A"/>
    <w:rsid w:val="37BB73F9"/>
    <w:rsid w:val="37BE4DE7"/>
    <w:rsid w:val="37D304DF"/>
    <w:rsid w:val="37D57E87"/>
    <w:rsid w:val="37D66901"/>
    <w:rsid w:val="37DE2DD8"/>
    <w:rsid w:val="37FF143A"/>
    <w:rsid w:val="3803511D"/>
    <w:rsid w:val="380368E9"/>
    <w:rsid w:val="3814146F"/>
    <w:rsid w:val="381C6576"/>
    <w:rsid w:val="381F274A"/>
    <w:rsid w:val="38211E2A"/>
    <w:rsid w:val="382F44FB"/>
    <w:rsid w:val="383474A1"/>
    <w:rsid w:val="383C5D68"/>
    <w:rsid w:val="38456FCA"/>
    <w:rsid w:val="3852218D"/>
    <w:rsid w:val="385B3A21"/>
    <w:rsid w:val="38607E6B"/>
    <w:rsid w:val="3862042D"/>
    <w:rsid w:val="38650022"/>
    <w:rsid w:val="38806EBF"/>
    <w:rsid w:val="38852257"/>
    <w:rsid w:val="38A20719"/>
    <w:rsid w:val="38A327F3"/>
    <w:rsid w:val="38C721DB"/>
    <w:rsid w:val="38CE331E"/>
    <w:rsid w:val="38F01AA4"/>
    <w:rsid w:val="38FA40FA"/>
    <w:rsid w:val="390B7670"/>
    <w:rsid w:val="39112206"/>
    <w:rsid w:val="39222EDF"/>
    <w:rsid w:val="39253BF9"/>
    <w:rsid w:val="39271CD3"/>
    <w:rsid w:val="392E14BD"/>
    <w:rsid w:val="39357F4C"/>
    <w:rsid w:val="39396C5E"/>
    <w:rsid w:val="39523B66"/>
    <w:rsid w:val="39581830"/>
    <w:rsid w:val="395872B1"/>
    <w:rsid w:val="397B7457"/>
    <w:rsid w:val="398401C3"/>
    <w:rsid w:val="398A5FE3"/>
    <w:rsid w:val="398F66F8"/>
    <w:rsid w:val="39955E30"/>
    <w:rsid w:val="399817B6"/>
    <w:rsid w:val="39994C6C"/>
    <w:rsid w:val="39A05D39"/>
    <w:rsid w:val="39A05D93"/>
    <w:rsid w:val="39A326EE"/>
    <w:rsid w:val="39A673A1"/>
    <w:rsid w:val="39B55DE8"/>
    <w:rsid w:val="39BA7805"/>
    <w:rsid w:val="39D30211"/>
    <w:rsid w:val="39E55CA4"/>
    <w:rsid w:val="39E645AC"/>
    <w:rsid w:val="39E74C96"/>
    <w:rsid w:val="3A034D63"/>
    <w:rsid w:val="3A0B6F50"/>
    <w:rsid w:val="3A29770C"/>
    <w:rsid w:val="3A2F2590"/>
    <w:rsid w:val="3A322081"/>
    <w:rsid w:val="3A425E4E"/>
    <w:rsid w:val="3A4678DA"/>
    <w:rsid w:val="3A487489"/>
    <w:rsid w:val="3A4C5F35"/>
    <w:rsid w:val="3A5E2E76"/>
    <w:rsid w:val="3A5E5C02"/>
    <w:rsid w:val="3A6446C0"/>
    <w:rsid w:val="3A68793B"/>
    <w:rsid w:val="3A6E42B0"/>
    <w:rsid w:val="3A766411"/>
    <w:rsid w:val="3A852E48"/>
    <w:rsid w:val="3A8A617C"/>
    <w:rsid w:val="3A8E5BB0"/>
    <w:rsid w:val="3A904718"/>
    <w:rsid w:val="3A944414"/>
    <w:rsid w:val="3AA0523C"/>
    <w:rsid w:val="3AA47107"/>
    <w:rsid w:val="3AA75680"/>
    <w:rsid w:val="3AB855AB"/>
    <w:rsid w:val="3AC56695"/>
    <w:rsid w:val="3ACB7DB4"/>
    <w:rsid w:val="3AE666AB"/>
    <w:rsid w:val="3AEA404F"/>
    <w:rsid w:val="3AEE32B7"/>
    <w:rsid w:val="3AF410E4"/>
    <w:rsid w:val="3AFC544C"/>
    <w:rsid w:val="3AFF13B0"/>
    <w:rsid w:val="3B053544"/>
    <w:rsid w:val="3B0C4F6B"/>
    <w:rsid w:val="3B1A4171"/>
    <w:rsid w:val="3B2B1958"/>
    <w:rsid w:val="3B315A2D"/>
    <w:rsid w:val="3B4C2091"/>
    <w:rsid w:val="3B5079DD"/>
    <w:rsid w:val="3B530C1D"/>
    <w:rsid w:val="3B604119"/>
    <w:rsid w:val="3B64270E"/>
    <w:rsid w:val="3B7B47DC"/>
    <w:rsid w:val="3B9144F5"/>
    <w:rsid w:val="3B9B7E41"/>
    <w:rsid w:val="3BDB23F9"/>
    <w:rsid w:val="3BE13D5E"/>
    <w:rsid w:val="3BE949C1"/>
    <w:rsid w:val="3BED5A9E"/>
    <w:rsid w:val="3BF62897"/>
    <w:rsid w:val="3C202EE7"/>
    <w:rsid w:val="3C2F4427"/>
    <w:rsid w:val="3C3A0088"/>
    <w:rsid w:val="3C410359"/>
    <w:rsid w:val="3C4D6624"/>
    <w:rsid w:val="3C521EC1"/>
    <w:rsid w:val="3C5474A8"/>
    <w:rsid w:val="3C552056"/>
    <w:rsid w:val="3C5D3381"/>
    <w:rsid w:val="3C627555"/>
    <w:rsid w:val="3C647FF7"/>
    <w:rsid w:val="3C6E4EC6"/>
    <w:rsid w:val="3C7C62E2"/>
    <w:rsid w:val="3C7E6087"/>
    <w:rsid w:val="3CA02209"/>
    <w:rsid w:val="3CA21425"/>
    <w:rsid w:val="3CA740B8"/>
    <w:rsid w:val="3CB073DE"/>
    <w:rsid w:val="3CBA4966"/>
    <w:rsid w:val="3CD302BD"/>
    <w:rsid w:val="3CD464E2"/>
    <w:rsid w:val="3CF72433"/>
    <w:rsid w:val="3CFC24D2"/>
    <w:rsid w:val="3CFF1F15"/>
    <w:rsid w:val="3D0B4C75"/>
    <w:rsid w:val="3D0C0967"/>
    <w:rsid w:val="3D136199"/>
    <w:rsid w:val="3D1F2EFC"/>
    <w:rsid w:val="3D203EC0"/>
    <w:rsid w:val="3D2661B6"/>
    <w:rsid w:val="3D271C45"/>
    <w:rsid w:val="3D430101"/>
    <w:rsid w:val="3D6A1B31"/>
    <w:rsid w:val="3D8B21D4"/>
    <w:rsid w:val="3D9C21D8"/>
    <w:rsid w:val="3D9F44FE"/>
    <w:rsid w:val="3DA92A61"/>
    <w:rsid w:val="3DB74C0B"/>
    <w:rsid w:val="3DB87CE5"/>
    <w:rsid w:val="3DC26B69"/>
    <w:rsid w:val="3DC47E28"/>
    <w:rsid w:val="3DD557E4"/>
    <w:rsid w:val="3DE155E8"/>
    <w:rsid w:val="3DE5027E"/>
    <w:rsid w:val="3DEC2546"/>
    <w:rsid w:val="3E0005D9"/>
    <w:rsid w:val="3E1B32FE"/>
    <w:rsid w:val="3E1D4DF6"/>
    <w:rsid w:val="3E2148E6"/>
    <w:rsid w:val="3E2B7513"/>
    <w:rsid w:val="3E2D328B"/>
    <w:rsid w:val="3E35006F"/>
    <w:rsid w:val="3E410389"/>
    <w:rsid w:val="3E4123FA"/>
    <w:rsid w:val="3E51436E"/>
    <w:rsid w:val="3E5D51F2"/>
    <w:rsid w:val="3E691DE9"/>
    <w:rsid w:val="3E7061DA"/>
    <w:rsid w:val="3E8C0CAB"/>
    <w:rsid w:val="3E905065"/>
    <w:rsid w:val="3E907216"/>
    <w:rsid w:val="3E917734"/>
    <w:rsid w:val="3EA868D8"/>
    <w:rsid w:val="3EAE7822"/>
    <w:rsid w:val="3EAF1EF2"/>
    <w:rsid w:val="3EB138E8"/>
    <w:rsid w:val="3ECD2628"/>
    <w:rsid w:val="3EE57FD8"/>
    <w:rsid w:val="3EEB65E4"/>
    <w:rsid w:val="3F02698D"/>
    <w:rsid w:val="3F052847"/>
    <w:rsid w:val="3F0A508C"/>
    <w:rsid w:val="3F1041F1"/>
    <w:rsid w:val="3F140668"/>
    <w:rsid w:val="3F171845"/>
    <w:rsid w:val="3F194FAB"/>
    <w:rsid w:val="3F1D2809"/>
    <w:rsid w:val="3F21432B"/>
    <w:rsid w:val="3F2E6E35"/>
    <w:rsid w:val="3F3A0A74"/>
    <w:rsid w:val="3F58064E"/>
    <w:rsid w:val="3F5F1278"/>
    <w:rsid w:val="3F711504"/>
    <w:rsid w:val="3F71542A"/>
    <w:rsid w:val="3F82107C"/>
    <w:rsid w:val="3F93536F"/>
    <w:rsid w:val="3FB05F21"/>
    <w:rsid w:val="3FB6173D"/>
    <w:rsid w:val="3FC20F2B"/>
    <w:rsid w:val="3FC70C10"/>
    <w:rsid w:val="3FEB26EA"/>
    <w:rsid w:val="3FF455E7"/>
    <w:rsid w:val="400E3BFD"/>
    <w:rsid w:val="40146C41"/>
    <w:rsid w:val="40205E7A"/>
    <w:rsid w:val="40222793"/>
    <w:rsid w:val="404034B8"/>
    <w:rsid w:val="405E3BCF"/>
    <w:rsid w:val="406A6633"/>
    <w:rsid w:val="406E7B8B"/>
    <w:rsid w:val="408153C3"/>
    <w:rsid w:val="40833636"/>
    <w:rsid w:val="40835A4C"/>
    <w:rsid w:val="408E067A"/>
    <w:rsid w:val="408F1ADC"/>
    <w:rsid w:val="4093314D"/>
    <w:rsid w:val="40995FC1"/>
    <w:rsid w:val="40A029A9"/>
    <w:rsid w:val="40A61905"/>
    <w:rsid w:val="40B437EF"/>
    <w:rsid w:val="40B74574"/>
    <w:rsid w:val="40EF528C"/>
    <w:rsid w:val="40F07D2F"/>
    <w:rsid w:val="411444C3"/>
    <w:rsid w:val="4125649B"/>
    <w:rsid w:val="412C1BF1"/>
    <w:rsid w:val="413A236B"/>
    <w:rsid w:val="413E672E"/>
    <w:rsid w:val="41464BB3"/>
    <w:rsid w:val="414F48F8"/>
    <w:rsid w:val="41557FEA"/>
    <w:rsid w:val="415B6C69"/>
    <w:rsid w:val="41670862"/>
    <w:rsid w:val="416C4232"/>
    <w:rsid w:val="417116E0"/>
    <w:rsid w:val="417D0CB4"/>
    <w:rsid w:val="41AA5EC7"/>
    <w:rsid w:val="41AE57E0"/>
    <w:rsid w:val="41C37A62"/>
    <w:rsid w:val="41CC723D"/>
    <w:rsid w:val="41D30F19"/>
    <w:rsid w:val="41D50939"/>
    <w:rsid w:val="41DB0A99"/>
    <w:rsid w:val="41E2138A"/>
    <w:rsid w:val="42002A64"/>
    <w:rsid w:val="420332BF"/>
    <w:rsid w:val="420446EA"/>
    <w:rsid w:val="42073526"/>
    <w:rsid w:val="420A4600"/>
    <w:rsid w:val="421E2582"/>
    <w:rsid w:val="42215ABE"/>
    <w:rsid w:val="42316966"/>
    <w:rsid w:val="423827E0"/>
    <w:rsid w:val="42432054"/>
    <w:rsid w:val="426671EF"/>
    <w:rsid w:val="426D56E2"/>
    <w:rsid w:val="426E3D4C"/>
    <w:rsid w:val="4275325D"/>
    <w:rsid w:val="427D5D4A"/>
    <w:rsid w:val="427E2A92"/>
    <w:rsid w:val="42857629"/>
    <w:rsid w:val="429077F8"/>
    <w:rsid w:val="4291353B"/>
    <w:rsid w:val="42937435"/>
    <w:rsid w:val="429E2303"/>
    <w:rsid w:val="42B0114E"/>
    <w:rsid w:val="42B266F0"/>
    <w:rsid w:val="42B55311"/>
    <w:rsid w:val="42EB4EAE"/>
    <w:rsid w:val="42ED2FE9"/>
    <w:rsid w:val="42FD1AF4"/>
    <w:rsid w:val="43000F6E"/>
    <w:rsid w:val="43040332"/>
    <w:rsid w:val="431D6872"/>
    <w:rsid w:val="4335271B"/>
    <w:rsid w:val="433724B6"/>
    <w:rsid w:val="4348464B"/>
    <w:rsid w:val="43712331"/>
    <w:rsid w:val="43721740"/>
    <w:rsid w:val="43743CAC"/>
    <w:rsid w:val="43AC4C52"/>
    <w:rsid w:val="43AF029E"/>
    <w:rsid w:val="43B254B3"/>
    <w:rsid w:val="43BB4E95"/>
    <w:rsid w:val="43C022E7"/>
    <w:rsid w:val="43C64F1C"/>
    <w:rsid w:val="43D110E1"/>
    <w:rsid w:val="43D234AB"/>
    <w:rsid w:val="43D32A25"/>
    <w:rsid w:val="43D85A47"/>
    <w:rsid w:val="43D95701"/>
    <w:rsid w:val="43EC14F2"/>
    <w:rsid w:val="43F549B0"/>
    <w:rsid w:val="4404683C"/>
    <w:rsid w:val="44054362"/>
    <w:rsid w:val="440F5960"/>
    <w:rsid w:val="4410276D"/>
    <w:rsid w:val="44135B0F"/>
    <w:rsid w:val="442C5D93"/>
    <w:rsid w:val="444969E0"/>
    <w:rsid w:val="444B7A63"/>
    <w:rsid w:val="444E2555"/>
    <w:rsid w:val="44747C0E"/>
    <w:rsid w:val="44760DBC"/>
    <w:rsid w:val="447F04A4"/>
    <w:rsid w:val="448602B3"/>
    <w:rsid w:val="44B41D30"/>
    <w:rsid w:val="44C331FC"/>
    <w:rsid w:val="44F41AA3"/>
    <w:rsid w:val="44FA379B"/>
    <w:rsid w:val="45075AEB"/>
    <w:rsid w:val="451774AD"/>
    <w:rsid w:val="45193757"/>
    <w:rsid w:val="452510A4"/>
    <w:rsid w:val="45276690"/>
    <w:rsid w:val="452C3DF2"/>
    <w:rsid w:val="452E51D1"/>
    <w:rsid w:val="4530055D"/>
    <w:rsid w:val="453668AE"/>
    <w:rsid w:val="45392515"/>
    <w:rsid w:val="454113CA"/>
    <w:rsid w:val="454B1982"/>
    <w:rsid w:val="455C3C07"/>
    <w:rsid w:val="455D0F3D"/>
    <w:rsid w:val="458A2D71"/>
    <w:rsid w:val="458C4D3B"/>
    <w:rsid w:val="45992951"/>
    <w:rsid w:val="45B52235"/>
    <w:rsid w:val="45B74C20"/>
    <w:rsid w:val="45C3152B"/>
    <w:rsid w:val="45D90068"/>
    <w:rsid w:val="45E67226"/>
    <w:rsid w:val="45F12DF0"/>
    <w:rsid w:val="45F85F95"/>
    <w:rsid w:val="46043434"/>
    <w:rsid w:val="46063A88"/>
    <w:rsid w:val="460D5750"/>
    <w:rsid w:val="461A78FB"/>
    <w:rsid w:val="461B6007"/>
    <w:rsid w:val="461E4A09"/>
    <w:rsid w:val="46213ACF"/>
    <w:rsid w:val="46214427"/>
    <w:rsid w:val="462B636B"/>
    <w:rsid w:val="462F3918"/>
    <w:rsid w:val="464734EB"/>
    <w:rsid w:val="464C2EB7"/>
    <w:rsid w:val="46523B3D"/>
    <w:rsid w:val="466703CF"/>
    <w:rsid w:val="466A3A71"/>
    <w:rsid w:val="467A1ACD"/>
    <w:rsid w:val="467C0F78"/>
    <w:rsid w:val="468B609E"/>
    <w:rsid w:val="46920A6F"/>
    <w:rsid w:val="469E6DEA"/>
    <w:rsid w:val="46A568F9"/>
    <w:rsid w:val="46A66ADC"/>
    <w:rsid w:val="46AD0388"/>
    <w:rsid w:val="46AD0D93"/>
    <w:rsid w:val="46AD3FF4"/>
    <w:rsid w:val="46AF76CC"/>
    <w:rsid w:val="46B207D1"/>
    <w:rsid w:val="46BC4236"/>
    <w:rsid w:val="46BF4EB4"/>
    <w:rsid w:val="46C16C66"/>
    <w:rsid w:val="46C45966"/>
    <w:rsid w:val="46CE6D64"/>
    <w:rsid w:val="46D87369"/>
    <w:rsid w:val="46E719AA"/>
    <w:rsid w:val="46EB783F"/>
    <w:rsid w:val="46EF0CA7"/>
    <w:rsid w:val="46F14108"/>
    <w:rsid w:val="46F81F5C"/>
    <w:rsid w:val="46F94EC9"/>
    <w:rsid w:val="4709042A"/>
    <w:rsid w:val="471E3798"/>
    <w:rsid w:val="471E621E"/>
    <w:rsid w:val="47330BFE"/>
    <w:rsid w:val="47387CFE"/>
    <w:rsid w:val="47413A43"/>
    <w:rsid w:val="474A42C2"/>
    <w:rsid w:val="474D7F47"/>
    <w:rsid w:val="4752395B"/>
    <w:rsid w:val="475771E4"/>
    <w:rsid w:val="476F61DF"/>
    <w:rsid w:val="47707B17"/>
    <w:rsid w:val="47796D4B"/>
    <w:rsid w:val="477B069A"/>
    <w:rsid w:val="477E35A4"/>
    <w:rsid w:val="4787223F"/>
    <w:rsid w:val="47893343"/>
    <w:rsid w:val="47923E0D"/>
    <w:rsid w:val="47975C19"/>
    <w:rsid w:val="47A366A5"/>
    <w:rsid w:val="47B2394A"/>
    <w:rsid w:val="47BE156E"/>
    <w:rsid w:val="47C02A7A"/>
    <w:rsid w:val="47CD698C"/>
    <w:rsid w:val="47D946B7"/>
    <w:rsid w:val="480B281D"/>
    <w:rsid w:val="481F13DA"/>
    <w:rsid w:val="482D75C7"/>
    <w:rsid w:val="482E508B"/>
    <w:rsid w:val="483201D5"/>
    <w:rsid w:val="484E4529"/>
    <w:rsid w:val="484F2050"/>
    <w:rsid w:val="48592ECE"/>
    <w:rsid w:val="48623423"/>
    <w:rsid w:val="486C2C02"/>
    <w:rsid w:val="48776C75"/>
    <w:rsid w:val="487A4334"/>
    <w:rsid w:val="48844E2E"/>
    <w:rsid w:val="4884619D"/>
    <w:rsid w:val="489476F9"/>
    <w:rsid w:val="48AB372A"/>
    <w:rsid w:val="48BA2AF7"/>
    <w:rsid w:val="48C453B7"/>
    <w:rsid w:val="48F67086"/>
    <w:rsid w:val="48FD260D"/>
    <w:rsid w:val="48FD5F50"/>
    <w:rsid w:val="490D6193"/>
    <w:rsid w:val="49351245"/>
    <w:rsid w:val="49366D6C"/>
    <w:rsid w:val="49397C55"/>
    <w:rsid w:val="493B4C8F"/>
    <w:rsid w:val="493F7773"/>
    <w:rsid w:val="494B2B61"/>
    <w:rsid w:val="49662354"/>
    <w:rsid w:val="49683A46"/>
    <w:rsid w:val="49772732"/>
    <w:rsid w:val="499F2B63"/>
    <w:rsid w:val="49A67675"/>
    <w:rsid w:val="49B01DFD"/>
    <w:rsid w:val="49B81FF9"/>
    <w:rsid w:val="49CB3958"/>
    <w:rsid w:val="49D370A0"/>
    <w:rsid w:val="49E20DDD"/>
    <w:rsid w:val="49E35B95"/>
    <w:rsid w:val="49E436D0"/>
    <w:rsid w:val="4A131573"/>
    <w:rsid w:val="4A15390F"/>
    <w:rsid w:val="4A26437E"/>
    <w:rsid w:val="4A2C57D4"/>
    <w:rsid w:val="4A3200EB"/>
    <w:rsid w:val="4A586F91"/>
    <w:rsid w:val="4A64130E"/>
    <w:rsid w:val="4A65172E"/>
    <w:rsid w:val="4A6533D8"/>
    <w:rsid w:val="4A722216"/>
    <w:rsid w:val="4A9640C4"/>
    <w:rsid w:val="4A964DC8"/>
    <w:rsid w:val="4A9B4C9E"/>
    <w:rsid w:val="4A9C5C7C"/>
    <w:rsid w:val="4AB60164"/>
    <w:rsid w:val="4AB92C27"/>
    <w:rsid w:val="4ABD14F2"/>
    <w:rsid w:val="4AC66387"/>
    <w:rsid w:val="4AF70735"/>
    <w:rsid w:val="4AF8569C"/>
    <w:rsid w:val="4B0305AA"/>
    <w:rsid w:val="4B056255"/>
    <w:rsid w:val="4B0C45D2"/>
    <w:rsid w:val="4B111940"/>
    <w:rsid w:val="4B475F17"/>
    <w:rsid w:val="4B4F4555"/>
    <w:rsid w:val="4B4F70ED"/>
    <w:rsid w:val="4B5B7953"/>
    <w:rsid w:val="4B5C4F0C"/>
    <w:rsid w:val="4B6074BB"/>
    <w:rsid w:val="4B744654"/>
    <w:rsid w:val="4B765A4C"/>
    <w:rsid w:val="4B7F40E5"/>
    <w:rsid w:val="4B876DAC"/>
    <w:rsid w:val="4B88493E"/>
    <w:rsid w:val="4B8F4C62"/>
    <w:rsid w:val="4B9E6A4A"/>
    <w:rsid w:val="4BB24DCF"/>
    <w:rsid w:val="4BB564CA"/>
    <w:rsid w:val="4BC63778"/>
    <w:rsid w:val="4BCA0FE0"/>
    <w:rsid w:val="4BE13907"/>
    <w:rsid w:val="4BE232ED"/>
    <w:rsid w:val="4BE93E97"/>
    <w:rsid w:val="4BF14B35"/>
    <w:rsid w:val="4C001FDF"/>
    <w:rsid w:val="4C0F63B2"/>
    <w:rsid w:val="4C270417"/>
    <w:rsid w:val="4C417EE3"/>
    <w:rsid w:val="4C503DDB"/>
    <w:rsid w:val="4C54443E"/>
    <w:rsid w:val="4C561BFF"/>
    <w:rsid w:val="4C616469"/>
    <w:rsid w:val="4C652717"/>
    <w:rsid w:val="4C675BBA"/>
    <w:rsid w:val="4C6A7458"/>
    <w:rsid w:val="4C6F0F12"/>
    <w:rsid w:val="4C7E3398"/>
    <w:rsid w:val="4C820C46"/>
    <w:rsid w:val="4C8725CD"/>
    <w:rsid w:val="4C9B676E"/>
    <w:rsid w:val="4CAA019C"/>
    <w:rsid w:val="4CB55588"/>
    <w:rsid w:val="4CCC01BF"/>
    <w:rsid w:val="4CCC67EF"/>
    <w:rsid w:val="4CD96CE8"/>
    <w:rsid w:val="4CE23492"/>
    <w:rsid w:val="4CE5256A"/>
    <w:rsid w:val="4CEA0599"/>
    <w:rsid w:val="4D177A88"/>
    <w:rsid w:val="4D19323B"/>
    <w:rsid w:val="4D1B0FAF"/>
    <w:rsid w:val="4D1E762A"/>
    <w:rsid w:val="4D2F2F99"/>
    <w:rsid w:val="4D3030A5"/>
    <w:rsid w:val="4D3504CD"/>
    <w:rsid w:val="4D5B6793"/>
    <w:rsid w:val="4D791DEF"/>
    <w:rsid w:val="4D867480"/>
    <w:rsid w:val="4D8B5D44"/>
    <w:rsid w:val="4D8E53C8"/>
    <w:rsid w:val="4D9C41D3"/>
    <w:rsid w:val="4DA11B3B"/>
    <w:rsid w:val="4DBB2F63"/>
    <w:rsid w:val="4DBF2A34"/>
    <w:rsid w:val="4DC6050C"/>
    <w:rsid w:val="4DC66910"/>
    <w:rsid w:val="4DD45C90"/>
    <w:rsid w:val="4DF73C56"/>
    <w:rsid w:val="4DFE60AA"/>
    <w:rsid w:val="4DFF48D7"/>
    <w:rsid w:val="4E050E0E"/>
    <w:rsid w:val="4E0C03B5"/>
    <w:rsid w:val="4E0D6929"/>
    <w:rsid w:val="4E3824F0"/>
    <w:rsid w:val="4E9B1B4B"/>
    <w:rsid w:val="4EAD63DC"/>
    <w:rsid w:val="4EAF314A"/>
    <w:rsid w:val="4ECF5C98"/>
    <w:rsid w:val="4EE616D5"/>
    <w:rsid w:val="4EF31987"/>
    <w:rsid w:val="4F083F99"/>
    <w:rsid w:val="4F09010A"/>
    <w:rsid w:val="4F0C5136"/>
    <w:rsid w:val="4F0D65E2"/>
    <w:rsid w:val="4F154988"/>
    <w:rsid w:val="4F1F709B"/>
    <w:rsid w:val="4F26569F"/>
    <w:rsid w:val="4F2A5377"/>
    <w:rsid w:val="4F34539D"/>
    <w:rsid w:val="4F36286A"/>
    <w:rsid w:val="4F504227"/>
    <w:rsid w:val="4F674123"/>
    <w:rsid w:val="4F7F2021"/>
    <w:rsid w:val="4F822A75"/>
    <w:rsid w:val="4FA32934"/>
    <w:rsid w:val="4FA71E03"/>
    <w:rsid w:val="4FAB28C1"/>
    <w:rsid w:val="4FBE6428"/>
    <w:rsid w:val="4FC651F7"/>
    <w:rsid w:val="4FEA3814"/>
    <w:rsid w:val="4FF926FA"/>
    <w:rsid w:val="4FFB252B"/>
    <w:rsid w:val="5008551D"/>
    <w:rsid w:val="50092040"/>
    <w:rsid w:val="501A1195"/>
    <w:rsid w:val="501C0D5D"/>
    <w:rsid w:val="501E0354"/>
    <w:rsid w:val="501E705F"/>
    <w:rsid w:val="502603BF"/>
    <w:rsid w:val="505B4B49"/>
    <w:rsid w:val="50631515"/>
    <w:rsid w:val="506F41DC"/>
    <w:rsid w:val="507550C2"/>
    <w:rsid w:val="508A536C"/>
    <w:rsid w:val="50956B7E"/>
    <w:rsid w:val="50B50D57"/>
    <w:rsid w:val="50C65939"/>
    <w:rsid w:val="50C848D6"/>
    <w:rsid w:val="50D0287E"/>
    <w:rsid w:val="50D13F4A"/>
    <w:rsid w:val="50DD689F"/>
    <w:rsid w:val="510065FC"/>
    <w:rsid w:val="510C2F5A"/>
    <w:rsid w:val="51183836"/>
    <w:rsid w:val="51201D56"/>
    <w:rsid w:val="51280015"/>
    <w:rsid w:val="512F1337"/>
    <w:rsid w:val="51396174"/>
    <w:rsid w:val="513C5FE9"/>
    <w:rsid w:val="51460714"/>
    <w:rsid w:val="51494B8C"/>
    <w:rsid w:val="515626A1"/>
    <w:rsid w:val="515D16D3"/>
    <w:rsid w:val="517D5E7F"/>
    <w:rsid w:val="519B133E"/>
    <w:rsid w:val="51C44D37"/>
    <w:rsid w:val="51C61930"/>
    <w:rsid w:val="51D02D0A"/>
    <w:rsid w:val="51DB6702"/>
    <w:rsid w:val="51EF2649"/>
    <w:rsid w:val="51EF69CC"/>
    <w:rsid w:val="51F527E9"/>
    <w:rsid w:val="51F96829"/>
    <w:rsid w:val="5205492F"/>
    <w:rsid w:val="52095930"/>
    <w:rsid w:val="52143401"/>
    <w:rsid w:val="522524BC"/>
    <w:rsid w:val="523C1897"/>
    <w:rsid w:val="524250F8"/>
    <w:rsid w:val="524B7FB5"/>
    <w:rsid w:val="5250748C"/>
    <w:rsid w:val="5253098E"/>
    <w:rsid w:val="525C1204"/>
    <w:rsid w:val="525F17E0"/>
    <w:rsid w:val="52657E33"/>
    <w:rsid w:val="526749E5"/>
    <w:rsid w:val="526A6404"/>
    <w:rsid w:val="526D374B"/>
    <w:rsid w:val="526F5272"/>
    <w:rsid w:val="52702ED9"/>
    <w:rsid w:val="528B3C45"/>
    <w:rsid w:val="528D2296"/>
    <w:rsid w:val="52B56CAA"/>
    <w:rsid w:val="52BF018E"/>
    <w:rsid w:val="52E82FB1"/>
    <w:rsid w:val="52EE7B26"/>
    <w:rsid w:val="52F932E4"/>
    <w:rsid w:val="5302488E"/>
    <w:rsid w:val="53107B0A"/>
    <w:rsid w:val="53180C00"/>
    <w:rsid w:val="531A0EDD"/>
    <w:rsid w:val="53220A8C"/>
    <w:rsid w:val="5334256E"/>
    <w:rsid w:val="53527F67"/>
    <w:rsid w:val="5364225C"/>
    <w:rsid w:val="53732843"/>
    <w:rsid w:val="53884592"/>
    <w:rsid w:val="53912714"/>
    <w:rsid w:val="53CF2ABD"/>
    <w:rsid w:val="53D065FE"/>
    <w:rsid w:val="53EB0555"/>
    <w:rsid w:val="540529AD"/>
    <w:rsid w:val="541D3002"/>
    <w:rsid w:val="54413194"/>
    <w:rsid w:val="544A67B9"/>
    <w:rsid w:val="544B75AD"/>
    <w:rsid w:val="54600318"/>
    <w:rsid w:val="54602459"/>
    <w:rsid w:val="54811CC9"/>
    <w:rsid w:val="54996B2C"/>
    <w:rsid w:val="549A0B5D"/>
    <w:rsid w:val="549D0CBC"/>
    <w:rsid w:val="54C33E69"/>
    <w:rsid w:val="54CC7DA2"/>
    <w:rsid w:val="54DD6A56"/>
    <w:rsid w:val="55090618"/>
    <w:rsid w:val="551A608C"/>
    <w:rsid w:val="551E0802"/>
    <w:rsid w:val="551F538C"/>
    <w:rsid w:val="553371E8"/>
    <w:rsid w:val="55445A4D"/>
    <w:rsid w:val="55477854"/>
    <w:rsid w:val="55491E46"/>
    <w:rsid w:val="554F2AC3"/>
    <w:rsid w:val="55564D07"/>
    <w:rsid w:val="55795CC7"/>
    <w:rsid w:val="558A46C7"/>
    <w:rsid w:val="558F0D18"/>
    <w:rsid w:val="55967BC2"/>
    <w:rsid w:val="55A25EB5"/>
    <w:rsid w:val="55A640A0"/>
    <w:rsid w:val="55D64017"/>
    <w:rsid w:val="55E069DD"/>
    <w:rsid w:val="55E06F6F"/>
    <w:rsid w:val="55F951C2"/>
    <w:rsid w:val="56035344"/>
    <w:rsid w:val="56095A91"/>
    <w:rsid w:val="56160175"/>
    <w:rsid w:val="561D195A"/>
    <w:rsid w:val="56241FDF"/>
    <w:rsid w:val="56490008"/>
    <w:rsid w:val="56675F90"/>
    <w:rsid w:val="566764AA"/>
    <w:rsid w:val="567359C3"/>
    <w:rsid w:val="56742007"/>
    <w:rsid w:val="56767171"/>
    <w:rsid w:val="56774421"/>
    <w:rsid w:val="568B4087"/>
    <w:rsid w:val="569B0E5E"/>
    <w:rsid w:val="56B90638"/>
    <w:rsid w:val="56CD541B"/>
    <w:rsid w:val="56DE542A"/>
    <w:rsid w:val="57030BD5"/>
    <w:rsid w:val="57052952"/>
    <w:rsid w:val="572823EA"/>
    <w:rsid w:val="57471CDE"/>
    <w:rsid w:val="575915D6"/>
    <w:rsid w:val="57644F88"/>
    <w:rsid w:val="57656F77"/>
    <w:rsid w:val="57802151"/>
    <w:rsid w:val="578A57CB"/>
    <w:rsid w:val="57911D3D"/>
    <w:rsid w:val="579D3D54"/>
    <w:rsid w:val="579E26AC"/>
    <w:rsid w:val="579E445A"/>
    <w:rsid w:val="57A554C1"/>
    <w:rsid w:val="57A83FE5"/>
    <w:rsid w:val="57B1050E"/>
    <w:rsid w:val="57B51BAC"/>
    <w:rsid w:val="57CB45B2"/>
    <w:rsid w:val="57D367F9"/>
    <w:rsid w:val="57E00F16"/>
    <w:rsid w:val="580979AC"/>
    <w:rsid w:val="5824298D"/>
    <w:rsid w:val="58294027"/>
    <w:rsid w:val="5829790F"/>
    <w:rsid w:val="583A63C2"/>
    <w:rsid w:val="58487543"/>
    <w:rsid w:val="584F0603"/>
    <w:rsid w:val="585425DB"/>
    <w:rsid w:val="586408AE"/>
    <w:rsid w:val="586D20C2"/>
    <w:rsid w:val="58726012"/>
    <w:rsid w:val="58820718"/>
    <w:rsid w:val="58845C02"/>
    <w:rsid w:val="58846A12"/>
    <w:rsid w:val="58847AF3"/>
    <w:rsid w:val="58855EFF"/>
    <w:rsid w:val="58985EB9"/>
    <w:rsid w:val="589861EE"/>
    <w:rsid w:val="589A5E72"/>
    <w:rsid w:val="58A10100"/>
    <w:rsid w:val="58A106A5"/>
    <w:rsid w:val="58A7021C"/>
    <w:rsid w:val="58C425E6"/>
    <w:rsid w:val="58D21F4E"/>
    <w:rsid w:val="58D37407"/>
    <w:rsid w:val="58D659B3"/>
    <w:rsid w:val="58D672A7"/>
    <w:rsid w:val="58D746F8"/>
    <w:rsid w:val="58EB7B73"/>
    <w:rsid w:val="58F34FC2"/>
    <w:rsid w:val="58F87576"/>
    <w:rsid w:val="58F9126B"/>
    <w:rsid w:val="5913239A"/>
    <w:rsid w:val="591959BF"/>
    <w:rsid w:val="591A01F6"/>
    <w:rsid w:val="591B37B6"/>
    <w:rsid w:val="591F6F44"/>
    <w:rsid w:val="59341AEF"/>
    <w:rsid w:val="59421C53"/>
    <w:rsid w:val="59567D97"/>
    <w:rsid w:val="59723CC6"/>
    <w:rsid w:val="59A60805"/>
    <w:rsid w:val="59AD375F"/>
    <w:rsid w:val="59BA23DB"/>
    <w:rsid w:val="59D34098"/>
    <w:rsid w:val="59E030F1"/>
    <w:rsid w:val="59F059B3"/>
    <w:rsid w:val="5A0A6864"/>
    <w:rsid w:val="5A263584"/>
    <w:rsid w:val="5A276F81"/>
    <w:rsid w:val="5A2F296A"/>
    <w:rsid w:val="5A36696B"/>
    <w:rsid w:val="5A416004"/>
    <w:rsid w:val="5A4255EA"/>
    <w:rsid w:val="5A4F6D6F"/>
    <w:rsid w:val="5A5C2A6E"/>
    <w:rsid w:val="5A5D684E"/>
    <w:rsid w:val="5A6630CB"/>
    <w:rsid w:val="5A856784"/>
    <w:rsid w:val="5AA0650B"/>
    <w:rsid w:val="5AAA7BCF"/>
    <w:rsid w:val="5AB94067"/>
    <w:rsid w:val="5ADA21E1"/>
    <w:rsid w:val="5AE60E9C"/>
    <w:rsid w:val="5AE73D6D"/>
    <w:rsid w:val="5B0227CF"/>
    <w:rsid w:val="5B08075F"/>
    <w:rsid w:val="5B1A4A0F"/>
    <w:rsid w:val="5B1F155E"/>
    <w:rsid w:val="5B2965D8"/>
    <w:rsid w:val="5B2D6220"/>
    <w:rsid w:val="5B33135D"/>
    <w:rsid w:val="5B3916F8"/>
    <w:rsid w:val="5B43512A"/>
    <w:rsid w:val="5B557BE4"/>
    <w:rsid w:val="5B5714EF"/>
    <w:rsid w:val="5B79747A"/>
    <w:rsid w:val="5B8629AC"/>
    <w:rsid w:val="5BAB5382"/>
    <w:rsid w:val="5BAD7361"/>
    <w:rsid w:val="5BAD7B7C"/>
    <w:rsid w:val="5BBE50CA"/>
    <w:rsid w:val="5BC235C4"/>
    <w:rsid w:val="5BD33F99"/>
    <w:rsid w:val="5BD47684"/>
    <w:rsid w:val="5BD668B8"/>
    <w:rsid w:val="5BE36CFB"/>
    <w:rsid w:val="5BE46588"/>
    <w:rsid w:val="5BE754F8"/>
    <w:rsid w:val="5BEF1728"/>
    <w:rsid w:val="5BF41FB6"/>
    <w:rsid w:val="5BFE5856"/>
    <w:rsid w:val="5C040268"/>
    <w:rsid w:val="5C13695E"/>
    <w:rsid w:val="5C1B30D6"/>
    <w:rsid w:val="5C3E7984"/>
    <w:rsid w:val="5C55083D"/>
    <w:rsid w:val="5C5D2B35"/>
    <w:rsid w:val="5C6071D1"/>
    <w:rsid w:val="5C643EC4"/>
    <w:rsid w:val="5CA72F2B"/>
    <w:rsid w:val="5CA96E90"/>
    <w:rsid w:val="5CAC081B"/>
    <w:rsid w:val="5CB56C6F"/>
    <w:rsid w:val="5CC97AA1"/>
    <w:rsid w:val="5CE15514"/>
    <w:rsid w:val="5CF73645"/>
    <w:rsid w:val="5D08702E"/>
    <w:rsid w:val="5D317D21"/>
    <w:rsid w:val="5D3D64C3"/>
    <w:rsid w:val="5D410F7A"/>
    <w:rsid w:val="5D45088E"/>
    <w:rsid w:val="5D537A94"/>
    <w:rsid w:val="5D6113BD"/>
    <w:rsid w:val="5D6932AC"/>
    <w:rsid w:val="5D705830"/>
    <w:rsid w:val="5D725E9C"/>
    <w:rsid w:val="5D8B3927"/>
    <w:rsid w:val="5D8D11F8"/>
    <w:rsid w:val="5D942926"/>
    <w:rsid w:val="5D9A56C3"/>
    <w:rsid w:val="5D9E6F62"/>
    <w:rsid w:val="5DA86DAF"/>
    <w:rsid w:val="5DAB167E"/>
    <w:rsid w:val="5DB434A3"/>
    <w:rsid w:val="5DCA51E6"/>
    <w:rsid w:val="5DD10FBE"/>
    <w:rsid w:val="5DD45079"/>
    <w:rsid w:val="5DD63EE7"/>
    <w:rsid w:val="5DD76514"/>
    <w:rsid w:val="5DE024E2"/>
    <w:rsid w:val="5DE11842"/>
    <w:rsid w:val="5DE828D3"/>
    <w:rsid w:val="5DF01976"/>
    <w:rsid w:val="5E0615F5"/>
    <w:rsid w:val="5E0771FD"/>
    <w:rsid w:val="5E1C432A"/>
    <w:rsid w:val="5E2B1FED"/>
    <w:rsid w:val="5E4F6343"/>
    <w:rsid w:val="5E5C41E0"/>
    <w:rsid w:val="5E677C9B"/>
    <w:rsid w:val="5E6D5527"/>
    <w:rsid w:val="5E6F01AD"/>
    <w:rsid w:val="5E6F49B2"/>
    <w:rsid w:val="5E7E5DA9"/>
    <w:rsid w:val="5E8009CD"/>
    <w:rsid w:val="5E804826"/>
    <w:rsid w:val="5E8A2FAF"/>
    <w:rsid w:val="5E934337"/>
    <w:rsid w:val="5EA44A4C"/>
    <w:rsid w:val="5EAD4500"/>
    <w:rsid w:val="5EBA426F"/>
    <w:rsid w:val="5EC0115A"/>
    <w:rsid w:val="5ECB2528"/>
    <w:rsid w:val="5ECE1AC8"/>
    <w:rsid w:val="5ECE3876"/>
    <w:rsid w:val="5ED63965"/>
    <w:rsid w:val="5EE0378C"/>
    <w:rsid w:val="5EE50BC0"/>
    <w:rsid w:val="5EF803FC"/>
    <w:rsid w:val="5EFF6B3F"/>
    <w:rsid w:val="5F0201F5"/>
    <w:rsid w:val="5F166FCB"/>
    <w:rsid w:val="5F18045A"/>
    <w:rsid w:val="5F204108"/>
    <w:rsid w:val="5F21609C"/>
    <w:rsid w:val="5F260C71"/>
    <w:rsid w:val="5F2B2A77"/>
    <w:rsid w:val="5F2E4633"/>
    <w:rsid w:val="5F3D7D0E"/>
    <w:rsid w:val="5F405331"/>
    <w:rsid w:val="5F4B4EC7"/>
    <w:rsid w:val="5F4C2350"/>
    <w:rsid w:val="5F4D0008"/>
    <w:rsid w:val="5F6D7533"/>
    <w:rsid w:val="5F742670"/>
    <w:rsid w:val="5F812FDF"/>
    <w:rsid w:val="5F9B014B"/>
    <w:rsid w:val="5FC007FA"/>
    <w:rsid w:val="5FC9135B"/>
    <w:rsid w:val="5FD01FA4"/>
    <w:rsid w:val="5FE404A9"/>
    <w:rsid w:val="5FE84F46"/>
    <w:rsid w:val="600E7E34"/>
    <w:rsid w:val="602752DB"/>
    <w:rsid w:val="6029448C"/>
    <w:rsid w:val="60360482"/>
    <w:rsid w:val="60470842"/>
    <w:rsid w:val="604A4AB3"/>
    <w:rsid w:val="60585D62"/>
    <w:rsid w:val="60593A8E"/>
    <w:rsid w:val="6074415B"/>
    <w:rsid w:val="60843CE2"/>
    <w:rsid w:val="608A093F"/>
    <w:rsid w:val="608C26BF"/>
    <w:rsid w:val="60B011B0"/>
    <w:rsid w:val="60B62917"/>
    <w:rsid w:val="60BC4C42"/>
    <w:rsid w:val="60C90799"/>
    <w:rsid w:val="60D31562"/>
    <w:rsid w:val="60E93AC5"/>
    <w:rsid w:val="60F021CA"/>
    <w:rsid w:val="60F46444"/>
    <w:rsid w:val="61021EFD"/>
    <w:rsid w:val="6107300C"/>
    <w:rsid w:val="610B320E"/>
    <w:rsid w:val="610F2DCF"/>
    <w:rsid w:val="611733FE"/>
    <w:rsid w:val="612401B9"/>
    <w:rsid w:val="613500B2"/>
    <w:rsid w:val="613B395C"/>
    <w:rsid w:val="613C7BE8"/>
    <w:rsid w:val="61415EC8"/>
    <w:rsid w:val="61435AEB"/>
    <w:rsid w:val="614918DA"/>
    <w:rsid w:val="61520B8C"/>
    <w:rsid w:val="6169184F"/>
    <w:rsid w:val="616B1851"/>
    <w:rsid w:val="616F1608"/>
    <w:rsid w:val="61780CEC"/>
    <w:rsid w:val="618648DC"/>
    <w:rsid w:val="619A650C"/>
    <w:rsid w:val="61A44D62"/>
    <w:rsid w:val="61A64143"/>
    <w:rsid w:val="61A664BE"/>
    <w:rsid w:val="61A918A5"/>
    <w:rsid w:val="61B256D1"/>
    <w:rsid w:val="61BE4076"/>
    <w:rsid w:val="61D54F1C"/>
    <w:rsid w:val="61E17048"/>
    <w:rsid w:val="61E27623"/>
    <w:rsid w:val="61E801A4"/>
    <w:rsid w:val="61EB0A4F"/>
    <w:rsid w:val="61EC1B31"/>
    <w:rsid w:val="6211064A"/>
    <w:rsid w:val="621E485C"/>
    <w:rsid w:val="62290DC1"/>
    <w:rsid w:val="62292210"/>
    <w:rsid w:val="62307F29"/>
    <w:rsid w:val="624C570C"/>
    <w:rsid w:val="6280132C"/>
    <w:rsid w:val="6294271D"/>
    <w:rsid w:val="62997F01"/>
    <w:rsid w:val="62A713B8"/>
    <w:rsid w:val="62AF1C11"/>
    <w:rsid w:val="62B238E7"/>
    <w:rsid w:val="62B614BD"/>
    <w:rsid w:val="62B965EC"/>
    <w:rsid w:val="62BB0DDF"/>
    <w:rsid w:val="62BC7F78"/>
    <w:rsid w:val="62DE5F9F"/>
    <w:rsid w:val="62EE7463"/>
    <w:rsid w:val="62FD73FD"/>
    <w:rsid w:val="6312218F"/>
    <w:rsid w:val="631D043A"/>
    <w:rsid w:val="631D301E"/>
    <w:rsid w:val="6321471F"/>
    <w:rsid w:val="632E25A4"/>
    <w:rsid w:val="633640E0"/>
    <w:rsid w:val="63901A42"/>
    <w:rsid w:val="639D5F0D"/>
    <w:rsid w:val="63AB04B6"/>
    <w:rsid w:val="63AC7EFE"/>
    <w:rsid w:val="63B374DF"/>
    <w:rsid w:val="63BB2797"/>
    <w:rsid w:val="63D27965"/>
    <w:rsid w:val="63D556A7"/>
    <w:rsid w:val="63E04B46"/>
    <w:rsid w:val="63E35C42"/>
    <w:rsid w:val="63EC3C2E"/>
    <w:rsid w:val="63F02146"/>
    <w:rsid w:val="64026368"/>
    <w:rsid w:val="6402638B"/>
    <w:rsid w:val="64054B62"/>
    <w:rsid w:val="641A5183"/>
    <w:rsid w:val="642743CD"/>
    <w:rsid w:val="644C69BE"/>
    <w:rsid w:val="64671A5F"/>
    <w:rsid w:val="647C1FC7"/>
    <w:rsid w:val="648F1CFA"/>
    <w:rsid w:val="648F5856"/>
    <w:rsid w:val="649D4417"/>
    <w:rsid w:val="64A23EE2"/>
    <w:rsid w:val="64B11C70"/>
    <w:rsid w:val="64C065CB"/>
    <w:rsid w:val="64E25446"/>
    <w:rsid w:val="64E9765C"/>
    <w:rsid w:val="64F32289"/>
    <w:rsid w:val="6505144E"/>
    <w:rsid w:val="650F0ADE"/>
    <w:rsid w:val="6510252E"/>
    <w:rsid w:val="651144BD"/>
    <w:rsid w:val="65295A48"/>
    <w:rsid w:val="65332A0F"/>
    <w:rsid w:val="6560397C"/>
    <w:rsid w:val="657B4159"/>
    <w:rsid w:val="658E5B0E"/>
    <w:rsid w:val="658E5E0F"/>
    <w:rsid w:val="65957F9B"/>
    <w:rsid w:val="65AA3925"/>
    <w:rsid w:val="65BF381B"/>
    <w:rsid w:val="65DE1D23"/>
    <w:rsid w:val="65DE67F2"/>
    <w:rsid w:val="65E50EF7"/>
    <w:rsid w:val="65F823F0"/>
    <w:rsid w:val="66035129"/>
    <w:rsid w:val="660C0398"/>
    <w:rsid w:val="66102F61"/>
    <w:rsid w:val="66106E6A"/>
    <w:rsid w:val="661204ED"/>
    <w:rsid w:val="661A7F79"/>
    <w:rsid w:val="66226D5E"/>
    <w:rsid w:val="66260CC4"/>
    <w:rsid w:val="6628501F"/>
    <w:rsid w:val="66294471"/>
    <w:rsid w:val="66316554"/>
    <w:rsid w:val="663903B5"/>
    <w:rsid w:val="66395331"/>
    <w:rsid w:val="66486604"/>
    <w:rsid w:val="66661EBD"/>
    <w:rsid w:val="666810CB"/>
    <w:rsid w:val="667802FC"/>
    <w:rsid w:val="66854761"/>
    <w:rsid w:val="66876426"/>
    <w:rsid w:val="66903482"/>
    <w:rsid w:val="66943BAD"/>
    <w:rsid w:val="669D75F2"/>
    <w:rsid w:val="66A8522D"/>
    <w:rsid w:val="66C00AD1"/>
    <w:rsid w:val="66C8007B"/>
    <w:rsid w:val="66CC70B3"/>
    <w:rsid w:val="66DA6020"/>
    <w:rsid w:val="66EA5387"/>
    <w:rsid w:val="66EE5815"/>
    <w:rsid w:val="67042DC7"/>
    <w:rsid w:val="67065B78"/>
    <w:rsid w:val="670F27D3"/>
    <w:rsid w:val="670F57CF"/>
    <w:rsid w:val="670F7122"/>
    <w:rsid w:val="67144738"/>
    <w:rsid w:val="67390021"/>
    <w:rsid w:val="673E2092"/>
    <w:rsid w:val="673F02EE"/>
    <w:rsid w:val="6762241A"/>
    <w:rsid w:val="67672CF6"/>
    <w:rsid w:val="676B604C"/>
    <w:rsid w:val="676F0D27"/>
    <w:rsid w:val="67706D25"/>
    <w:rsid w:val="67825B46"/>
    <w:rsid w:val="678E00D5"/>
    <w:rsid w:val="67A26D42"/>
    <w:rsid w:val="67A91325"/>
    <w:rsid w:val="67E93F61"/>
    <w:rsid w:val="67FD1698"/>
    <w:rsid w:val="67FE0D5D"/>
    <w:rsid w:val="68053934"/>
    <w:rsid w:val="68097404"/>
    <w:rsid w:val="680A12F6"/>
    <w:rsid w:val="680E31DC"/>
    <w:rsid w:val="681255F3"/>
    <w:rsid w:val="681848F6"/>
    <w:rsid w:val="68292572"/>
    <w:rsid w:val="682E090D"/>
    <w:rsid w:val="683823C6"/>
    <w:rsid w:val="683C2108"/>
    <w:rsid w:val="684F57B6"/>
    <w:rsid w:val="687731D1"/>
    <w:rsid w:val="688C7913"/>
    <w:rsid w:val="689446A2"/>
    <w:rsid w:val="68A54DB1"/>
    <w:rsid w:val="68A63FB5"/>
    <w:rsid w:val="68AB4C28"/>
    <w:rsid w:val="68AC536F"/>
    <w:rsid w:val="68C27273"/>
    <w:rsid w:val="68CF7B70"/>
    <w:rsid w:val="68D61EDF"/>
    <w:rsid w:val="68D75A1D"/>
    <w:rsid w:val="68EE0CB3"/>
    <w:rsid w:val="69176E58"/>
    <w:rsid w:val="69192A59"/>
    <w:rsid w:val="691A7EAA"/>
    <w:rsid w:val="691B0F00"/>
    <w:rsid w:val="69374A69"/>
    <w:rsid w:val="694532D4"/>
    <w:rsid w:val="695E7DF9"/>
    <w:rsid w:val="69640F11"/>
    <w:rsid w:val="69670B4F"/>
    <w:rsid w:val="697012DF"/>
    <w:rsid w:val="697231CE"/>
    <w:rsid w:val="697369AF"/>
    <w:rsid w:val="69750693"/>
    <w:rsid w:val="69774FF8"/>
    <w:rsid w:val="697C0526"/>
    <w:rsid w:val="697E19DB"/>
    <w:rsid w:val="699C48FB"/>
    <w:rsid w:val="69A63F0B"/>
    <w:rsid w:val="69A91168"/>
    <w:rsid w:val="69B55D5F"/>
    <w:rsid w:val="69C673B6"/>
    <w:rsid w:val="69D46173"/>
    <w:rsid w:val="69E82DA2"/>
    <w:rsid w:val="69EE1271"/>
    <w:rsid w:val="69FA4F9F"/>
    <w:rsid w:val="69FB1F78"/>
    <w:rsid w:val="69FC158C"/>
    <w:rsid w:val="6A0E1913"/>
    <w:rsid w:val="6A0F1F96"/>
    <w:rsid w:val="6A0F5A2D"/>
    <w:rsid w:val="6A102F95"/>
    <w:rsid w:val="6A12408D"/>
    <w:rsid w:val="6A42551D"/>
    <w:rsid w:val="6A4610AD"/>
    <w:rsid w:val="6A4C1225"/>
    <w:rsid w:val="6A503CD9"/>
    <w:rsid w:val="6A60067A"/>
    <w:rsid w:val="6A6D03E7"/>
    <w:rsid w:val="6A70797F"/>
    <w:rsid w:val="6AB50BCF"/>
    <w:rsid w:val="6AB66D6B"/>
    <w:rsid w:val="6AC03A95"/>
    <w:rsid w:val="6AC10733"/>
    <w:rsid w:val="6AEA7C8A"/>
    <w:rsid w:val="6AFF28FF"/>
    <w:rsid w:val="6B097F15"/>
    <w:rsid w:val="6B154ADF"/>
    <w:rsid w:val="6B161F87"/>
    <w:rsid w:val="6B1869E5"/>
    <w:rsid w:val="6B1D15E8"/>
    <w:rsid w:val="6B2111BE"/>
    <w:rsid w:val="6B2371CE"/>
    <w:rsid w:val="6B2579D9"/>
    <w:rsid w:val="6B3768EB"/>
    <w:rsid w:val="6B38611C"/>
    <w:rsid w:val="6B4631DA"/>
    <w:rsid w:val="6B497B06"/>
    <w:rsid w:val="6B4F21E3"/>
    <w:rsid w:val="6B6D0D07"/>
    <w:rsid w:val="6B7B196F"/>
    <w:rsid w:val="6B7B58E8"/>
    <w:rsid w:val="6B886D28"/>
    <w:rsid w:val="6B8A0876"/>
    <w:rsid w:val="6B96396E"/>
    <w:rsid w:val="6B9E0A74"/>
    <w:rsid w:val="6BB65B17"/>
    <w:rsid w:val="6BC55A27"/>
    <w:rsid w:val="6BC71DE1"/>
    <w:rsid w:val="6BCC7390"/>
    <w:rsid w:val="6BF23ED8"/>
    <w:rsid w:val="6BFC3E6A"/>
    <w:rsid w:val="6C094140"/>
    <w:rsid w:val="6C16320B"/>
    <w:rsid w:val="6C16685D"/>
    <w:rsid w:val="6C1913F5"/>
    <w:rsid w:val="6C2076DB"/>
    <w:rsid w:val="6C223454"/>
    <w:rsid w:val="6C24156B"/>
    <w:rsid w:val="6C272818"/>
    <w:rsid w:val="6C4F7B10"/>
    <w:rsid w:val="6C577032"/>
    <w:rsid w:val="6C5850C7"/>
    <w:rsid w:val="6C620CB6"/>
    <w:rsid w:val="6C6661D9"/>
    <w:rsid w:val="6C6C00BA"/>
    <w:rsid w:val="6C6F6E1F"/>
    <w:rsid w:val="6C755C79"/>
    <w:rsid w:val="6C902EC1"/>
    <w:rsid w:val="6C9416D6"/>
    <w:rsid w:val="6CA62ED5"/>
    <w:rsid w:val="6CB84AC4"/>
    <w:rsid w:val="6CC12C6C"/>
    <w:rsid w:val="6CC7165A"/>
    <w:rsid w:val="6CE2433E"/>
    <w:rsid w:val="6CE323A2"/>
    <w:rsid w:val="6CE55FAD"/>
    <w:rsid w:val="6CF21078"/>
    <w:rsid w:val="6D253209"/>
    <w:rsid w:val="6D2C1024"/>
    <w:rsid w:val="6D2C6B6A"/>
    <w:rsid w:val="6D45793B"/>
    <w:rsid w:val="6D4A20DF"/>
    <w:rsid w:val="6D4D4500"/>
    <w:rsid w:val="6D59638B"/>
    <w:rsid w:val="6D5A4A8C"/>
    <w:rsid w:val="6D5E3853"/>
    <w:rsid w:val="6D720D16"/>
    <w:rsid w:val="6D747CDF"/>
    <w:rsid w:val="6D75373D"/>
    <w:rsid w:val="6D7D3037"/>
    <w:rsid w:val="6D855A48"/>
    <w:rsid w:val="6DAE6B53"/>
    <w:rsid w:val="6DB620A5"/>
    <w:rsid w:val="6DBD75A6"/>
    <w:rsid w:val="6DC8357D"/>
    <w:rsid w:val="6DD30BD0"/>
    <w:rsid w:val="6DDB1E1F"/>
    <w:rsid w:val="6DF27624"/>
    <w:rsid w:val="6E0070B5"/>
    <w:rsid w:val="6E137D91"/>
    <w:rsid w:val="6E2242FC"/>
    <w:rsid w:val="6E235C79"/>
    <w:rsid w:val="6E295613"/>
    <w:rsid w:val="6E3D5333"/>
    <w:rsid w:val="6E400EC5"/>
    <w:rsid w:val="6E5518BE"/>
    <w:rsid w:val="6E596298"/>
    <w:rsid w:val="6E633259"/>
    <w:rsid w:val="6E796927"/>
    <w:rsid w:val="6E807994"/>
    <w:rsid w:val="6E865F1C"/>
    <w:rsid w:val="6EBA0655"/>
    <w:rsid w:val="6EBB71B9"/>
    <w:rsid w:val="6EC6456A"/>
    <w:rsid w:val="6ED8429D"/>
    <w:rsid w:val="6EDB41E1"/>
    <w:rsid w:val="6EEB422C"/>
    <w:rsid w:val="6EED0253"/>
    <w:rsid w:val="6F103A37"/>
    <w:rsid w:val="6F2C0427"/>
    <w:rsid w:val="6F361F35"/>
    <w:rsid w:val="6F412738"/>
    <w:rsid w:val="6F4F288F"/>
    <w:rsid w:val="6F5E29F5"/>
    <w:rsid w:val="6F60676D"/>
    <w:rsid w:val="6F6D36CF"/>
    <w:rsid w:val="6F806E0F"/>
    <w:rsid w:val="6F8D5088"/>
    <w:rsid w:val="6F9C52CB"/>
    <w:rsid w:val="6F9C59E1"/>
    <w:rsid w:val="6FA222C1"/>
    <w:rsid w:val="6FA523D2"/>
    <w:rsid w:val="6FA5629E"/>
    <w:rsid w:val="6FC0720B"/>
    <w:rsid w:val="6FCE7B7A"/>
    <w:rsid w:val="6FDB6878"/>
    <w:rsid w:val="6FF07181"/>
    <w:rsid w:val="6FF1333F"/>
    <w:rsid w:val="6FFF5333"/>
    <w:rsid w:val="70031A61"/>
    <w:rsid w:val="701E2662"/>
    <w:rsid w:val="70213730"/>
    <w:rsid w:val="70295378"/>
    <w:rsid w:val="70512559"/>
    <w:rsid w:val="7059007C"/>
    <w:rsid w:val="706D7374"/>
    <w:rsid w:val="707C78D6"/>
    <w:rsid w:val="707F0E75"/>
    <w:rsid w:val="70812E3F"/>
    <w:rsid w:val="708F1259"/>
    <w:rsid w:val="709A5CAE"/>
    <w:rsid w:val="70A04F63"/>
    <w:rsid w:val="70AD6B0B"/>
    <w:rsid w:val="70B30082"/>
    <w:rsid w:val="70BA6B3C"/>
    <w:rsid w:val="70BF39FA"/>
    <w:rsid w:val="70CD6A8C"/>
    <w:rsid w:val="70D478BB"/>
    <w:rsid w:val="70D56442"/>
    <w:rsid w:val="70E7218A"/>
    <w:rsid w:val="70ED2282"/>
    <w:rsid w:val="70F92230"/>
    <w:rsid w:val="71005945"/>
    <w:rsid w:val="711E0D2E"/>
    <w:rsid w:val="71285068"/>
    <w:rsid w:val="715025F8"/>
    <w:rsid w:val="716242B2"/>
    <w:rsid w:val="71687644"/>
    <w:rsid w:val="719C1447"/>
    <w:rsid w:val="71B608C6"/>
    <w:rsid w:val="71C50B09"/>
    <w:rsid w:val="71C668D2"/>
    <w:rsid w:val="71DE7E1D"/>
    <w:rsid w:val="71E02763"/>
    <w:rsid w:val="71F04484"/>
    <w:rsid w:val="71F413EE"/>
    <w:rsid w:val="7203422E"/>
    <w:rsid w:val="72165FF1"/>
    <w:rsid w:val="72270E8E"/>
    <w:rsid w:val="7229590C"/>
    <w:rsid w:val="72361A07"/>
    <w:rsid w:val="72383023"/>
    <w:rsid w:val="72385D10"/>
    <w:rsid w:val="725E270E"/>
    <w:rsid w:val="726A345E"/>
    <w:rsid w:val="72767035"/>
    <w:rsid w:val="72776146"/>
    <w:rsid w:val="72782714"/>
    <w:rsid w:val="72783DCD"/>
    <w:rsid w:val="7286428D"/>
    <w:rsid w:val="729E2032"/>
    <w:rsid w:val="729F62FB"/>
    <w:rsid w:val="72A573BB"/>
    <w:rsid w:val="72B71957"/>
    <w:rsid w:val="72BC75B7"/>
    <w:rsid w:val="72CC5EC7"/>
    <w:rsid w:val="72CE2518"/>
    <w:rsid w:val="72E56D73"/>
    <w:rsid w:val="72E84307"/>
    <w:rsid w:val="72F01270"/>
    <w:rsid w:val="73120014"/>
    <w:rsid w:val="73251405"/>
    <w:rsid w:val="7336064F"/>
    <w:rsid w:val="73571795"/>
    <w:rsid w:val="73781BAB"/>
    <w:rsid w:val="737E0A93"/>
    <w:rsid w:val="73971237"/>
    <w:rsid w:val="739C4C07"/>
    <w:rsid w:val="739F17E1"/>
    <w:rsid w:val="73A52B74"/>
    <w:rsid w:val="73B476BA"/>
    <w:rsid w:val="73E51A43"/>
    <w:rsid w:val="73F3748C"/>
    <w:rsid w:val="74095A73"/>
    <w:rsid w:val="74121FA9"/>
    <w:rsid w:val="74161689"/>
    <w:rsid w:val="742A336A"/>
    <w:rsid w:val="742B1EB0"/>
    <w:rsid w:val="74371BBB"/>
    <w:rsid w:val="7450784E"/>
    <w:rsid w:val="74557806"/>
    <w:rsid w:val="7459076D"/>
    <w:rsid w:val="74656FB1"/>
    <w:rsid w:val="74853A0A"/>
    <w:rsid w:val="7491370C"/>
    <w:rsid w:val="74986390"/>
    <w:rsid w:val="749B1C01"/>
    <w:rsid w:val="749B3DA3"/>
    <w:rsid w:val="749D7B1B"/>
    <w:rsid w:val="74A00757"/>
    <w:rsid w:val="74A470FC"/>
    <w:rsid w:val="74BF3F35"/>
    <w:rsid w:val="74C4615E"/>
    <w:rsid w:val="74D20B89"/>
    <w:rsid w:val="74D86DA5"/>
    <w:rsid w:val="74D955B1"/>
    <w:rsid w:val="74EE31C1"/>
    <w:rsid w:val="74F93000"/>
    <w:rsid w:val="75007233"/>
    <w:rsid w:val="751029E3"/>
    <w:rsid w:val="753B36DB"/>
    <w:rsid w:val="753B509A"/>
    <w:rsid w:val="754D5E2F"/>
    <w:rsid w:val="755620CA"/>
    <w:rsid w:val="75693EA1"/>
    <w:rsid w:val="757271FA"/>
    <w:rsid w:val="75731FD0"/>
    <w:rsid w:val="75761731"/>
    <w:rsid w:val="757A765C"/>
    <w:rsid w:val="759871C8"/>
    <w:rsid w:val="759C25CF"/>
    <w:rsid w:val="75A5137D"/>
    <w:rsid w:val="75B50E95"/>
    <w:rsid w:val="75BF6980"/>
    <w:rsid w:val="75CB4B5C"/>
    <w:rsid w:val="75D04805"/>
    <w:rsid w:val="75D91027"/>
    <w:rsid w:val="75E174C9"/>
    <w:rsid w:val="75ED59FD"/>
    <w:rsid w:val="75EF25F8"/>
    <w:rsid w:val="75F61990"/>
    <w:rsid w:val="760A19CD"/>
    <w:rsid w:val="760F2252"/>
    <w:rsid w:val="76254BDE"/>
    <w:rsid w:val="762F15F9"/>
    <w:rsid w:val="76474E6E"/>
    <w:rsid w:val="76636B42"/>
    <w:rsid w:val="766B16D2"/>
    <w:rsid w:val="767718A2"/>
    <w:rsid w:val="767B5DC2"/>
    <w:rsid w:val="769370E4"/>
    <w:rsid w:val="76A70481"/>
    <w:rsid w:val="76B727BA"/>
    <w:rsid w:val="76B948BE"/>
    <w:rsid w:val="76BC285E"/>
    <w:rsid w:val="76C146D3"/>
    <w:rsid w:val="76C16194"/>
    <w:rsid w:val="76C83605"/>
    <w:rsid w:val="76CC293A"/>
    <w:rsid w:val="76E35329"/>
    <w:rsid w:val="76F00AFC"/>
    <w:rsid w:val="76F36118"/>
    <w:rsid w:val="7707291D"/>
    <w:rsid w:val="7709727B"/>
    <w:rsid w:val="772005D1"/>
    <w:rsid w:val="77275903"/>
    <w:rsid w:val="77297D8C"/>
    <w:rsid w:val="772B4FB8"/>
    <w:rsid w:val="77642710"/>
    <w:rsid w:val="77673A21"/>
    <w:rsid w:val="778F090A"/>
    <w:rsid w:val="77920B48"/>
    <w:rsid w:val="77A3792C"/>
    <w:rsid w:val="77A80472"/>
    <w:rsid w:val="77B5151D"/>
    <w:rsid w:val="77BA2C07"/>
    <w:rsid w:val="77D93560"/>
    <w:rsid w:val="77E46BA2"/>
    <w:rsid w:val="77EB3293"/>
    <w:rsid w:val="77F40934"/>
    <w:rsid w:val="78077E49"/>
    <w:rsid w:val="78217442"/>
    <w:rsid w:val="78237999"/>
    <w:rsid w:val="7836325D"/>
    <w:rsid w:val="78366895"/>
    <w:rsid w:val="784604CA"/>
    <w:rsid w:val="78462152"/>
    <w:rsid w:val="78477936"/>
    <w:rsid w:val="784D60F8"/>
    <w:rsid w:val="785504B4"/>
    <w:rsid w:val="785E31D6"/>
    <w:rsid w:val="78665F3A"/>
    <w:rsid w:val="78715547"/>
    <w:rsid w:val="78756F24"/>
    <w:rsid w:val="7883527A"/>
    <w:rsid w:val="78916BEF"/>
    <w:rsid w:val="78927DC7"/>
    <w:rsid w:val="7899094F"/>
    <w:rsid w:val="78A84CE1"/>
    <w:rsid w:val="78AE54E6"/>
    <w:rsid w:val="78AF5DCA"/>
    <w:rsid w:val="78B63393"/>
    <w:rsid w:val="78C338C8"/>
    <w:rsid w:val="78C46BCA"/>
    <w:rsid w:val="78C72816"/>
    <w:rsid w:val="78C72993"/>
    <w:rsid w:val="78CA390E"/>
    <w:rsid w:val="78DC209B"/>
    <w:rsid w:val="78EA730D"/>
    <w:rsid w:val="78F32945"/>
    <w:rsid w:val="78F351B6"/>
    <w:rsid w:val="791349AA"/>
    <w:rsid w:val="79202AC9"/>
    <w:rsid w:val="792F2C20"/>
    <w:rsid w:val="79395B4F"/>
    <w:rsid w:val="79402350"/>
    <w:rsid w:val="79444A09"/>
    <w:rsid w:val="79610FF2"/>
    <w:rsid w:val="79645B4D"/>
    <w:rsid w:val="796E67D8"/>
    <w:rsid w:val="79975481"/>
    <w:rsid w:val="799838A9"/>
    <w:rsid w:val="79994171"/>
    <w:rsid w:val="79C32141"/>
    <w:rsid w:val="79D008B4"/>
    <w:rsid w:val="79D44B53"/>
    <w:rsid w:val="79E41530"/>
    <w:rsid w:val="7A0E1AA9"/>
    <w:rsid w:val="7A173ECC"/>
    <w:rsid w:val="7A1E6CF7"/>
    <w:rsid w:val="7A2D36EF"/>
    <w:rsid w:val="7A344A7E"/>
    <w:rsid w:val="7A3B282B"/>
    <w:rsid w:val="7A4000E1"/>
    <w:rsid w:val="7A6B635B"/>
    <w:rsid w:val="7A7D4E1C"/>
    <w:rsid w:val="7AAA0E95"/>
    <w:rsid w:val="7AAA4D40"/>
    <w:rsid w:val="7AB34655"/>
    <w:rsid w:val="7ABF12D4"/>
    <w:rsid w:val="7ACB3660"/>
    <w:rsid w:val="7AD456F6"/>
    <w:rsid w:val="7AEA15E0"/>
    <w:rsid w:val="7AF82546"/>
    <w:rsid w:val="7AF91823"/>
    <w:rsid w:val="7AFE32FA"/>
    <w:rsid w:val="7B120C32"/>
    <w:rsid w:val="7B172DAE"/>
    <w:rsid w:val="7B174A3F"/>
    <w:rsid w:val="7B1C35EF"/>
    <w:rsid w:val="7B2762C3"/>
    <w:rsid w:val="7B2C2B59"/>
    <w:rsid w:val="7B2E6A9B"/>
    <w:rsid w:val="7B392624"/>
    <w:rsid w:val="7B493EE4"/>
    <w:rsid w:val="7B5F5B2A"/>
    <w:rsid w:val="7B717B60"/>
    <w:rsid w:val="7B792111"/>
    <w:rsid w:val="7B844A1D"/>
    <w:rsid w:val="7B871EA6"/>
    <w:rsid w:val="7B875081"/>
    <w:rsid w:val="7B8E01BE"/>
    <w:rsid w:val="7B972056"/>
    <w:rsid w:val="7BA10DEF"/>
    <w:rsid w:val="7BB06386"/>
    <w:rsid w:val="7BB76E70"/>
    <w:rsid w:val="7BD06A28"/>
    <w:rsid w:val="7BD54602"/>
    <w:rsid w:val="7BED23D3"/>
    <w:rsid w:val="7BF73C08"/>
    <w:rsid w:val="7BF7545D"/>
    <w:rsid w:val="7C004C4C"/>
    <w:rsid w:val="7C0A73B6"/>
    <w:rsid w:val="7C13060D"/>
    <w:rsid w:val="7C2127BD"/>
    <w:rsid w:val="7C30396B"/>
    <w:rsid w:val="7C493A47"/>
    <w:rsid w:val="7C5A5AAB"/>
    <w:rsid w:val="7C831930"/>
    <w:rsid w:val="7CA004A4"/>
    <w:rsid w:val="7CAF663E"/>
    <w:rsid w:val="7CB93960"/>
    <w:rsid w:val="7CD24A22"/>
    <w:rsid w:val="7CDA1729"/>
    <w:rsid w:val="7CE7227B"/>
    <w:rsid w:val="7D0D7610"/>
    <w:rsid w:val="7D1511CD"/>
    <w:rsid w:val="7D252DA4"/>
    <w:rsid w:val="7D312E59"/>
    <w:rsid w:val="7D353B60"/>
    <w:rsid w:val="7D3A4F6D"/>
    <w:rsid w:val="7D3B11E8"/>
    <w:rsid w:val="7D4F2969"/>
    <w:rsid w:val="7D584F27"/>
    <w:rsid w:val="7D766118"/>
    <w:rsid w:val="7D891584"/>
    <w:rsid w:val="7DA168CE"/>
    <w:rsid w:val="7DA22299"/>
    <w:rsid w:val="7DA243DB"/>
    <w:rsid w:val="7DBF5BE0"/>
    <w:rsid w:val="7DC90AA9"/>
    <w:rsid w:val="7DCC6B6A"/>
    <w:rsid w:val="7DDF73F6"/>
    <w:rsid w:val="7DE806EC"/>
    <w:rsid w:val="7DEE2A37"/>
    <w:rsid w:val="7DFE31C4"/>
    <w:rsid w:val="7E0574C1"/>
    <w:rsid w:val="7E2217F7"/>
    <w:rsid w:val="7E24535B"/>
    <w:rsid w:val="7E256B88"/>
    <w:rsid w:val="7E292420"/>
    <w:rsid w:val="7E2B263C"/>
    <w:rsid w:val="7E2F7253"/>
    <w:rsid w:val="7E494870"/>
    <w:rsid w:val="7E4D4AF5"/>
    <w:rsid w:val="7E4E04A0"/>
    <w:rsid w:val="7E6D53DE"/>
    <w:rsid w:val="7E7FB11A"/>
    <w:rsid w:val="7EA9278F"/>
    <w:rsid w:val="7EB663A9"/>
    <w:rsid w:val="7EBD3260"/>
    <w:rsid w:val="7EBE0FBF"/>
    <w:rsid w:val="7EBF62A3"/>
    <w:rsid w:val="7EC108AA"/>
    <w:rsid w:val="7ECF2B7F"/>
    <w:rsid w:val="7ED960BD"/>
    <w:rsid w:val="7EDE6C38"/>
    <w:rsid w:val="7EE2719E"/>
    <w:rsid w:val="7EEC2567"/>
    <w:rsid w:val="7EF97BC1"/>
    <w:rsid w:val="7F025F18"/>
    <w:rsid w:val="7F065EA8"/>
    <w:rsid w:val="7F123263"/>
    <w:rsid w:val="7F255D57"/>
    <w:rsid w:val="7F2E0019"/>
    <w:rsid w:val="7F32394D"/>
    <w:rsid w:val="7F44035C"/>
    <w:rsid w:val="7F4D3084"/>
    <w:rsid w:val="7F5C1EF3"/>
    <w:rsid w:val="7F600299"/>
    <w:rsid w:val="7F915817"/>
    <w:rsid w:val="7FC13D51"/>
    <w:rsid w:val="7FDA09F1"/>
    <w:rsid w:val="7FE20CA3"/>
    <w:rsid w:val="7FE6186B"/>
    <w:rsid w:val="7FF711A6"/>
    <w:rsid w:val="7FFF4901"/>
    <w:rsid w:val="8FE75C29"/>
    <w:rsid w:val="BED573F4"/>
    <w:rsid w:val="BFBFA647"/>
    <w:rsid w:val="FDCFF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tabs>
        <w:tab w:val="left" w:pos="720"/>
        <w:tab w:val="left" w:pos="1440"/>
      </w:tabs>
      <w:spacing w:before="340" w:after="330" w:line="576" w:lineRule="auto"/>
      <w:outlineLvl w:val="0"/>
    </w:pPr>
    <w:rPr>
      <w:kern w:val="44"/>
      <w:sz w:val="44"/>
      <w:szCs w:val="44"/>
    </w:rPr>
  </w:style>
  <w:style w:type="paragraph" w:styleId="3">
    <w:name w:val="heading 2"/>
    <w:basedOn w:val="1"/>
    <w:next w:val="1"/>
    <w:autoRedefine/>
    <w:qFormat/>
    <w:uiPriority w:val="0"/>
    <w:pPr>
      <w:keepNext/>
      <w:keepLines/>
      <w:tabs>
        <w:tab w:val="left" w:pos="720"/>
      </w:tabs>
      <w:spacing w:before="260" w:after="260" w:line="413"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tabs>
        <w:tab w:val="left" w:pos="720"/>
      </w:tabs>
      <w:spacing w:before="260" w:after="260" w:line="413" w:lineRule="auto"/>
      <w:ind w:left="720" w:hanging="432"/>
      <w:outlineLvl w:val="2"/>
    </w:pPr>
    <w:rPr>
      <w:b/>
      <w:bCs/>
      <w:sz w:val="32"/>
      <w:szCs w:val="32"/>
    </w:rPr>
  </w:style>
  <w:style w:type="paragraph" w:styleId="5">
    <w:name w:val="heading 4"/>
    <w:basedOn w:val="1"/>
    <w:next w:val="1"/>
    <w:autoRedefine/>
    <w:qFormat/>
    <w:uiPriority w:val="0"/>
    <w:pPr>
      <w:keepNext/>
      <w:keepLines/>
      <w:spacing w:line="376" w:lineRule="auto"/>
      <w:outlineLvl w:val="3"/>
    </w:pPr>
    <w:rPr>
      <w:rFonts w:ascii="Arial" w:hAnsi="Arial" w:eastAsia="黑体"/>
      <w:b/>
      <w:bCs/>
      <w:sz w:val="28"/>
      <w:szCs w:val="28"/>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6">
    <w:name w:val="Normal Indent"/>
    <w:basedOn w:val="1"/>
    <w:next w:val="1"/>
    <w:autoRedefine/>
    <w:qFormat/>
    <w:uiPriority w:val="0"/>
    <w:pPr>
      <w:ind w:firstLine="420"/>
    </w:pPr>
    <w:rPr>
      <w:szCs w:val="20"/>
    </w:rPr>
  </w:style>
  <w:style w:type="paragraph" w:styleId="7">
    <w:name w:val="caption"/>
    <w:basedOn w:val="1"/>
    <w:next w:val="1"/>
    <w:autoRedefine/>
    <w:qFormat/>
    <w:uiPriority w:val="0"/>
    <w:rPr>
      <w:rFonts w:ascii="Cambria" w:hAnsi="Cambria" w:eastAsia="黑体"/>
      <w:sz w:val="20"/>
      <w:szCs w:val="20"/>
    </w:rPr>
  </w:style>
  <w:style w:type="paragraph" w:styleId="8">
    <w:name w:val="Document Map"/>
    <w:basedOn w:val="1"/>
    <w:link w:val="39"/>
    <w:autoRedefine/>
    <w:qFormat/>
    <w:uiPriority w:val="0"/>
    <w:rPr>
      <w:rFonts w:ascii="宋体"/>
      <w:sz w:val="18"/>
      <w:szCs w:val="18"/>
    </w:rPr>
  </w:style>
  <w:style w:type="paragraph" w:styleId="9">
    <w:name w:val="annotation text"/>
    <w:basedOn w:val="1"/>
    <w:link w:val="40"/>
    <w:autoRedefine/>
    <w:qFormat/>
    <w:uiPriority w:val="0"/>
    <w:pPr>
      <w:jc w:val="left"/>
    </w:pPr>
  </w:style>
  <w:style w:type="paragraph" w:styleId="10">
    <w:name w:val="Body Text"/>
    <w:basedOn w:val="1"/>
    <w:next w:val="11"/>
    <w:autoRedefine/>
    <w:unhideWhenUsed/>
    <w:qFormat/>
    <w:uiPriority w:val="0"/>
    <w:pPr>
      <w:snapToGrid w:val="0"/>
      <w:spacing w:line="300" w:lineRule="auto"/>
    </w:pPr>
    <w:rPr>
      <w:rFonts w:ascii="宋体"/>
      <w:b/>
      <w:sz w:val="28"/>
    </w:rPr>
  </w:style>
  <w:style w:type="paragraph" w:styleId="11">
    <w:name w:val="Body Text Indent"/>
    <w:basedOn w:val="1"/>
    <w:autoRedefine/>
    <w:qFormat/>
    <w:uiPriority w:val="0"/>
    <w:pPr>
      <w:adjustRightInd w:val="0"/>
      <w:spacing w:line="360" w:lineRule="atLeast"/>
      <w:ind w:left="475" w:hanging="475"/>
      <w:textAlignment w:val="baseline"/>
    </w:pPr>
    <w:rPr>
      <w:rFonts w:ascii="Arial" w:hAnsi="Arial" w:eastAsia="MingLiU"/>
      <w:sz w:val="20"/>
      <w:lang w:eastAsia="zh-TW"/>
    </w:rPr>
  </w:style>
  <w:style w:type="paragraph" w:styleId="12">
    <w:name w:val="toc 3"/>
    <w:basedOn w:val="1"/>
    <w:next w:val="1"/>
    <w:autoRedefine/>
    <w:qFormat/>
    <w:uiPriority w:val="39"/>
    <w:pPr>
      <w:ind w:left="840" w:leftChars="400"/>
    </w:pPr>
  </w:style>
  <w:style w:type="paragraph" w:styleId="13">
    <w:name w:val="Plain Text"/>
    <w:basedOn w:val="1"/>
    <w:next w:val="1"/>
    <w:link w:val="41"/>
    <w:autoRedefine/>
    <w:qFormat/>
    <w:uiPriority w:val="0"/>
    <w:rPr>
      <w:rFonts w:ascii="宋体" w:hAnsi="Courier New"/>
    </w:rPr>
  </w:style>
  <w:style w:type="paragraph" w:styleId="14">
    <w:name w:val="Date"/>
    <w:basedOn w:val="1"/>
    <w:next w:val="1"/>
    <w:autoRedefine/>
    <w:qFormat/>
    <w:uiPriority w:val="0"/>
    <w:pPr>
      <w:ind w:left="100" w:leftChars="2500"/>
    </w:pPr>
  </w:style>
  <w:style w:type="paragraph" w:styleId="15">
    <w:name w:val="Body Text Indent 2"/>
    <w:basedOn w:val="1"/>
    <w:autoRedefine/>
    <w:qFormat/>
    <w:uiPriority w:val="0"/>
    <w:pPr>
      <w:spacing w:after="120" w:line="480" w:lineRule="auto"/>
      <w:ind w:left="420"/>
    </w:pPr>
    <w:rPr>
      <w:lang w:val="zh-CN"/>
    </w:rPr>
  </w:style>
  <w:style w:type="paragraph" w:styleId="16">
    <w:name w:val="Balloon Text"/>
    <w:basedOn w:val="1"/>
    <w:link w:val="42"/>
    <w:autoRedefine/>
    <w:qFormat/>
    <w:uiPriority w:val="0"/>
    <w:rPr>
      <w:sz w:val="18"/>
      <w:szCs w:val="18"/>
    </w:rPr>
  </w:style>
  <w:style w:type="paragraph" w:styleId="17">
    <w:name w:val="footer"/>
    <w:basedOn w:val="1"/>
    <w:autoRedefine/>
    <w:qFormat/>
    <w:uiPriority w:val="0"/>
    <w:pPr>
      <w:tabs>
        <w:tab w:val="center" w:pos="4153"/>
        <w:tab w:val="right" w:pos="8306"/>
      </w:tabs>
      <w:snapToGrid w:val="0"/>
      <w:jc w:val="left"/>
    </w:pPr>
    <w:rPr>
      <w:sz w:val="18"/>
    </w:rPr>
  </w:style>
  <w:style w:type="paragraph" w:styleId="18">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qFormat/>
    <w:uiPriority w:val="39"/>
  </w:style>
  <w:style w:type="paragraph" w:styleId="20">
    <w:name w:val="index heading"/>
    <w:basedOn w:val="1"/>
    <w:next w:val="21"/>
    <w:autoRedefine/>
    <w:qFormat/>
    <w:uiPriority w:val="0"/>
    <w:rPr>
      <w:szCs w:val="20"/>
    </w:rPr>
  </w:style>
  <w:style w:type="paragraph" w:styleId="21">
    <w:name w:val="index 1"/>
    <w:basedOn w:val="1"/>
    <w:next w:val="1"/>
    <w:autoRedefine/>
    <w:qFormat/>
    <w:uiPriority w:val="0"/>
    <w:rPr>
      <w:szCs w:val="20"/>
    </w:rPr>
  </w:style>
  <w:style w:type="paragraph" w:styleId="22">
    <w:name w:val="Body Text Indent 3"/>
    <w:basedOn w:val="1"/>
    <w:link w:val="43"/>
    <w:autoRedefine/>
    <w:qFormat/>
    <w:uiPriority w:val="0"/>
    <w:pPr>
      <w:spacing w:after="120"/>
      <w:ind w:left="420" w:leftChars="200"/>
    </w:pPr>
    <w:rPr>
      <w:sz w:val="16"/>
      <w:szCs w:val="16"/>
    </w:rPr>
  </w:style>
  <w:style w:type="paragraph" w:styleId="23">
    <w:name w:val="toc 2"/>
    <w:basedOn w:val="1"/>
    <w:next w:val="1"/>
    <w:autoRedefine/>
    <w:qFormat/>
    <w:uiPriority w:val="39"/>
    <w:pPr>
      <w:ind w:left="420" w:leftChars="200"/>
    </w:pPr>
  </w:style>
  <w:style w:type="paragraph" w:styleId="24">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25">
    <w:name w:val="Title"/>
    <w:basedOn w:val="1"/>
    <w:link w:val="44"/>
    <w:autoRedefine/>
    <w:qFormat/>
    <w:uiPriority w:val="99"/>
    <w:pPr>
      <w:tabs>
        <w:tab w:val="left" w:pos="420"/>
      </w:tabs>
      <w:adjustRightInd w:val="0"/>
      <w:spacing w:before="120" w:line="360" w:lineRule="auto"/>
      <w:ind w:left="420" w:hanging="420"/>
      <w:textAlignment w:val="baseline"/>
    </w:pPr>
    <w:rPr>
      <w:rFonts w:eastAsia="隶书_GB2312"/>
      <w:b/>
      <w:sz w:val="48"/>
    </w:rPr>
  </w:style>
  <w:style w:type="paragraph" w:styleId="26">
    <w:name w:val="annotation subject"/>
    <w:basedOn w:val="9"/>
    <w:next w:val="9"/>
    <w:link w:val="45"/>
    <w:autoRedefine/>
    <w:qFormat/>
    <w:uiPriority w:val="0"/>
    <w:rPr>
      <w:b/>
      <w:bCs/>
    </w:rPr>
  </w:style>
  <w:style w:type="paragraph" w:styleId="27">
    <w:name w:val="Body Text First Indent"/>
    <w:basedOn w:val="10"/>
    <w:next w:val="28"/>
    <w:autoRedefine/>
    <w:qFormat/>
    <w:uiPriority w:val="0"/>
    <w:pPr>
      <w:spacing w:line="240" w:lineRule="auto"/>
      <w:ind w:firstLine="420" w:firstLineChars="100"/>
    </w:pPr>
    <w:rPr>
      <w:rFonts w:ascii="Times New Roman"/>
      <w:sz w:val="21"/>
    </w:rPr>
  </w:style>
  <w:style w:type="paragraph" w:styleId="28">
    <w:name w:val="Body Text First Indent 2"/>
    <w:basedOn w:val="11"/>
    <w:next w:val="10"/>
    <w:autoRedefine/>
    <w:qFormat/>
    <w:uiPriority w:val="0"/>
    <w:pPr>
      <w:ind w:left="200" w:firstLine="200"/>
    </w:pPr>
    <w:rPr>
      <w:rFonts w:ascii="宋体" w:hAnsi="宋体"/>
    </w:rPr>
  </w:style>
  <w:style w:type="table" w:styleId="30">
    <w:name w:val="Table Grid"/>
    <w:basedOn w:val="29"/>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2">
    <w:name w:val="Strong"/>
    <w:basedOn w:val="31"/>
    <w:autoRedefine/>
    <w:qFormat/>
    <w:uiPriority w:val="22"/>
    <w:rPr>
      <w:rFonts w:hint="default" w:ascii="Tahoma" w:hAnsi="Tahoma" w:eastAsia="宋体" w:cs="Tahoma"/>
      <w:b/>
      <w:bCs/>
      <w:spacing w:val="10"/>
      <w:sz w:val="24"/>
      <w:lang w:val="en-US" w:eastAsia="zh-CN" w:bidi="ar-SA"/>
    </w:rPr>
  </w:style>
  <w:style w:type="character" w:styleId="33">
    <w:name w:val="page number"/>
    <w:autoRedefine/>
    <w:unhideWhenUsed/>
    <w:qFormat/>
    <w:uiPriority w:val="0"/>
    <w:rPr>
      <w:rFonts w:hint="default"/>
      <w:sz w:val="24"/>
    </w:rPr>
  </w:style>
  <w:style w:type="character" w:styleId="34">
    <w:name w:val="Emphasis"/>
    <w:basedOn w:val="31"/>
    <w:autoRedefine/>
    <w:qFormat/>
    <w:uiPriority w:val="0"/>
    <w:rPr>
      <w:i/>
    </w:rPr>
  </w:style>
  <w:style w:type="character" w:styleId="35">
    <w:name w:val="Hyperlink"/>
    <w:autoRedefine/>
    <w:qFormat/>
    <w:uiPriority w:val="99"/>
    <w:rPr>
      <w:color w:val="0000FF"/>
      <w:u w:val="single"/>
    </w:rPr>
  </w:style>
  <w:style w:type="character" w:styleId="36">
    <w:name w:val="annotation reference"/>
    <w:basedOn w:val="31"/>
    <w:autoRedefine/>
    <w:qFormat/>
    <w:uiPriority w:val="0"/>
    <w:rPr>
      <w:sz w:val="21"/>
      <w:szCs w:val="21"/>
    </w:rPr>
  </w:style>
  <w:style w:type="paragraph" w:customStyle="1" w:styleId="37">
    <w:name w:val="_Style 3"/>
    <w:next w:val="22"/>
    <w:autoRedefine/>
    <w:unhideWhenUsed/>
    <w:qFormat/>
    <w:uiPriority w:val="0"/>
    <w:pPr>
      <w:wordWrap w:val="0"/>
      <w:ind w:left="850"/>
      <w:jc w:val="both"/>
    </w:pPr>
    <w:rPr>
      <w:rFonts w:ascii="Times New Roman" w:hAnsi="Times New Roman" w:eastAsia="宋体" w:cs="Times New Roman"/>
      <w:sz w:val="21"/>
      <w:lang w:val="en-US" w:eastAsia="zh-CN" w:bidi="ar-SA"/>
    </w:rPr>
  </w:style>
  <w:style w:type="paragraph" w:customStyle="1" w:styleId="38">
    <w:name w:val="Default"/>
    <w:autoRedefine/>
    <w:qFormat/>
    <w:uiPriority w:val="0"/>
    <w:pPr>
      <w:widowControl w:val="0"/>
      <w:autoSpaceDE w:val="0"/>
      <w:autoSpaceDN w:val="0"/>
      <w:adjustRightInd w:val="0"/>
    </w:pPr>
    <w:rPr>
      <w:rFonts w:ascii="黑体" w:hAnsi="Times New Roman" w:eastAsia="黑体" w:cs="Times New Roman"/>
      <w:sz w:val="21"/>
      <w:szCs w:val="22"/>
      <w:lang w:val="en-US" w:eastAsia="zh-CN" w:bidi="ar-SA"/>
    </w:rPr>
  </w:style>
  <w:style w:type="character" w:customStyle="1" w:styleId="39">
    <w:name w:val="文档结构图 Char"/>
    <w:link w:val="8"/>
    <w:autoRedefine/>
    <w:qFormat/>
    <w:uiPriority w:val="0"/>
    <w:rPr>
      <w:rFonts w:ascii="宋体"/>
      <w:kern w:val="2"/>
      <w:sz w:val="18"/>
      <w:szCs w:val="18"/>
    </w:rPr>
  </w:style>
  <w:style w:type="character" w:customStyle="1" w:styleId="40">
    <w:name w:val="批注文字 Char"/>
    <w:link w:val="9"/>
    <w:autoRedefine/>
    <w:qFormat/>
    <w:uiPriority w:val="0"/>
    <w:rPr>
      <w:rFonts w:ascii="Calibri" w:hAnsi="Calibri" w:eastAsia="宋体" w:cs="Times New Roman"/>
      <w:kern w:val="2"/>
      <w:sz w:val="21"/>
      <w:szCs w:val="24"/>
    </w:rPr>
  </w:style>
  <w:style w:type="character" w:customStyle="1" w:styleId="41">
    <w:name w:val="纯文本 Char"/>
    <w:link w:val="13"/>
    <w:autoRedefine/>
    <w:qFormat/>
    <w:uiPriority w:val="0"/>
    <w:rPr>
      <w:rFonts w:ascii="宋体" w:hAnsi="Courier New"/>
      <w:kern w:val="2"/>
      <w:sz w:val="21"/>
      <w:szCs w:val="24"/>
    </w:rPr>
  </w:style>
  <w:style w:type="character" w:customStyle="1" w:styleId="42">
    <w:name w:val="批注框文本 Char"/>
    <w:link w:val="16"/>
    <w:autoRedefine/>
    <w:qFormat/>
    <w:uiPriority w:val="0"/>
    <w:rPr>
      <w:kern w:val="2"/>
      <w:sz w:val="18"/>
      <w:szCs w:val="18"/>
    </w:rPr>
  </w:style>
  <w:style w:type="character" w:customStyle="1" w:styleId="43">
    <w:name w:val="正文文本缩进 3 Char"/>
    <w:link w:val="22"/>
    <w:autoRedefine/>
    <w:qFormat/>
    <w:uiPriority w:val="0"/>
    <w:rPr>
      <w:kern w:val="2"/>
      <w:sz w:val="16"/>
      <w:szCs w:val="16"/>
    </w:rPr>
  </w:style>
  <w:style w:type="character" w:customStyle="1" w:styleId="44">
    <w:name w:val="标题 Char"/>
    <w:link w:val="25"/>
    <w:autoRedefine/>
    <w:qFormat/>
    <w:uiPriority w:val="99"/>
    <w:rPr>
      <w:rFonts w:eastAsia="隶书_GB2312"/>
      <w:b/>
      <w:kern w:val="2"/>
      <w:sz w:val="48"/>
      <w:szCs w:val="24"/>
    </w:rPr>
  </w:style>
  <w:style w:type="character" w:customStyle="1" w:styleId="45">
    <w:name w:val="批注主题 Char"/>
    <w:link w:val="26"/>
    <w:autoRedefine/>
    <w:qFormat/>
    <w:uiPriority w:val="0"/>
    <w:rPr>
      <w:rFonts w:ascii="Calibri" w:hAnsi="Calibri" w:eastAsia="宋体" w:cs="Times New Roman"/>
      <w:b/>
      <w:bCs/>
      <w:kern w:val="2"/>
      <w:sz w:val="21"/>
      <w:szCs w:val="24"/>
    </w:rPr>
  </w:style>
  <w:style w:type="paragraph" w:customStyle="1" w:styleId="46">
    <w:name w:val="表格文字"/>
    <w:basedOn w:val="1"/>
    <w:autoRedefine/>
    <w:qFormat/>
    <w:uiPriority w:val="0"/>
    <w:pPr>
      <w:spacing w:before="25" w:after="25"/>
      <w:jc w:val="left"/>
    </w:pPr>
    <w:rPr>
      <w:bCs/>
      <w:spacing w:val="10"/>
      <w:kern w:val="0"/>
      <w:sz w:val="24"/>
      <w:szCs w:val="20"/>
    </w:rPr>
  </w:style>
  <w:style w:type="paragraph" w:customStyle="1" w:styleId="47">
    <w:name w:val="首行缩进"/>
    <w:autoRedefine/>
    <w:qFormat/>
    <w:uiPriority w:val="0"/>
    <w:pPr>
      <w:widowControl w:val="0"/>
      <w:spacing w:line="360" w:lineRule="auto"/>
      <w:ind w:firstLine="480" w:firstLineChars="200"/>
      <w:jc w:val="both"/>
    </w:pPr>
    <w:rPr>
      <w:rFonts w:ascii="Times New Roman" w:hAnsi="Times New Roman" w:eastAsia="宋体" w:cs="Times New Roman"/>
      <w:kern w:val="2"/>
      <w:sz w:val="24"/>
      <w:szCs w:val="22"/>
      <w:lang w:val="zh-CN" w:eastAsia="zh-CN" w:bidi="ar-SA"/>
    </w:rPr>
  </w:style>
  <w:style w:type="character" w:customStyle="1" w:styleId="48">
    <w:name w:val="apple-converted-space"/>
    <w:basedOn w:val="31"/>
    <w:autoRedefine/>
    <w:qFormat/>
    <w:uiPriority w:val="0"/>
  </w:style>
  <w:style w:type="character" w:customStyle="1" w:styleId="49">
    <w:name w:val="标题 Char1"/>
    <w:autoRedefine/>
    <w:qFormat/>
    <w:uiPriority w:val="0"/>
    <w:rPr>
      <w:rFonts w:ascii="Cambria" w:hAnsi="Cambria" w:cs="Times New Roman"/>
      <w:b/>
      <w:bCs/>
      <w:kern w:val="2"/>
      <w:sz w:val="32"/>
      <w:szCs w:val="32"/>
    </w:rPr>
  </w:style>
  <w:style w:type="character" w:customStyle="1" w:styleId="50">
    <w:name w:val="批注文字 Char1"/>
    <w:autoRedefine/>
    <w:qFormat/>
    <w:uiPriority w:val="0"/>
    <w:rPr>
      <w:kern w:val="2"/>
      <w:sz w:val="21"/>
      <w:szCs w:val="24"/>
    </w:rPr>
  </w:style>
  <w:style w:type="character" w:customStyle="1" w:styleId="51">
    <w:name w:val="font21"/>
    <w:autoRedefine/>
    <w:qFormat/>
    <w:uiPriority w:val="0"/>
    <w:rPr>
      <w:rFonts w:hint="eastAsia" w:ascii="宋体" w:hAnsi="宋体" w:eastAsia="宋体" w:cs="宋体"/>
      <w:color w:val="000000"/>
      <w:sz w:val="18"/>
      <w:szCs w:val="18"/>
      <w:u w:val="none"/>
    </w:rPr>
  </w:style>
  <w:style w:type="character" w:customStyle="1" w:styleId="52">
    <w:name w:val="p141"/>
    <w:autoRedefine/>
    <w:qFormat/>
    <w:uiPriority w:val="0"/>
    <w:rPr>
      <w:sz w:val="21"/>
    </w:rPr>
  </w:style>
  <w:style w:type="character" w:customStyle="1" w:styleId="53">
    <w:name w:val="font31"/>
    <w:autoRedefine/>
    <w:qFormat/>
    <w:uiPriority w:val="0"/>
    <w:rPr>
      <w:rFonts w:hint="eastAsia" w:ascii="宋体" w:hAnsi="宋体" w:eastAsia="宋体" w:cs="宋体"/>
      <w:color w:val="000000"/>
      <w:sz w:val="20"/>
      <w:szCs w:val="20"/>
      <w:u w:val="none"/>
    </w:rPr>
  </w:style>
  <w:style w:type="character" w:customStyle="1" w:styleId="54">
    <w:name w:val="font-heiti"/>
    <w:autoRedefine/>
    <w:qFormat/>
    <w:uiPriority w:val="0"/>
  </w:style>
  <w:style w:type="character" w:customStyle="1" w:styleId="55">
    <w:name w:val="正文文本缩进 3 Char1"/>
    <w:autoRedefine/>
    <w:qFormat/>
    <w:uiPriority w:val="0"/>
    <w:rPr>
      <w:kern w:val="2"/>
      <w:sz w:val="16"/>
      <w:szCs w:val="16"/>
    </w:rPr>
  </w:style>
  <w:style w:type="paragraph" w:customStyle="1" w:styleId="56">
    <w:name w:val="题注4"/>
    <w:basedOn w:val="1"/>
    <w:next w:val="7"/>
    <w:autoRedefine/>
    <w:qFormat/>
    <w:uiPriority w:val="0"/>
    <w:pPr>
      <w:ind w:left="-132" w:leftChars="-64" w:right="-105" w:rightChars="-50" w:hanging="2"/>
      <w:jc w:val="center"/>
    </w:pPr>
    <w:rPr>
      <w:b/>
      <w:color w:val="FF0000"/>
      <w:szCs w:val="21"/>
      <w:lang w:val="en-GB"/>
    </w:rPr>
  </w:style>
  <w:style w:type="paragraph" w:customStyle="1" w:styleId="57">
    <w:name w:val="列出段落2"/>
    <w:basedOn w:val="1"/>
    <w:autoRedefine/>
    <w:qFormat/>
    <w:uiPriority w:val="34"/>
    <w:pPr>
      <w:ind w:firstLine="420" w:firstLineChars="200"/>
    </w:pPr>
  </w:style>
  <w:style w:type="paragraph" w:customStyle="1" w:styleId="58">
    <w:name w:val="普通正文"/>
    <w:autoRedefine/>
    <w:qFormat/>
    <w:uiPriority w:val="99"/>
    <w:pPr>
      <w:spacing w:line="360" w:lineRule="atLeast"/>
      <w:ind w:firstLine="425"/>
      <w:jc w:val="both"/>
    </w:pPr>
    <w:rPr>
      <w:rFonts w:ascii="Times New Roman" w:hAnsi="Times New Roman" w:eastAsia="宋体" w:cs="Times New Roman"/>
      <w:kern w:val="21"/>
      <w:sz w:val="21"/>
      <w:lang w:val="en-US" w:eastAsia="zh-CN" w:bidi="ar-SA"/>
    </w:rPr>
  </w:style>
  <w:style w:type="paragraph" w:customStyle="1" w:styleId="59">
    <w:name w:val="WW-正文缩进"/>
    <w:basedOn w:val="1"/>
    <w:autoRedefine/>
    <w:qFormat/>
    <w:uiPriority w:val="0"/>
    <w:pPr>
      <w:suppressAutoHyphens/>
      <w:ind w:firstLine="420"/>
    </w:pPr>
    <w:rPr>
      <w:rFonts w:ascii="黑体" w:hAnsi="黑体" w:eastAsia="黑体"/>
      <w:bCs/>
      <w:kern w:val="1"/>
      <w:sz w:val="52"/>
      <w:szCs w:val="52"/>
      <w:lang w:eastAsia="ar-SA"/>
    </w:rPr>
  </w:style>
  <w:style w:type="paragraph" w:customStyle="1" w:styleId="60">
    <w:name w:val="图"/>
    <w:basedOn w:val="1"/>
    <w:autoRedefine/>
    <w:qFormat/>
    <w:uiPriority w:val="0"/>
    <w:pPr>
      <w:keepNext/>
      <w:adjustRightInd w:val="0"/>
      <w:spacing w:line="300" w:lineRule="auto"/>
      <w:jc w:val="center"/>
      <w:textAlignment w:val="center"/>
    </w:pPr>
    <w:rPr>
      <w:spacing w:val="20"/>
      <w:kern w:val="0"/>
      <w:sz w:val="24"/>
      <w:szCs w:val="20"/>
    </w:rPr>
  </w:style>
  <w:style w:type="paragraph" w:customStyle="1" w:styleId="61">
    <w:name w:val="正文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2">
    <w:name w:val="正文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1册标题2"/>
    <w:basedOn w:val="1"/>
    <w:next w:val="1"/>
    <w:autoRedefine/>
    <w:qFormat/>
    <w:uiPriority w:val="0"/>
    <w:pPr>
      <w:adjustRightInd w:val="0"/>
      <w:spacing w:beforeLines="50" w:afterLines="50" w:line="300" w:lineRule="auto"/>
      <w:jc w:val="center"/>
      <w:textAlignment w:val="baseline"/>
      <w:outlineLvl w:val="1"/>
    </w:pPr>
    <w:rPr>
      <w:rFonts w:ascii="Arial" w:hAnsi="Arial" w:eastAsia="黑体"/>
      <w:bCs/>
      <w:kern w:val="0"/>
      <w:sz w:val="32"/>
    </w:rPr>
  </w:style>
  <w:style w:type="paragraph" w:customStyle="1" w:styleId="64">
    <w:name w:val="Body Text 21"/>
    <w:autoRedefine/>
    <w:qFormat/>
    <w:uiPriority w:val="0"/>
    <w:pPr>
      <w:widowControl w:val="0"/>
      <w:adjustRightInd w:val="0"/>
      <w:spacing w:line="240" w:lineRule="exact"/>
      <w:jc w:val="both"/>
      <w:textAlignment w:val="baseline"/>
    </w:pPr>
    <w:rPr>
      <w:rFonts w:ascii="宋体" w:hAnsi="Times New Roman" w:eastAsia="宋体" w:cs="Times New Roman"/>
      <w:sz w:val="18"/>
      <w:lang w:val="en-US" w:eastAsia="zh-CN" w:bidi="ar-SA"/>
    </w:rPr>
  </w:style>
  <w:style w:type="paragraph" w:customStyle="1" w:styleId="65">
    <w:name w:val="msonormalcxspmiddle"/>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正文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7">
    <w:name w:val="题注5"/>
    <w:basedOn w:val="1"/>
    <w:next w:val="7"/>
    <w:autoRedefine/>
    <w:qFormat/>
    <w:uiPriority w:val="0"/>
    <w:pPr>
      <w:jc w:val="center"/>
    </w:pPr>
    <w:rPr>
      <w:b/>
      <w:color w:val="000000"/>
      <w:sz w:val="24"/>
      <w:szCs w:val="21"/>
    </w:rPr>
  </w:style>
  <w:style w:type="paragraph" w:customStyle="1" w:styleId="68">
    <w:name w:val="列出段落1"/>
    <w:basedOn w:val="1"/>
    <w:autoRedefine/>
    <w:unhideWhenUsed/>
    <w:qFormat/>
    <w:uiPriority w:val="0"/>
    <w:pPr>
      <w:ind w:firstLine="420" w:firstLineChars="200"/>
    </w:pPr>
  </w:style>
  <w:style w:type="paragraph" w:customStyle="1" w:styleId="69">
    <w:name w:val="Char Char2"/>
    <w:basedOn w:val="1"/>
    <w:autoRedefine/>
    <w:qFormat/>
    <w:uiPriority w:val="0"/>
    <w:rPr>
      <w:szCs w:val="20"/>
    </w:rPr>
  </w:style>
  <w:style w:type="paragraph" w:customStyle="1" w:styleId="70">
    <w:name w:val="xl25"/>
    <w:basedOn w:val="1"/>
    <w:autoRedefine/>
    <w:qFormat/>
    <w:uiPriority w:val="0"/>
    <w:pPr>
      <w:widowControl/>
      <w:pBdr>
        <w:bottom w:val="single" w:color="auto" w:sz="4" w:space="0"/>
        <w:right w:val="single" w:color="auto" w:sz="4" w:space="0"/>
      </w:pBdr>
      <w:spacing w:beforeAutospacing="1" w:afterAutospacing="1"/>
      <w:jc w:val="center"/>
    </w:pPr>
    <w:rPr>
      <w:rFonts w:ascii="宋体" w:hAnsi="宋体"/>
      <w:kern w:val="0"/>
      <w:szCs w:val="21"/>
    </w:rPr>
  </w:style>
  <w:style w:type="paragraph" w:styleId="71">
    <w:name w:val="List Paragraph"/>
    <w:basedOn w:val="1"/>
    <w:autoRedefine/>
    <w:qFormat/>
    <w:uiPriority w:val="0"/>
    <w:pPr>
      <w:ind w:firstLine="420" w:firstLineChars="200"/>
    </w:pPr>
  </w:style>
  <w:style w:type="character" w:customStyle="1" w:styleId="72">
    <w:name w:val="本文正文 Char1 Char Char Char Char Char Char Char Char Char Char Char Char Char Char Char Char Char Char Char Char Char Char Char Char Char Char"/>
    <w:link w:val="73"/>
    <w:autoRedefine/>
    <w:qFormat/>
    <w:uiPriority w:val="0"/>
    <w:rPr>
      <w:rFonts w:ascii="宋体" w:hAnsi="宋体"/>
      <w:kern w:val="0"/>
      <w:sz w:val="24"/>
    </w:rPr>
  </w:style>
  <w:style w:type="paragraph" w:customStyle="1" w:styleId="73">
    <w:name w:val="本文正文 Char1 Char Char Char Char Char Char Char Char Char Char Char Char Char Char Char Char Char Char Char Char Char Char Char Char"/>
    <w:basedOn w:val="1"/>
    <w:link w:val="72"/>
    <w:autoRedefine/>
    <w:qFormat/>
    <w:uiPriority w:val="0"/>
    <w:pPr>
      <w:widowControl/>
      <w:spacing w:line="480" w:lineRule="exact"/>
      <w:ind w:firstLine="200" w:firstLineChars="200"/>
      <w:jc w:val="left"/>
    </w:pPr>
    <w:rPr>
      <w:rFonts w:ascii="宋体" w:hAnsi="宋体"/>
      <w:kern w:val="0"/>
      <w:sz w:val="24"/>
    </w:rPr>
  </w:style>
  <w:style w:type="paragraph" w:customStyle="1" w:styleId="74">
    <w:name w:val="Table Paragraph"/>
    <w:basedOn w:val="1"/>
    <w:autoRedefine/>
    <w:qFormat/>
    <w:uiPriority w:val="1"/>
    <w:rPr>
      <w:rFonts w:ascii="宋体" w:hAnsi="宋体" w:cs="宋体"/>
      <w:lang w:val="zh-CN" w:bidi="zh-CN"/>
    </w:rPr>
  </w:style>
  <w:style w:type="character" w:customStyle="1" w:styleId="75">
    <w:name w:val="font81"/>
    <w:basedOn w:val="31"/>
    <w:autoRedefine/>
    <w:qFormat/>
    <w:uiPriority w:val="0"/>
    <w:rPr>
      <w:rFonts w:hint="eastAsia" w:ascii="宋体" w:hAnsi="宋体" w:eastAsia="宋体" w:cs="宋体"/>
      <w:color w:val="000000"/>
      <w:sz w:val="22"/>
      <w:szCs w:val="22"/>
      <w:u w:val="none"/>
    </w:rPr>
  </w:style>
  <w:style w:type="character" w:customStyle="1" w:styleId="76">
    <w:name w:val="font91"/>
    <w:basedOn w:val="31"/>
    <w:autoRedefine/>
    <w:qFormat/>
    <w:uiPriority w:val="0"/>
    <w:rPr>
      <w:rFonts w:hint="eastAsia" w:ascii="宋体" w:hAnsi="宋体" w:eastAsia="宋体" w:cs="宋体"/>
      <w:color w:val="000000"/>
      <w:sz w:val="32"/>
      <w:szCs w:val="32"/>
      <w:u w:val="none"/>
    </w:rPr>
  </w:style>
  <w:style w:type="paragraph" w:customStyle="1" w:styleId="77">
    <w:name w:val="正文 New"/>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78">
    <w:name w:val="List Paragraph1"/>
    <w:basedOn w:val="1"/>
    <w:autoRedefine/>
    <w:qFormat/>
    <w:uiPriority w:val="0"/>
    <w:pPr>
      <w:ind w:firstLine="420" w:firstLineChars="200"/>
    </w:pPr>
    <w:rPr>
      <w:rFonts w:ascii="Calibri" w:hAnsi="Calibri"/>
      <w:szCs w:val="22"/>
    </w:rPr>
  </w:style>
  <w:style w:type="paragraph" w:customStyle="1" w:styleId="79">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0">
    <w:name w:val="修订2"/>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1">
    <w:name w:val="p0"/>
    <w:basedOn w:val="1"/>
    <w:autoRedefine/>
    <w:qFormat/>
    <w:uiPriority w:val="0"/>
    <w:pPr>
      <w:widowControl/>
      <w:ind w:firstLine="420"/>
      <w:jc w:val="left"/>
    </w:pPr>
    <w:rPr>
      <w:kern w:val="0"/>
      <w:sz w:val="20"/>
      <w:szCs w:val="20"/>
    </w:rPr>
  </w:style>
  <w:style w:type="paragraph" w:customStyle="1" w:styleId="82">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3">
    <w:name w:val="修订4"/>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84">
    <w:name w:val="正文缩进2格"/>
    <w:basedOn w:val="1"/>
    <w:autoRedefine/>
    <w:qFormat/>
    <w:uiPriority w:val="99"/>
    <w:pPr>
      <w:spacing w:line="600" w:lineRule="exact"/>
      <w:ind w:firstLine="639" w:firstLineChars="206"/>
    </w:pPr>
    <w:rPr>
      <w:rFonts w:ascii="仿宋_GB2312" w:hAnsi="宋体" w:eastAsia="仿宋_GB2312"/>
      <w:sz w:val="31"/>
      <w:szCs w:val="28"/>
    </w:rPr>
  </w:style>
  <w:style w:type="paragraph" w:styleId="85">
    <w:name w:val="No Spacing"/>
    <w:basedOn w:val="1"/>
    <w:autoRedefine/>
    <w:qFormat/>
    <w:uiPriority w:val="99"/>
    <w:pPr>
      <w:adjustRightInd w:val="0"/>
      <w:snapToGrid w:val="0"/>
    </w:pPr>
    <w:rPr>
      <w:rFonts w:ascii="Tahoma" w:hAnsi="Tahoma"/>
      <w:sz w:val="22"/>
      <w:szCs w:val="22"/>
    </w:rPr>
  </w:style>
  <w:style w:type="paragraph" w:customStyle="1" w:styleId="86">
    <w:name w:val="样式3"/>
    <w:basedOn w:val="1"/>
    <w:autoRedefine/>
    <w:qFormat/>
    <w:uiPriority w:val="99"/>
    <w:pPr>
      <w:spacing w:line="520" w:lineRule="exact"/>
      <w:ind w:firstLine="562" w:firstLineChars="200"/>
    </w:pPr>
    <w:rPr>
      <w:rFonts w:eastAsia="黑体"/>
      <w:b/>
      <w:sz w:val="28"/>
      <w:szCs w:val="28"/>
    </w:rPr>
  </w:style>
  <w:style w:type="character" w:customStyle="1" w:styleId="87">
    <w:name w:val="font11"/>
    <w:basedOn w:val="31"/>
    <w:autoRedefine/>
    <w:qFormat/>
    <w:uiPriority w:val="0"/>
    <w:rPr>
      <w:rFonts w:ascii="Verdana" w:hAnsi="Verdana" w:cs="Verdana"/>
      <w:color w:val="000000"/>
      <w:sz w:val="24"/>
      <w:szCs w:val="24"/>
      <w:u w:val="none"/>
    </w:rPr>
  </w:style>
  <w:style w:type="paragraph" w:customStyle="1" w:styleId="88">
    <w:name w:val="样式2"/>
    <w:basedOn w:val="1"/>
    <w:autoRedefine/>
    <w:qFormat/>
    <w:uiPriority w:val="99"/>
    <w:pPr>
      <w:jc w:val="center"/>
      <w:outlineLvl w:val="1"/>
    </w:pPr>
    <w:rPr>
      <w:rFonts w:ascii="宋体" w:hAnsi="宋体"/>
      <w:b/>
      <w:sz w:val="36"/>
      <w:szCs w:val="36"/>
    </w:rPr>
  </w:style>
  <w:style w:type="paragraph" w:customStyle="1" w:styleId="89">
    <w:name w:val="页脚2"/>
    <w:basedOn w:val="1"/>
    <w:autoRedefine/>
    <w:qFormat/>
    <w:uiPriority w:val="99"/>
    <w:pPr>
      <w:pBdr>
        <w:top w:val="single" w:color="auto" w:sz="6" w:space="0"/>
      </w:pBdr>
      <w:jc w:val="right"/>
      <w:textAlignment w:val="center"/>
    </w:pPr>
    <w:rPr>
      <w:rFonts w:ascii="宋体" w:hAnsi="Calibri"/>
      <w:sz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140</Pages>
  <Words>5158</Words>
  <Characters>5883</Characters>
  <Lines>515</Lines>
  <Paragraphs>145</Paragraphs>
  <TotalTime>3</TotalTime>
  <ScaleCrop>false</ScaleCrop>
  <LinksUpToDate>false</LinksUpToDate>
  <CharactersWithSpaces>6224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2023-08-14T15:53:00Z</dcterms:created>
  <dc:creator>李伟</dc:creator>
  <cp:lastModifiedBy>李一</cp:lastModifiedBy>
  <cp:lastPrinted>2020-08-21T08:53:00Z</cp:lastPrinted>
  <dcterms:modified xsi:type="dcterms:W3CDTF">2024-11-08T01:18:29Z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2B5B6A0E7E9F40718F7A2ED52C6C74BF_13</vt:lpwstr>
  </property>
</Properties>
</file>